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兴国县委信访局2023年</w:t>
      </w:r>
      <w:r>
        <w:rPr>
          <w:rFonts w:hint="eastAsia" w:ascii="方正小标宋简体" w:hAnsi="方正小标宋简体" w:eastAsia="方正小标宋简体" w:cs="方正小标宋简体"/>
          <w:b w:val="0"/>
          <w:bCs/>
          <w:color w:val="auto"/>
          <w:sz w:val="44"/>
          <w:szCs w:val="44"/>
        </w:rPr>
        <w:t>部门预算编制说明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委信访局</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w:t>
      </w:r>
      <w:r>
        <w:rPr>
          <w:rFonts w:hint="eastAsia" w:ascii="仿宋" w:hAnsi="仿宋" w:eastAsia="仿宋" w:cs="仿宋"/>
          <w:b/>
          <w:bCs/>
          <w:color w:val="auto"/>
          <w:sz w:val="32"/>
          <w:szCs w:val="32"/>
          <w:lang w:val="en-US" w:eastAsia="zh-CN"/>
        </w:rPr>
        <w:t>县委信访局</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兴国县xx部门预算表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hint="eastAsia" w:ascii="仿宋" w:hAnsi="仿宋" w:eastAsia="仿宋" w:cs="仿宋"/>
          <w:b/>
          <w:bCs/>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兴国县xx部门概况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spacing w:line="560" w:lineRule="exact"/>
        <w:ind w:left="10" w:leftChars="5" w:firstLine="640" w:firstLineChars="200"/>
        <w:rPr>
          <w:rFonts w:hint="eastAsia" w:ascii="仿宋_GB2312" w:eastAsia="仿宋_GB2312"/>
          <w:sz w:val="32"/>
          <w:szCs w:val="32"/>
        </w:rPr>
      </w:pPr>
      <w:r>
        <w:rPr>
          <w:rFonts w:hint="eastAsia" w:ascii="仿宋_GB2312" w:eastAsia="仿宋_GB2312"/>
          <w:sz w:val="32"/>
          <w:szCs w:val="32"/>
        </w:rPr>
        <w:t>兴国</w:t>
      </w:r>
      <w:r>
        <w:rPr>
          <w:rFonts w:hint="eastAsia" w:ascii="仿宋_GB2312" w:eastAsia="仿宋_GB2312"/>
          <w:sz w:val="32"/>
          <w:szCs w:val="32"/>
          <w:lang w:eastAsia="zh-CN"/>
        </w:rPr>
        <w:t>县委</w:t>
      </w:r>
      <w:r>
        <w:rPr>
          <w:rFonts w:hint="eastAsia" w:ascii="仿宋_GB2312" w:eastAsia="仿宋_GB2312"/>
          <w:sz w:val="32"/>
          <w:szCs w:val="32"/>
        </w:rPr>
        <w:t>信访局是县委主管全县信访工作的行政机构，归口县委办公室管理，主要职责是：1、贯彻落实中央、省、市、县关于信访工作的方针、政策和规定；2、处理群众来信和接待到县委、县政府来访的群众，承办上级交办的信访事项；3、负责检查、督促指导全县信访工作。</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ind w:firstLine="640" w:firstLineChars="200"/>
        <w:rPr>
          <w:rFonts w:hint="default" w:ascii="仿宋" w:hAnsi="仿宋" w:eastAsia="仿宋"/>
          <w:color w:val="auto"/>
          <w:sz w:val="32"/>
          <w:szCs w:val="32"/>
          <w:lang w:val="en-US"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olor w:val="auto"/>
          <w:sz w:val="32"/>
          <w:szCs w:val="32"/>
          <w:lang w:val="en-US" w:eastAsia="zh-CN"/>
        </w:rPr>
        <w:t>兴国县委信访局</w:t>
      </w:r>
      <w:r>
        <w:rPr>
          <w:rFonts w:hint="eastAsia" w:ascii="仿宋" w:hAnsi="仿宋" w:eastAsia="仿宋"/>
          <w:color w:val="auto"/>
          <w:sz w:val="32"/>
          <w:szCs w:val="32"/>
        </w:rPr>
        <w:t>部门共有预算单位</w:t>
      </w:r>
      <w:r>
        <w:rPr>
          <w:rFonts w:hint="eastAsia" w:ascii="仿宋" w:hAnsi="仿宋" w:eastAsia="仿宋" w:cs="Times New Roman"/>
          <w:color w:val="auto"/>
          <w:kern w:val="0"/>
          <w:sz w:val="32"/>
          <w:szCs w:val="32"/>
          <w:lang w:val="en-US" w:eastAsia="zh-CN"/>
        </w:rPr>
        <w:t>1</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val="en-US" w:eastAsia="zh-CN"/>
        </w:rPr>
        <w:t>中共兴国县委信访局。</w:t>
      </w:r>
    </w:p>
    <w:p>
      <w:pPr>
        <w:spacing w:line="560" w:lineRule="exact"/>
        <w:ind w:firstLine="640" w:firstLineChars="200"/>
        <w:rPr>
          <w:color w:val="auto"/>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16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8</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8</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23</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16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8</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8</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7</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p>
    <w:p>
      <w:pPr>
        <w:pStyle w:val="2"/>
        <w:rPr>
          <w:color w:val="auto"/>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w:t>
      </w:r>
      <w:r>
        <w:rPr>
          <w:rFonts w:hint="eastAsia" w:ascii="黑体" w:hAnsi="黑体" w:eastAsia="黑体" w:cs="黑体"/>
          <w:b w:val="0"/>
          <w:bCs w:val="0"/>
          <w:color w:val="auto"/>
          <w:sz w:val="32"/>
          <w:szCs w:val="32"/>
          <w:lang w:val="en-US" w:eastAsia="zh-CN"/>
        </w:rPr>
        <w:t>县委信访局</w:t>
      </w:r>
      <w:r>
        <w:rPr>
          <w:rFonts w:hint="eastAsia" w:ascii="黑体" w:hAnsi="黑体" w:eastAsia="黑体" w:cs="黑体"/>
          <w:b w:val="0"/>
          <w:bCs w:val="0"/>
          <w:color w:val="auto"/>
          <w:sz w:val="32"/>
          <w:szCs w:val="32"/>
        </w:rPr>
        <w:t>部门预算情况说明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年部门预算收支情况说明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863.37</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17.27</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3.07%</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增加了人员支出</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pacing w:val="11"/>
          <w:sz w:val="30"/>
          <w:szCs w:val="30"/>
        </w:rPr>
        <w:t>其中：财政拨款收入</w:t>
      </w:r>
      <w:r>
        <w:rPr>
          <w:rFonts w:hint="eastAsia" w:ascii="仿宋" w:hAnsi="仿宋" w:eastAsia="仿宋" w:cs="仿宋"/>
          <w:color w:val="auto"/>
          <w:sz w:val="32"/>
          <w:szCs w:val="32"/>
          <w:u w:val="none"/>
          <w:lang w:val="en-US" w:eastAsia="zh-CN"/>
        </w:rPr>
        <w:t>563.37</w:t>
      </w:r>
      <w:r>
        <w:rPr>
          <w:rFonts w:hint="eastAsia" w:ascii="仿宋" w:hAnsi="仿宋" w:eastAsia="仿宋" w:cs="仿宋"/>
          <w:color w:val="auto"/>
          <w:spacing w:val="11"/>
          <w:sz w:val="30"/>
          <w:szCs w:val="30"/>
          <w:u w:val="none"/>
        </w:rPr>
        <w:t>万元,较</w:t>
      </w:r>
      <w:r>
        <w:rPr>
          <w:rFonts w:hint="eastAsia" w:ascii="仿宋" w:hAnsi="仿宋" w:eastAsia="仿宋" w:cs="仿宋"/>
          <w:color w:val="auto"/>
          <w:sz w:val="30"/>
          <w:szCs w:val="30"/>
          <w:u w:val="none"/>
        </w:rPr>
        <w:t xml:space="preserve"> </w:t>
      </w:r>
      <w:r>
        <w:rPr>
          <w:rFonts w:hint="eastAsia" w:ascii="仿宋" w:hAnsi="仿宋" w:eastAsia="仿宋" w:cs="仿宋"/>
          <w:color w:val="auto"/>
          <w:spacing w:val="23"/>
          <w:sz w:val="30"/>
          <w:szCs w:val="30"/>
          <w:u w:val="none"/>
        </w:rPr>
        <w:t>上年预算安排增加</w:t>
      </w:r>
      <w:r>
        <w:rPr>
          <w:rFonts w:hint="eastAsia" w:ascii="仿宋" w:hAnsi="仿宋" w:eastAsia="仿宋" w:cs="仿宋"/>
          <w:color w:val="auto"/>
          <w:spacing w:val="23"/>
          <w:sz w:val="30"/>
          <w:szCs w:val="30"/>
          <w:u w:val="none"/>
          <w:lang w:val="en-US" w:eastAsia="zh-CN"/>
        </w:rPr>
        <w:t>17.27</w:t>
      </w:r>
      <w:r>
        <w:rPr>
          <w:rFonts w:hint="eastAsia" w:ascii="仿宋" w:hAnsi="仿宋" w:eastAsia="仿宋" w:cs="仿宋"/>
          <w:color w:val="auto"/>
          <w:spacing w:val="23"/>
          <w:sz w:val="30"/>
          <w:szCs w:val="30"/>
          <w:u w:val="none"/>
        </w:rPr>
        <w:t>万元;</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z w:val="32"/>
          <w:szCs w:val="32"/>
          <w:u w:val="none"/>
          <w:lang w:val="en-US" w:eastAsia="zh-CN"/>
        </w:rPr>
        <w:t>300</w:t>
      </w:r>
      <w:r>
        <w:rPr>
          <w:rFonts w:hint="eastAsia" w:ascii="仿宋" w:hAnsi="仿宋" w:eastAsia="仿宋" w:cs="仿宋"/>
          <w:color w:val="auto"/>
          <w:spacing w:val="18"/>
          <w:sz w:val="30"/>
          <w:szCs w:val="30"/>
          <w:u w:val="none"/>
        </w:rPr>
        <w:t>万</w:t>
      </w:r>
      <w:r>
        <w:rPr>
          <w:rFonts w:hint="eastAsia" w:ascii="仿宋" w:hAnsi="仿宋" w:eastAsia="仿宋" w:cs="仿宋"/>
          <w:color w:val="auto"/>
          <w:spacing w:val="18"/>
          <w:sz w:val="30"/>
          <w:szCs w:val="30"/>
        </w:rPr>
        <w:t>元，较上年预算安排增加</w:t>
      </w:r>
      <w:r>
        <w:rPr>
          <w:rFonts w:hint="eastAsia" w:ascii="仿宋" w:hAnsi="仿宋" w:eastAsia="仿宋" w:cs="仿宋"/>
          <w:color w:val="auto"/>
          <w:spacing w:val="18"/>
          <w:sz w:val="30"/>
          <w:szCs w:val="30"/>
          <w:lang w:val="en-US" w:eastAsia="zh-CN"/>
        </w:rPr>
        <w:t>0</w:t>
      </w:r>
      <w:r>
        <w:rPr>
          <w:rFonts w:hint="eastAsia" w:ascii="仿宋" w:hAnsi="仿宋" w:eastAsia="仿宋" w:cs="仿宋"/>
          <w:color w:val="auto"/>
          <w:spacing w:val="7"/>
          <w:sz w:val="30"/>
          <w:szCs w:val="30"/>
        </w:rPr>
        <w:t>万元</w:t>
      </w:r>
      <w:r>
        <w:rPr>
          <w:rFonts w:hint="eastAsia" w:ascii="仿宋" w:hAnsi="仿宋" w:eastAsia="仿宋" w:cs="仿宋"/>
          <w:color w:val="auto"/>
          <w:spacing w:val="7"/>
          <w:sz w:val="30"/>
          <w:szCs w:val="30"/>
          <w:lang w:eastAsia="zh-CN"/>
        </w:rPr>
        <w:t>；</w:t>
      </w:r>
      <w:r>
        <w:rPr>
          <w:rFonts w:hint="eastAsia" w:ascii="仿宋" w:hAnsi="仿宋" w:eastAsia="仿宋" w:cs="仿宋"/>
          <w:color w:val="auto"/>
          <w:spacing w:val="7"/>
          <w:sz w:val="30"/>
          <w:szCs w:val="30"/>
          <w:lang w:val="en-US" w:eastAsia="zh-CN"/>
        </w:rPr>
        <w:t>财政拨款结余结转0万元，较上年预算安排增加了0万元。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863.37</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17.27</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3.07%</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增加了人员支出</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0"/>
          <w:szCs w:val="30"/>
          <w:lang w:val="en-US" w:eastAsia="zh-CN"/>
        </w:rPr>
        <w:t>223.21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较上年预</w:t>
      </w:r>
      <w:r>
        <w:rPr>
          <w:rFonts w:hint="eastAsia" w:ascii="仿宋" w:hAnsi="仿宋" w:eastAsia="仿宋" w:cs="仿宋"/>
          <w:color w:val="auto"/>
          <w:sz w:val="30"/>
          <w:szCs w:val="30"/>
          <w:u w:val="none"/>
        </w:rPr>
        <w:t>算安排增</w:t>
      </w:r>
      <w:r>
        <w:rPr>
          <w:rFonts w:hint="eastAsia" w:ascii="仿宋" w:hAnsi="仿宋" w:eastAsia="仿宋" w:cs="仿宋"/>
          <w:color w:val="auto"/>
          <w:sz w:val="30"/>
          <w:szCs w:val="30"/>
          <w:u w:val="none"/>
          <w:lang w:val="en-US" w:eastAsia="zh-CN"/>
        </w:rPr>
        <w:t>52.11</w:t>
      </w:r>
      <w:r>
        <w:rPr>
          <w:rFonts w:hint="eastAsia" w:ascii="仿宋" w:hAnsi="仿宋" w:eastAsia="仿宋" w:cs="仿宋"/>
          <w:color w:val="auto"/>
          <w:sz w:val="30"/>
          <w:szCs w:val="30"/>
          <w:u w:val="none"/>
          <w:lang w:eastAsia="zh-CN"/>
        </w:rPr>
        <w:t>元，其中：工资福利支出</w:t>
      </w:r>
      <w:r>
        <w:rPr>
          <w:rFonts w:hint="eastAsia" w:ascii="仿宋" w:hAnsi="仿宋" w:eastAsia="仿宋" w:cs="仿宋"/>
          <w:color w:val="auto"/>
          <w:sz w:val="30"/>
          <w:szCs w:val="30"/>
          <w:u w:val="none"/>
          <w:lang w:val="en-US" w:eastAsia="zh-CN"/>
        </w:rPr>
        <w:t>203.97</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19.12</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pacing w:val="-131"/>
          <w:sz w:val="30"/>
          <w:szCs w:val="30"/>
          <w:u w:val="none"/>
        </w:rPr>
        <w:t xml:space="preserve"> </w:t>
      </w:r>
      <w:r>
        <w:rPr>
          <w:rFonts w:hint="eastAsia" w:ascii="仿宋" w:hAnsi="仿宋" w:eastAsia="仿宋" w:cs="仿宋"/>
          <w:color w:val="auto"/>
          <w:sz w:val="32"/>
          <w:szCs w:val="32"/>
          <w:u w:val="none"/>
          <w:lang w:val="en-US" w:eastAsia="zh-CN"/>
        </w:rPr>
        <w:t>0.12</w:t>
      </w:r>
      <w:r>
        <w:rPr>
          <w:rFonts w:hint="eastAsia" w:ascii="仿宋" w:hAnsi="仿宋" w:eastAsia="仿宋" w:cs="仿宋"/>
          <w:color w:val="auto"/>
          <w:sz w:val="30"/>
          <w:szCs w:val="30"/>
          <w:u w:val="none"/>
          <w:lang w:eastAsia="zh-CN"/>
        </w:rPr>
        <w:t>万元。项目支出</w:t>
      </w:r>
      <w:r>
        <w:rPr>
          <w:rFonts w:hint="eastAsia" w:ascii="仿宋" w:hAnsi="仿宋" w:eastAsia="仿宋" w:cs="仿宋"/>
          <w:color w:val="auto"/>
          <w:sz w:val="32"/>
          <w:szCs w:val="32"/>
          <w:u w:val="none"/>
          <w:lang w:val="en-US" w:eastAsia="zh-CN"/>
        </w:rPr>
        <w:t>340.16</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val="en-US" w:eastAsia="zh-CN"/>
        </w:rPr>
        <w:t>减34.84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其中：商品和服务支出</w:t>
      </w:r>
      <w:r>
        <w:rPr>
          <w:rFonts w:hint="eastAsia" w:ascii="仿宋" w:hAnsi="仿宋" w:eastAsia="仿宋" w:cs="仿宋"/>
          <w:color w:val="auto"/>
          <w:sz w:val="32"/>
          <w:szCs w:val="32"/>
          <w:u w:val="none"/>
          <w:lang w:val="en-US" w:eastAsia="zh-CN"/>
        </w:rPr>
        <w:t>340.16</w:t>
      </w:r>
      <w:r>
        <w:rPr>
          <w:rFonts w:hint="eastAsia" w:ascii="仿宋" w:hAnsi="仿宋" w:eastAsia="仿宋" w:cs="仿宋"/>
          <w:color w:val="auto"/>
          <w:sz w:val="30"/>
          <w:szCs w:val="30"/>
          <w:u w:val="none"/>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12"/>
          <w:sz w:val="30"/>
          <w:szCs w:val="30"/>
          <w:u w:val="none"/>
          <w:lang w:val="en-US" w:eastAsia="zh-CN"/>
        </w:rPr>
        <w:t>一般公共服务</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803.75</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上年预算安排增加</w:t>
      </w:r>
      <w:r>
        <w:rPr>
          <w:rFonts w:hint="eastAsia" w:ascii="仿宋" w:hAnsi="仿宋" w:eastAsia="仿宋" w:cs="仿宋"/>
          <w:color w:val="auto"/>
          <w:spacing w:val="5"/>
          <w:sz w:val="30"/>
          <w:szCs w:val="30"/>
          <w:u w:val="none"/>
          <w:lang w:val="en-US" w:eastAsia="zh-CN"/>
        </w:rPr>
        <w:t>12.19</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z w:val="32"/>
          <w:szCs w:val="32"/>
          <w:u w:val="none"/>
          <w:lang w:val="en-US" w:eastAsia="zh-CN"/>
        </w:rPr>
        <w:t>22.68</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上年预算安排增加</w:t>
      </w:r>
      <w:r>
        <w:rPr>
          <w:rFonts w:hint="eastAsia" w:ascii="仿宋" w:hAnsi="仿宋" w:eastAsia="仿宋" w:cs="仿宋"/>
          <w:color w:val="auto"/>
          <w:spacing w:val="10"/>
          <w:sz w:val="30"/>
          <w:szCs w:val="30"/>
          <w:u w:val="none"/>
          <w:lang w:val="en-US" w:eastAsia="zh-CN"/>
        </w:rPr>
        <w:t>0.14</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val="en-US" w:eastAsia="zh-CN"/>
        </w:rPr>
        <w:t>18.05</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元,较上年预算安排增加</w:t>
      </w:r>
      <w:r>
        <w:rPr>
          <w:rFonts w:hint="eastAsia" w:ascii="仿宋" w:hAnsi="仿宋" w:eastAsia="仿宋" w:cs="仿宋"/>
          <w:color w:val="auto"/>
          <w:spacing w:val="5"/>
          <w:sz w:val="30"/>
          <w:szCs w:val="30"/>
          <w:u w:val="none"/>
          <w:lang w:val="en-US" w:eastAsia="zh-CN"/>
        </w:rPr>
        <w:t>2.89</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18.89</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w:t>
      </w:r>
      <w:r>
        <w:rPr>
          <w:rFonts w:hint="eastAsia" w:ascii="仿宋" w:hAnsi="仿宋" w:eastAsia="仿宋" w:cs="仿宋"/>
          <w:color w:val="auto"/>
          <w:spacing w:val="17"/>
          <w:sz w:val="30"/>
          <w:szCs w:val="30"/>
        </w:rPr>
        <w:t>较上年预算安排增加</w:t>
      </w:r>
      <w:r>
        <w:rPr>
          <w:rFonts w:hint="eastAsia" w:ascii="仿宋" w:hAnsi="仿宋" w:eastAsia="仿宋" w:cs="仿宋"/>
          <w:color w:val="auto"/>
          <w:spacing w:val="17"/>
          <w:sz w:val="30"/>
          <w:szCs w:val="30"/>
          <w:lang w:val="en-US" w:eastAsia="zh-CN"/>
        </w:rPr>
        <w:t>2.04</w:t>
      </w:r>
      <w:r>
        <w:rPr>
          <w:rFonts w:hint="eastAsia" w:ascii="仿宋" w:hAnsi="仿宋" w:eastAsia="仿宋" w:cs="仿宋"/>
          <w:color w:val="auto"/>
          <w:spacing w:val="17"/>
          <w:sz w:val="30"/>
          <w:szCs w:val="30"/>
        </w:rPr>
        <w:t>万元</w:t>
      </w:r>
      <w:r>
        <w:rPr>
          <w:rFonts w:hint="eastAsia" w:ascii="仿宋" w:hAnsi="仿宋" w:eastAsia="仿宋" w:cs="仿宋"/>
          <w:color w:val="auto"/>
          <w:spacing w:val="17"/>
          <w:sz w:val="30"/>
          <w:szCs w:val="30"/>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pStyle w:val="2"/>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财政拨款（补助）支出预算</w:t>
      </w:r>
      <w:r>
        <w:rPr>
          <w:rFonts w:hint="eastAsia" w:ascii="仿宋" w:hAnsi="仿宋" w:eastAsia="仿宋" w:cs="仿宋"/>
          <w:color w:val="auto"/>
          <w:sz w:val="32"/>
          <w:szCs w:val="32"/>
          <w:lang w:val="en-US" w:eastAsia="zh-CN"/>
        </w:rPr>
        <w:t>563.37</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65.25</w:t>
      </w:r>
      <w:r>
        <w:rPr>
          <w:rFonts w:hint="eastAsia" w:ascii="仿宋" w:hAnsi="仿宋" w:eastAsia="仿宋" w:cs="仿宋"/>
          <w:color w:val="auto"/>
          <w:sz w:val="30"/>
          <w:szCs w:val="30"/>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17.27</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3.16%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增加了人员支出</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0"/>
          <w:szCs w:val="30"/>
          <w:lang w:val="en-US" w:eastAsia="zh-CN"/>
        </w:rPr>
        <w:t>223.21</w:t>
      </w:r>
      <w:r>
        <w:rPr>
          <w:rFonts w:hint="eastAsia" w:ascii="仿宋" w:hAnsi="仿宋" w:eastAsia="仿宋" w:cs="仿宋"/>
          <w:color w:val="auto"/>
          <w:sz w:val="30"/>
          <w:szCs w:val="30"/>
          <w:lang w:eastAsia="zh-CN"/>
        </w:rPr>
        <w:t>万元，较上年</w:t>
      </w:r>
      <w:r>
        <w:rPr>
          <w:rFonts w:hint="eastAsia" w:ascii="仿宋" w:hAnsi="仿宋" w:eastAsia="仿宋" w:cs="仿宋"/>
          <w:color w:val="auto"/>
          <w:sz w:val="30"/>
          <w:szCs w:val="30"/>
          <w:u w:val="none"/>
          <w:lang w:eastAsia="zh-CN"/>
        </w:rPr>
        <w:t>预算安排增</w:t>
      </w:r>
      <w:r>
        <w:rPr>
          <w:rFonts w:hint="eastAsia" w:ascii="仿宋" w:hAnsi="仿宋" w:eastAsia="仿宋" w:cs="仿宋"/>
          <w:color w:val="auto"/>
          <w:sz w:val="30"/>
          <w:szCs w:val="30"/>
          <w:u w:val="none"/>
          <w:lang w:val="en-US" w:eastAsia="zh-CN"/>
        </w:rPr>
        <w:t>52.11</w:t>
      </w:r>
      <w:r>
        <w:rPr>
          <w:rFonts w:hint="eastAsia" w:ascii="仿宋" w:hAnsi="仿宋" w:eastAsia="仿宋" w:cs="仿宋"/>
          <w:color w:val="auto"/>
          <w:sz w:val="30"/>
          <w:szCs w:val="30"/>
          <w:u w:val="none"/>
          <w:lang w:eastAsia="zh-CN"/>
        </w:rPr>
        <w:t>元，其中：工资福利支出</w:t>
      </w:r>
      <w:r>
        <w:rPr>
          <w:rFonts w:hint="eastAsia" w:ascii="仿宋" w:hAnsi="仿宋" w:eastAsia="仿宋" w:cs="仿宋"/>
          <w:color w:val="auto"/>
          <w:sz w:val="30"/>
          <w:szCs w:val="30"/>
          <w:u w:val="none"/>
          <w:lang w:val="en-US" w:eastAsia="zh-CN"/>
        </w:rPr>
        <w:t>203.97</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19.12</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pacing w:val="-131"/>
          <w:sz w:val="30"/>
          <w:szCs w:val="30"/>
          <w:u w:val="none"/>
        </w:rPr>
        <w:t xml:space="preserve"> </w:t>
      </w:r>
      <w:r>
        <w:rPr>
          <w:rFonts w:hint="eastAsia" w:ascii="仿宋" w:hAnsi="仿宋" w:eastAsia="仿宋" w:cs="仿宋"/>
          <w:color w:val="auto"/>
          <w:sz w:val="32"/>
          <w:szCs w:val="32"/>
          <w:u w:val="none"/>
          <w:lang w:val="en-US" w:eastAsia="zh-CN"/>
        </w:rPr>
        <w:t>0.12</w:t>
      </w:r>
      <w:r>
        <w:rPr>
          <w:rFonts w:hint="eastAsia" w:ascii="仿宋" w:hAnsi="仿宋" w:eastAsia="仿宋" w:cs="仿宋"/>
          <w:color w:val="auto"/>
          <w:sz w:val="30"/>
          <w:szCs w:val="30"/>
          <w:u w:val="none"/>
          <w:lang w:eastAsia="zh-CN"/>
        </w:rPr>
        <w:t>万元。项目支出</w:t>
      </w:r>
      <w:r>
        <w:rPr>
          <w:rFonts w:hint="eastAsia" w:ascii="仿宋" w:hAnsi="仿宋" w:eastAsia="仿宋" w:cs="仿宋"/>
          <w:color w:val="auto"/>
          <w:sz w:val="32"/>
          <w:szCs w:val="32"/>
          <w:u w:val="none"/>
          <w:lang w:val="en-US" w:eastAsia="zh-CN"/>
        </w:rPr>
        <w:t>340.16</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34.84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其中：商品和服务支出</w:t>
      </w:r>
      <w:r>
        <w:rPr>
          <w:rFonts w:hint="eastAsia" w:ascii="仿宋" w:hAnsi="仿宋" w:eastAsia="仿宋" w:cs="仿宋"/>
          <w:color w:val="auto"/>
          <w:sz w:val="32"/>
          <w:szCs w:val="32"/>
          <w:u w:val="none"/>
          <w:lang w:val="en-US" w:eastAsia="zh-CN"/>
        </w:rPr>
        <w:t>340.16</w:t>
      </w:r>
      <w:r>
        <w:rPr>
          <w:rFonts w:hint="eastAsia" w:ascii="仿宋" w:hAnsi="仿宋" w:eastAsia="仿宋" w:cs="仿宋"/>
          <w:color w:val="auto"/>
          <w:sz w:val="30"/>
          <w:szCs w:val="30"/>
          <w:u w:val="none"/>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12"/>
          <w:sz w:val="30"/>
          <w:szCs w:val="30"/>
          <w:u w:val="none"/>
          <w:lang w:val="en-US" w:eastAsia="zh-CN"/>
        </w:rPr>
        <w:t>一般公共服务</w:t>
      </w:r>
      <w:r>
        <w:rPr>
          <w:rFonts w:hint="eastAsia" w:ascii="仿宋" w:hAnsi="仿宋" w:eastAsia="仿宋" w:cs="仿宋"/>
          <w:color w:val="auto"/>
          <w:spacing w:val="12"/>
          <w:sz w:val="30"/>
          <w:szCs w:val="30"/>
          <w:u w:val="none"/>
        </w:rPr>
        <w:t>支出</w:t>
      </w:r>
      <w:r>
        <w:rPr>
          <w:rFonts w:hint="eastAsia" w:ascii="仿宋" w:hAnsi="仿宋" w:eastAsia="仿宋" w:cs="仿宋"/>
          <w:color w:val="auto"/>
          <w:spacing w:val="12"/>
          <w:sz w:val="30"/>
          <w:szCs w:val="30"/>
          <w:u w:val="none"/>
          <w:lang w:val="en-US" w:eastAsia="zh-CN"/>
        </w:rPr>
        <w:t>503.75</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上年预算安排增加</w:t>
      </w:r>
      <w:r>
        <w:rPr>
          <w:rFonts w:hint="eastAsia" w:ascii="仿宋" w:hAnsi="仿宋" w:eastAsia="仿宋" w:cs="仿宋"/>
          <w:color w:val="auto"/>
          <w:spacing w:val="5"/>
          <w:sz w:val="30"/>
          <w:szCs w:val="30"/>
          <w:u w:val="none"/>
          <w:lang w:val="en-US" w:eastAsia="zh-CN"/>
        </w:rPr>
        <w:t>12.19</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z w:val="32"/>
          <w:szCs w:val="32"/>
          <w:u w:val="none"/>
          <w:lang w:val="en-US" w:eastAsia="zh-CN"/>
        </w:rPr>
        <w:t>22.68</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上年预算安排增加</w:t>
      </w:r>
      <w:r>
        <w:rPr>
          <w:rFonts w:hint="eastAsia" w:ascii="仿宋" w:hAnsi="仿宋" w:eastAsia="仿宋" w:cs="仿宋"/>
          <w:color w:val="auto"/>
          <w:spacing w:val="10"/>
          <w:sz w:val="30"/>
          <w:szCs w:val="30"/>
          <w:u w:val="none"/>
          <w:lang w:val="en-US" w:eastAsia="zh-CN"/>
        </w:rPr>
        <w:t>0.14</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val="en-US" w:eastAsia="zh-CN"/>
        </w:rPr>
        <w:t>18.05</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元,较上年预算安排增加</w:t>
      </w:r>
      <w:r>
        <w:rPr>
          <w:rFonts w:hint="eastAsia" w:ascii="仿宋" w:hAnsi="仿宋" w:eastAsia="仿宋" w:cs="仿宋"/>
          <w:color w:val="auto"/>
          <w:spacing w:val="5"/>
          <w:sz w:val="30"/>
          <w:szCs w:val="30"/>
          <w:u w:val="none"/>
          <w:lang w:val="en-US" w:eastAsia="zh-CN"/>
        </w:rPr>
        <w:t>2.89</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18.89</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pacing w:val="17"/>
          <w:sz w:val="30"/>
          <w:szCs w:val="30"/>
          <w:u w:val="none"/>
          <w:lang w:val="en-US" w:eastAsia="zh-CN"/>
        </w:rPr>
        <w:t>2.04</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bookmarkStart w:id="0" w:name="_GoBack"/>
      <w:bookmarkEnd w:id="0"/>
    </w:p>
    <w:p>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无政府性基金预算拨款安排的支出。</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w:t>
      </w:r>
      <w:r>
        <w:rPr>
          <w:rFonts w:hint="eastAsia" w:ascii="仿宋" w:hAnsi="仿宋" w:eastAsia="仿宋" w:cs="仿宋"/>
          <w:color w:val="auto"/>
          <w:sz w:val="32"/>
          <w:szCs w:val="32"/>
          <w:u w:val="none"/>
        </w:rPr>
        <w:t>算</w:t>
      </w:r>
      <w:r>
        <w:rPr>
          <w:rFonts w:hint="eastAsia" w:ascii="仿宋" w:hAnsi="仿宋" w:eastAsia="仿宋" w:cs="仿宋"/>
          <w:color w:val="auto"/>
          <w:sz w:val="32"/>
          <w:szCs w:val="32"/>
          <w:u w:val="none"/>
          <w:lang w:val="en-US" w:eastAsia="zh-CN"/>
        </w:rPr>
        <w:t>12.8</w:t>
      </w:r>
      <w:r>
        <w:rPr>
          <w:rFonts w:hint="eastAsia" w:ascii="仿宋" w:hAnsi="仿宋" w:eastAsia="仿宋" w:cs="仿宋"/>
          <w:color w:val="auto"/>
          <w:sz w:val="32"/>
          <w:szCs w:val="32"/>
          <w:u w:val="none"/>
        </w:rPr>
        <w:t>万</w:t>
      </w:r>
      <w:r>
        <w:rPr>
          <w:rFonts w:hint="eastAsia" w:ascii="仿宋" w:hAnsi="仿宋" w:eastAsia="仿宋" w:cs="仿宋"/>
          <w:color w:val="auto"/>
          <w:sz w:val="32"/>
          <w:szCs w:val="32"/>
        </w:rPr>
        <w:t>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年(上一年度）预算增加</w:t>
      </w:r>
      <w:r>
        <w:rPr>
          <w:rFonts w:hint="eastAsia" w:ascii="仿宋" w:hAnsi="仿宋" w:eastAsia="仿宋" w:cs="仿宋"/>
          <w:color w:val="auto"/>
          <w:sz w:val="32"/>
          <w:szCs w:val="32"/>
          <w:lang w:val="en-US" w:eastAsia="zh-CN"/>
        </w:rPr>
        <w:t>0.8</w:t>
      </w:r>
      <w:r>
        <w:rPr>
          <w:rFonts w:hint="eastAsia" w:ascii="仿宋" w:hAnsi="仿宋" w:eastAsia="仿宋" w:cs="仿宋"/>
          <w:color w:val="auto"/>
          <w:sz w:val="32"/>
          <w:szCs w:val="32"/>
        </w:rPr>
        <w:t>万元，增长</w:t>
      </w:r>
      <w:r>
        <w:rPr>
          <w:rFonts w:hint="eastAsia" w:ascii="仿宋" w:hAnsi="仿宋" w:eastAsia="仿宋" w:cs="仿宋"/>
          <w:color w:val="auto"/>
          <w:sz w:val="32"/>
          <w:szCs w:val="32"/>
          <w:lang w:val="en-US" w:eastAsia="zh-CN"/>
        </w:rPr>
        <w:t>6.25</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人员增加</w:t>
      </w:r>
      <w:r>
        <w:rPr>
          <w:rFonts w:hint="eastAsia" w:ascii="仿宋" w:hAnsi="仿宋" w:eastAsia="仿宋" w:cs="仿宋"/>
          <w:color w:val="auto"/>
          <w:sz w:val="32"/>
          <w:szCs w:val="32"/>
          <w:lang w:eastAsia="zh-CN"/>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w:t>
      </w:r>
      <w:r>
        <w:rPr>
          <w:rFonts w:hint="eastAsia" w:ascii="仿宋" w:hAnsi="仿宋" w:eastAsia="仿宋" w:cs="仿宋"/>
          <w:color w:val="auto"/>
          <w:sz w:val="32"/>
          <w:szCs w:val="32"/>
          <w:u w:val="none"/>
        </w:rPr>
        <w:t>购总额</w:t>
      </w:r>
      <w:r>
        <w:rPr>
          <w:rFonts w:hint="eastAsia" w:ascii="仿宋" w:hAnsi="仿宋" w:eastAsia="仿宋" w:cs="仿宋"/>
          <w:color w:val="auto"/>
          <w:sz w:val="32"/>
          <w:szCs w:val="32"/>
          <w:u w:val="none"/>
          <w:lang w:val="en-US" w:eastAsia="zh-CN"/>
        </w:rPr>
        <w:t>30.16</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25.16</w:t>
      </w:r>
      <w:r>
        <w:rPr>
          <w:rFonts w:hint="eastAsia" w:ascii="仿宋" w:hAnsi="仿宋" w:eastAsia="仿宋" w:cs="仿宋"/>
          <w:color w:val="auto"/>
          <w:sz w:val="32"/>
          <w:szCs w:val="32"/>
          <w:u w:val="none"/>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2023年本</w:t>
      </w:r>
      <w:r>
        <w:rPr>
          <w:rFonts w:hint="eastAsia" w:ascii="仿宋" w:hAnsi="仿宋" w:eastAsia="仿宋" w:cs="仿宋"/>
          <w:color w:val="auto"/>
          <w:sz w:val="32"/>
          <w:szCs w:val="32"/>
          <w:u w:val="none"/>
        </w:rPr>
        <w:t>部门预算安排购置车辆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ind w:firstLine="567" w:firstLineChars="189"/>
        <w:rPr>
          <w:rFonts w:hint="eastAsia" w:ascii="仿宋" w:hAnsi="仿宋" w:eastAsia="仿宋" w:cs="仿宋"/>
          <w:sz w:val="30"/>
          <w:szCs w:val="30"/>
        </w:rPr>
      </w:pPr>
      <w:r>
        <w:rPr>
          <w:rFonts w:hint="eastAsia" w:ascii="仿宋" w:hAnsi="仿宋" w:eastAsia="仿宋" w:cs="仿宋"/>
          <w:sz w:val="30"/>
          <w:szCs w:val="30"/>
          <w:lang w:val="en-US" w:eastAsia="zh-CN"/>
        </w:rPr>
        <w:t>2023</w:t>
      </w:r>
      <w:r>
        <w:rPr>
          <w:rFonts w:hint="eastAsia" w:ascii="仿宋" w:hAnsi="仿宋" w:eastAsia="仿宋" w:cs="仿宋"/>
          <w:sz w:val="30"/>
          <w:szCs w:val="30"/>
        </w:rPr>
        <w:t>年实行绩效目标管理的项目</w:t>
      </w:r>
      <w:r>
        <w:rPr>
          <w:rFonts w:hint="eastAsia" w:ascii="仿宋" w:hAnsi="仿宋" w:eastAsia="仿宋" w:cs="仿宋"/>
          <w:sz w:val="30"/>
          <w:szCs w:val="30"/>
          <w:lang w:val="en-US" w:eastAsia="zh-CN"/>
        </w:rPr>
        <w:t>1</w:t>
      </w:r>
      <w:r>
        <w:rPr>
          <w:rFonts w:hint="eastAsia" w:ascii="仿宋" w:hAnsi="仿宋" w:eastAsia="仿宋" w:cs="仿宋"/>
          <w:sz w:val="30"/>
          <w:szCs w:val="30"/>
        </w:rPr>
        <w:t>个，涉及资金</w:t>
      </w:r>
      <w:r>
        <w:rPr>
          <w:rFonts w:hint="eastAsia" w:ascii="仿宋" w:hAnsi="仿宋" w:eastAsia="仿宋" w:cs="仿宋"/>
          <w:sz w:val="30"/>
          <w:szCs w:val="30"/>
          <w:lang w:val="en-US" w:eastAsia="zh-CN"/>
        </w:rPr>
        <w:t>280</w:t>
      </w:r>
      <w:r>
        <w:rPr>
          <w:rFonts w:hint="eastAsia" w:ascii="仿宋" w:hAnsi="仿宋" w:eastAsia="仿宋" w:cs="仿宋"/>
          <w:sz w:val="30"/>
          <w:szCs w:val="30"/>
        </w:rPr>
        <w:t>万元：</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项目名称</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2022年度劝返工作经费</w:t>
      </w:r>
    </w:p>
    <w:p>
      <w:pPr>
        <w:ind w:firstLine="567" w:firstLineChars="189"/>
        <w:rPr>
          <w:rFonts w:hint="default" w:ascii="仿宋" w:hAnsi="仿宋" w:eastAsia="仿宋" w:cs="仿宋"/>
          <w:sz w:val="30"/>
          <w:szCs w:val="30"/>
          <w:lang w:val="en-US" w:eastAsia="zh-CN"/>
        </w:rPr>
      </w:pPr>
      <w:r>
        <w:rPr>
          <w:rFonts w:hint="eastAsia" w:ascii="仿宋" w:hAnsi="仿宋" w:eastAsia="仿宋" w:cs="仿宋"/>
          <w:sz w:val="30"/>
          <w:szCs w:val="30"/>
        </w:rPr>
        <w:t>1、项目概述</w:t>
      </w:r>
      <w:r>
        <w:rPr>
          <w:rFonts w:hint="eastAsia" w:ascii="仿宋" w:hAnsi="仿宋" w:eastAsia="仿宋" w:cs="仿宋"/>
          <w:sz w:val="30"/>
          <w:szCs w:val="30"/>
          <w:lang w:val="en-US" w:eastAsia="zh-CN"/>
        </w:rPr>
        <w:t>:2022年度劝返工作经费</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2.立项依据</w:t>
      </w:r>
      <w:r>
        <w:rPr>
          <w:rFonts w:hint="eastAsia" w:ascii="仿宋" w:hAnsi="仿宋" w:eastAsia="仿宋" w:cs="仿宋"/>
          <w:sz w:val="30"/>
          <w:szCs w:val="30"/>
          <w:lang w:eastAsia="zh-CN"/>
        </w:rPr>
        <w:t>：财政全额拨付</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3.实施主体</w:t>
      </w:r>
      <w:r>
        <w:rPr>
          <w:rFonts w:hint="eastAsia" w:ascii="仿宋" w:hAnsi="仿宋" w:eastAsia="仿宋" w:cs="仿宋"/>
          <w:sz w:val="30"/>
          <w:szCs w:val="30"/>
          <w:lang w:eastAsia="zh-CN"/>
        </w:rPr>
        <w:t>：兴国县委信访局</w:t>
      </w:r>
    </w:p>
    <w:p>
      <w:pPr>
        <w:ind w:firstLine="567" w:firstLineChars="189"/>
        <w:rPr>
          <w:rFonts w:hint="default" w:ascii="仿宋" w:hAnsi="仿宋" w:eastAsia="仿宋" w:cs="仿宋"/>
          <w:sz w:val="30"/>
          <w:szCs w:val="30"/>
          <w:lang w:val="en-US" w:eastAsia="zh-CN"/>
        </w:rPr>
      </w:pPr>
      <w:r>
        <w:rPr>
          <w:rFonts w:hint="eastAsia" w:ascii="仿宋" w:hAnsi="仿宋" w:eastAsia="仿宋" w:cs="仿宋"/>
          <w:sz w:val="30"/>
          <w:szCs w:val="30"/>
        </w:rPr>
        <w:t>4、实施周期</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2023年</w:t>
      </w:r>
    </w:p>
    <w:p>
      <w:pPr>
        <w:ind w:firstLine="567" w:firstLineChars="189"/>
        <w:rPr>
          <w:rFonts w:hint="default" w:ascii="仿宋" w:hAnsi="仿宋" w:eastAsia="仿宋" w:cs="仿宋"/>
          <w:sz w:val="30"/>
          <w:szCs w:val="30"/>
          <w:lang w:val="en-US" w:eastAsia="zh-CN"/>
        </w:rPr>
      </w:pPr>
      <w:r>
        <w:rPr>
          <w:rFonts w:hint="eastAsia" w:ascii="仿宋" w:hAnsi="仿宋" w:eastAsia="仿宋" w:cs="仿宋"/>
          <w:sz w:val="30"/>
          <w:szCs w:val="30"/>
        </w:rPr>
        <w:t>5.年度预算安排</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280万财政资金</w:t>
      </w:r>
    </w:p>
    <w:p>
      <w:pPr>
        <w:ind w:firstLine="567" w:firstLineChars="189"/>
        <w:rPr>
          <w:rFonts w:hint="eastAsia" w:ascii="仿宋" w:hAnsi="仿宋" w:eastAsia="仿宋" w:cs="仿宋"/>
          <w:sz w:val="30"/>
          <w:szCs w:val="30"/>
          <w:lang w:val="en-US" w:eastAsia="zh-CN"/>
        </w:rPr>
      </w:pPr>
      <w:r>
        <w:rPr>
          <w:rFonts w:hint="eastAsia" w:ascii="仿宋" w:hAnsi="仿宋" w:eastAsia="仿宋" w:cs="仿宋"/>
          <w:sz w:val="30"/>
          <w:szCs w:val="30"/>
        </w:rPr>
        <w:t>6.年度绩效目标</w:t>
      </w:r>
      <w:r>
        <w:rPr>
          <w:rFonts w:hint="eastAsia" w:ascii="仿宋" w:hAnsi="仿宋" w:eastAsia="仿宋" w:cs="仿宋"/>
          <w:sz w:val="30"/>
          <w:szCs w:val="30"/>
          <w:lang w:eastAsia="zh-CN"/>
        </w:rPr>
        <w:t>：通过派出各个劝返工作组，做到及时劝返进京、赴省、赴市上访人员，确保及时劝返率</w:t>
      </w:r>
      <w:r>
        <w:rPr>
          <w:rFonts w:hint="eastAsia" w:ascii="仿宋" w:hAnsi="仿宋" w:eastAsia="仿宋" w:cs="仿宋"/>
          <w:sz w:val="30"/>
          <w:szCs w:val="30"/>
          <w:lang w:val="en-US" w:eastAsia="zh-CN"/>
        </w:rPr>
        <w:t>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color w:val="auto"/>
          <w:lang w:eastAsia="zh-CN"/>
        </w:rPr>
      </w:pPr>
      <w:r>
        <w:rPr>
          <w:rFonts w:hint="eastAsia" w:ascii="仿宋" w:hAnsi="仿宋" w:eastAsia="仿宋" w:cs="仿宋"/>
          <w:color w:val="auto"/>
          <w:sz w:val="32"/>
          <w:szCs w:val="32"/>
          <w:lang w:val="en-US" w:eastAsia="zh-CN"/>
        </w:rPr>
        <w:t>无使用国有资本经营预算拨款安排的支出</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w:t>
      </w:r>
      <w:r>
        <w:rPr>
          <w:rFonts w:hint="eastAsia" w:ascii="仿宋" w:hAnsi="仿宋" w:eastAsia="仿宋" w:cs="仿宋"/>
          <w:color w:val="auto"/>
          <w:sz w:val="32"/>
          <w:szCs w:val="32"/>
          <w:lang w:val="en-US" w:eastAsia="zh-CN"/>
        </w:rPr>
        <w:t>县委信访局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sz w:val="32"/>
          <w:szCs w:val="32"/>
        </w:rPr>
        <w:t>因公出国</w:t>
      </w:r>
      <w:r>
        <w:rPr>
          <w:rFonts w:hint="eastAsia" w:ascii="仿宋" w:hAnsi="仿宋" w:eastAsia="仿宋" w:cs="仿宋"/>
          <w:color w:val="auto"/>
          <w:sz w:val="32"/>
          <w:szCs w:val="32"/>
        </w:rPr>
        <w:t>（境）费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与上年持平</w:t>
      </w:r>
      <w:r>
        <w:rPr>
          <w:rFonts w:hint="eastAsia" w:ascii="仿宋" w:hAnsi="仿宋" w:eastAsia="仿宋" w:cs="仿宋"/>
          <w:color w:val="auto"/>
          <w:sz w:val="32"/>
          <w:szCs w:val="32"/>
          <w:lang w:eastAsia="zh-CN"/>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与上年持平</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与上年持平。</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与上年持平</w:t>
      </w:r>
      <w:r>
        <w:rPr>
          <w:rFonts w:hint="eastAsia" w:ascii="仿宋" w:hAnsi="仿宋" w:eastAsia="仿宋" w:cs="仿宋"/>
          <w:color w:val="auto"/>
          <w:sz w:val="32"/>
          <w:szCs w:val="32"/>
        </w:rPr>
        <w:t>。</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w:t>
      </w:r>
      <w:r>
        <w:rPr>
          <w:rFonts w:hint="eastAsia" w:ascii="黑体" w:hAnsi="黑体" w:eastAsia="黑体" w:cs="黑体"/>
          <w:b w:val="0"/>
          <w:bCs w:val="0"/>
          <w:color w:val="auto"/>
          <w:sz w:val="32"/>
          <w:szCs w:val="32"/>
          <w:lang w:val="en-US" w:eastAsia="zh-CN"/>
        </w:rPr>
        <w:t>县委信访局2023年</w:t>
      </w:r>
      <w:r>
        <w:rPr>
          <w:rFonts w:hint="eastAsia" w:ascii="黑体" w:hAnsi="黑体" w:eastAsia="黑体" w:cs="黑体"/>
          <w:b w:val="0"/>
          <w:bCs w:val="0"/>
          <w:color w:val="auto"/>
          <w:sz w:val="32"/>
          <w:szCs w:val="32"/>
        </w:rPr>
        <w:t>部门预算表</w:t>
      </w:r>
    </w:p>
    <w:p>
      <w:pPr>
        <w:spacing w:line="560" w:lineRule="exac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kern w:val="2"/>
          <w:sz w:val="32"/>
          <w:szCs w:val="32"/>
          <w:lang w:val="zh-CN" w:eastAsia="zh-CN" w:bidi="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pStyle w:val="2"/>
        <w:numPr>
          <w:ilvl w:val="0"/>
          <w:numId w:val="1"/>
        </w:numPr>
        <w:rPr>
          <w:rFonts w:hint="eastAsia" w:eastAsia="仿宋"/>
          <w:color w:val="auto"/>
          <w:lang w:eastAsia="zh-CN"/>
        </w:rPr>
      </w:pPr>
      <w:r>
        <w:rPr>
          <w:rFonts w:hint="eastAsia" w:eastAsia="仿宋"/>
          <w:color w:val="auto"/>
          <w:lang w:eastAsia="zh-CN"/>
        </w:rPr>
        <w:t>《国有资本经营预算支出表》</w:t>
      </w:r>
      <w:r>
        <w:rPr>
          <w:rFonts w:hint="eastAsia" w:ascii="仿宋" w:hAnsi="仿宋" w:eastAsia="仿宋" w:cs="仿宋"/>
          <w:color w:val="auto"/>
          <w:sz w:val="32"/>
          <w:szCs w:val="32"/>
          <w:lang w:eastAsia="zh-CN"/>
        </w:rPr>
        <w:t>（见附表）</w:t>
      </w:r>
    </w:p>
    <w:p>
      <w:pPr>
        <w:pStyle w:val="2"/>
        <w:numPr>
          <w:ilvl w:val="0"/>
          <w:numId w:val="0"/>
        </w:numPr>
        <w:rPr>
          <w:rFonts w:hint="eastAsia" w:eastAsia="仿宋"/>
          <w:color w:val="auto"/>
          <w:lang w:eastAsia="zh-CN"/>
        </w:rPr>
      </w:pPr>
      <w:r>
        <w:rPr>
          <w:rFonts w:hint="eastAsia" w:eastAsia="仿宋"/>
          <w:b/>
          <w:bCs/>
          <w:sz w:val="30"/>
          <w:szCs w:val="30"/>
          <w:lang w:eastAsia="zh-CN"/>
        </w:rPr>
        <w:drawing>
          <wp:inline distT="0" distB="0" distL="114300" distR="114300">
            <wp:extent cx="5813425" cy="3319780"/>
            <wp:effectExtent l="0" t="0" r="15875" b="13970"/>
            <wp:docPr id="6" name="图片 6" descr="1715221739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15221739825"/>
                    <pic:cNvPicPr>
                      <a:picLocks noChangeAspect="1"/>
                    </pic:cNvPicPr>
                  </pic:nvPicPr>
                  <pic:blipFill>
                    <a:blip r:embed="rId5"/>
                    <a:stretch>
                      <a:fillRect/>
                    </a:stretch>
                  </pic:blipFill>
                  <pic:spPr>
                    <a:xfrm>
                      <a:off x="0" y="0"/>
                      <a:ext cx="5813425" cy="3319780"/>
                    </a:xfrm>
                    <a:prstGeom prst="rect">
                      <a:avLst/>
                    </a:prstGeom>
                  </pic:spPr>
                </pic:pic>
              </a:graphicData>
            </a:graphic>
          </wp:inline>
        </w:drawing>
      </w: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《部门整体支出绩效目标表》</w:t>
      </w:r>
    </w:p>
    <w:p>
      <w:pPr>
        <w:pStyle w:val="2"/>
        <w:rPr>
          <w:color w:val="auto"/>
        </w:rPr>
      </w:pPr>
      <w:r>
        <w:rPr>
          <w:rFonts w:hint="eastAsia" w:eastAsia="仿宋"/>
          <w:color w:val="FF0000"/>
          <w:lang w:eastAsia="zh-CN"/>
        </w:rPr>
        <w:drawing>
          <wp:inline distT="0" distB="0" distL="114300" distR="114300">
            <wp:extent cx="5543550" cy="5995035"/>
            <wp:effectExtent l="0" t="0" r="0" b="5715"/>
            <wp:docPr id="13" name="图片 13" descr="1673853194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73853194207"/>
                    <pic:cNvPicPr>
                      <a:picLocks noChangeAspect="1"/>
                    </pic:cNvPicPr>
                  </pic:nvPicPr>
                  <pic:blipFill>
                    <a:blip r:embed="rId6"/>
                    <a:stretch>
                      <a:fillRect/>
                    </a:stretch>
                  </pic:blipFill>
                  <pic:spPr>
                    <a:xfrm>
                      <a:off x="0" y="0"/>
                      <a:ext cx="5543550" cy="5995035"/>
                    </a:xfrm>
                    <a:prstGeom prst="rect">
                      <a:avLst/>
                    </a:prstGeom>
                  </pic:spPr>
                </pic:pic>
              </a:graphicData>
            </a:graphic>
          </wp:inline>
        </w:drawing>
      </w: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十一、</w:t>
      </w:r>
      <w:r>
        <w:rPr>
          <w:rFonts w:hint="eastAsia" w:ascii="仿宋" w:hAnsi="仿宋" w:eastAsia="仿宋" w:cs="仿宋"/>
          <w:color w:val="auto"/>
          <w:sz w:val="32"/>
          <w:szCs w:val="32"/>
        </w:rPr>
        <w:t>《项目支出绩效目标表》</w:t>
      </w:r>
    </w:p>
    <w:p>
      <w:pPr>
        <w:pStyle w:val="2"/>
        <w:numPr>
          <w:ilvl w:val="0"/>
          <w:numId w:val="0"/>
        </w:numPr>
        <w:ind w:leftChars="0"/>
        <w:rPr>
          <w:color w:val="auto"/>
        </w:rPr>
      </w:pPr>
      <w:r>
        <w:rPr>
          <w:rFonts w:hint="eastAsia" w:eastAsia="仿宋"/>
          <w:color w:val="FF0000"/>
          <w:lang w:eastAsia="zh-CN"/>
        </w:rPr>
        <w:drawing>
          <wp:inline distT="0" distB="0" distL="114300" distR="114300">
            <wp:extent cx="5542915" cy="6293485"/>
            <wp:effectExtent l="0" t="0" r="635" b="12065"/>
            <wp:docPr id="15" name="图片 15" descr="1673853365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73853365038"/>
                    <pic:cNvPicPr>
                      <a:picLocks noChangeAspect="1"/>
                    </pic:cNvPicPr>
                  </pic:nvPicPr>
                  <pic:blipFill>
                    <a:blip r:embed="rId7"/>
                    <a:stretch>
                      <a:fillRect/>
                    </a:stretch>
                  </pic:blipFill>
                  <pic:spPr>
                    <a:xfrm>
                      <a:off x="0" y="0"/>
                      <a:ext cx="5542915" cy="6293485"/>
                    </a:xfrm>
                    <a:prstGeom prst="rect">
                      <a:avLst/>
                    </a:prstGeom>
                  </pic:spPr>
                </pic:pic>
              </a:graphicData>
            </a:graphic>
          </wp:inline>
        </w:drawing>
      </w: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xNDc1MjFiNGRlYzgxMTU0ZTA4ZTRjMmEwZjNjNTAifQ=="/>
  </w:docVars>
  <w:rsids>
    <w:rsidRoot w:val="445E02C8"/>
    <w:rsid w:val="04EE7A30"/>
    <w:rsid w:val="150775E9"/>
    <w:rsid w:val="1564115A"/>
    <w:rsid w:val="191E57AB"/>
    <w:rsid w:val="19CF11C0"/>
    <w:rsid w:val="1D4F53F8"/>
    <w:rsid w:val="326D79FF"/>
    <w:rsid w:val="3A4013F4"/>
    <w:rsid w:val="3A9D09A0"/>
    <w:rsid w:val="3F5F2902"/>
    <w:rsid w:val="3FFE2FA6"/>
    <w:rsid w:val="4023271D"/>
    <w:rsid w:val="445E02C8"/>
    <w:rsid w:val="448B7F7A"/>
    <w:rsid w:val="5B653F38"/>
    <w:rsid w:val="71724DA6"/>
    <w:rsid w:val="7458022D"/>
    <w:rsid w:val="7D146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annotation text"/>
    <w:basedOn w:val="1"/>
    <w:uiPriority w:val="0"/>
    <w:pPr>
      <w:jc w:val="left"/>
    </w:pPr>
  </w:style>
  <w:style w:type="paragraph" w:styleId="4">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2819</Words>
  <Characters>3108</Characters>
  <Lines>0</Lines>
  <Paragraphs>0</Paragraphs>
  <TotalTime>2</TotalTime>
  <ScaleCrop>false</ScaleCrop>
  <LinksUpToDate>false</LinksUpToDate>
  <CharactersWithSpaces>3123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深蓝</cp:lastModifiedBy>
  <dcterms:modified xsi:type="dcterms:W3CDTF">2024-05-30T09:16:33Z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89B1327A78064DDEBD6D75133ABABF4E_13</vt:lpwstr>
  </property>
</Properties>
</file>