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ind w:right="449" w:rightChars="214"/>
        <w:jc w:val="center"/>
        <w:rPr>
          <w:rFonts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rPr>
        <w:t xml:space="preserve"> 兴国县</w:t>
      </w:r>
      <w:r>
        <w:rPr>
          <w:rFonts w:hint="eastAsia" w:ascii="方正小标宋简体" w:hAnsi="方正小标宋简体" w:eastAsia="方正小标宋简体" w:cs="方正小标宋简体"/>
          <w:bCs/>
          <w:color w:val="000000"/>
          <w:sz w:val="44"/>
          <w:szCs w:val="44"/>
          <w:lang w:eastAsia="zh-CN"/>
        </w:rPr>
        <w:t>归国华侨联合会</w:t>
      </w:r>
      <w:r>
        <w:rPr>
          <w:rFonts w:hint="eastAsia" w:ascii="方正小标宋简体" w:hAnsi="方正小标宋简体" w:eastAsia="方正小标宋简体" w:cs="方正小标宋简体"/>
          <w:bCs/>
          <w:color w:val="000000"/>
          <w:sz w:val="44"/>
          <w:szCs w:val="44"/>
        </w:rPr>
        <w:t>2023年部门预算编制说明</w:t>
      </w:r>
    </w:p>
    <w:p>
      <w:pPr>
        <w:spacing w:line="540" w:lineRule="exact"/>
        <w:ind w:right="449" w:rightChars="214"/>
        <w:jc w:val="center"/>
        <w:rPr>
          <w:rFonts w:asciiTheme="majorEastAsia" w:hAnsiTheme="majorEastAsia" w:eastAsiaTheme="majorEastAsia" w:cstheme="majorEastAsia"/>
          <w:color w:val="000000"/>
          <w:sz w:val="44"/>
          <w:szCs w:val="44"/>
        </w:rPr>
      </w:pPr>
    </w:p>
    <w:p>
      <w:pPr>
        <w:spacing w:line="540" w:lineRule="exact"/>
        <w:ind w:right="449" w:rightChars="214"/>
        <w:jc w:val="center"/>
        <w:rPr>
          <w:rFonts w:asciiTheme="majorEastAsia" w:hAnsiTheme="majorEastAsia" w:eastAsiaTheme="majorEastAsia" w:cstheme="majorEastAsia"/>
          <w:b/>
          <w:bCs/>
          <w:color w:val="000000"/>
          <w:sz w:val="44"/>
          <w:szCs w:val="44"/>
        </w:rPr>
      </w:pPr>
      <w:r>
        <w:rPr>
          <w:rFonts w:hint="eastAsia" w:asciiTheme="majorEastAsia" w:hAnsiTheme="majorEastAsia" w:eastAsiaTheme="majorEastAsia" w:cstheme="majorEastAsia"/>
          <w:b/>
          <w:bCs/>
          <w:color w:val="000000"/>
          <w:sz w:val="44"/>
          <w:szCs w:val="44"/>
        </w:rPr>
        <w:t>目 录</w:t>
      </w:r>
    </w:p>
    <w:p>
      <w:pPr>
        <w:keepNext w:val="0"/>
        <w:keepLines w:val="0"/>
        <w:pageBreakBefore w:val="0"/>
        <w:widowControl w:val="0"/>
        <w:kinsoku/>
        <w:wordWrap/>
        <w:overflowPunct/>
        <w:topLinePunct w:val="0"/>
        <w:bidi w:val="0"/>
        <w:snapToGrid/>
        <w:spacing w:line="540" w:lineRule="exact"/>
        <w:ind w:right="449" w:rightChars="214"/>
        <w:textAlignment w:val="auto"/>
        <w:rPr>
          <w:rFonts w:hint="eastAsia" w:eastAsia="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right="449" w:rightChars="214" w:firstLine="643" w:firstLineChars="200"/>
        <w:textAlignment w:val="auto"/>
        <w:rPr>
          <w:rFonts w:hint="default" w:eastAsia="仿宋_GB2312"/>
          <w:b/>
          <w:bCs/>
          <w:color w:val="000000"/>
          <w:sz w:val="32"/>
          <w:szCs w:val="32"/>
          <w:lang w:val="en-US" w:eastAsia="zh-CN"/>
        </w:rPr>
      </w:pPr>
      <w:r>
        <w:rPr>
          <w:rFonts w:hint="eastAsia" w:eastAsia="仿宋_GB2312"/>
          <w:b/>
          <w:bCs/>
          <w:color w:val="000000"/>
          <w:sz w:val="32"/>
          <w:szCs w:val="32"/>
          <w:lang w:val="en-US" w:eastAsia="zh-CN"/>
        </w:rPr>
        <w:t>第一部分 兴国县侨联部门概况</w:t>
      </w:r>
    </w:p>
    <w:p>
      <w:pPr>
        <w:keepNext w:val="0"/>
        <w:keepLines w:val="0"/>
        <w:pageBreakBefore w:val="0"/>
        <w:widowControl w:val="0"/>
        <w:kinsoku/>
        <w:wordWrap/>
        <w:overflowPunct/>
        <w:topLinePunct w:val="0"/>
        <w:autoSpaceDE/>
        <w:autoSpaceDN/>
        <w:bidi w:val="0"/>
        <w:adjustRightInd/>
        <w:snapToGrid/>
        <w:spacing w:line="540" w:lineRule="exact"/>
        <w:ind w:right="449" w:rightChars="214" w:firstLine="1280" w:firstLineChars="400"/>
        <w:textAlignment w:val="auto"/>
        <w:rPr>
          <w:rFonts w:hint="eastAsia" w:eastAsia="仿宋_GB2312"/>
          <w:color w:val="000000"/>
          <w:sz w:val="32"/>
          <w:szCs w:val="32"/>
          <w:lang w:val="en-US" w:eastAsia="zh-CN"/>
        </w:rPr>
      </w:pPr>
      <w:r>
        <w:rPr>
          <w:rFonts w:hint="eastAsia" w:eastAsia="仿宋_GB2312"/>
          <w:color w:val="000000"/>
          <w:sz w:val="32"/>
          <w:szCs w:val="32"/>
          <w:lang w:val="en-US" w:eastAsia="zh-CN"/>
        </w:rPr>
        <w:t>一、部门主要职责</w:t>
      </w:r>
    </w:p>
    <w:p>
      <w:pPr>
        <w:keepNext w:val="0"/>
        <w:keepLines w:val="0"/>
        <w:pageBreakBefore w:val="0"/>
        <w:widowControl w:val="0"/>
        <w:kinsoku/>
        <w:wordWrap/>
        <w:overflowPunct/>
        <w:topLinePunct w:val="0"/>
        <w:autoSpaceDE/>
        <w:autoSpaceDN/>
        <w:bidi w:val="0"/>
        <w:adjustRightInd/>
        <w:snapToGrid/>
        <w:spacing w:line="540" w:lineRule="exact"/>
        <w:ind w:right="449" w:rightChars="214" w:firstLine="1280" w:firstLineChars="400"/>
        <w:textAlignment w:val="auto"/>
        <w:rPr>
          <w:rFonts w:hint="eastAsia" w:eastAsia="仿宋_GB2312"/>
          <w:color w:val="000000"/>
          <w:sz w:val="32"/>
          <w:szCs w:val="32"/>
          <w:lang w:val="en-US" w:eastAsia="zh-CN"/>
        </w:rPr>
      </w:pPr>
      <w:r>
        <w:rPr>
          <w:rFonts w:hint="eastAsia" w:eastAsia="仿宋_GB2312"/>
          <w:color w:val="000000"/>
          <w:sz w:val="32"/>
          <w:szCs w:val="32"/>
          <w:lang w:val="en-US" w:eastAsia="zh-CN"/>
        </w:rPr>
        <w:t>二、部门基本情况</w:t>
      </w:r>
    </w:p>
    <w:p>
      <w:pPr>
        <w:keepNext w:val="0"/>
        <w:keepLines w:val="0"/>
        <w:pageBreakBefore w:val="0"/>
        <w:widowControl w:val="0"/>
        <w:kinsoku/>
        <w:wordWrap/>
        <w:overflowPunct/>
        <w:topLinePunct w:val="0"/>
        <w:autoSpaceDE/>
        <w:autoSpaceDN/>
        <w:bidi w:val="0"/>
        <w:adjustRightInd/>
        <w:snapToGrid/>
        <w:spacing w:line="540" w:lineRule="exact"/>
        <w:ind w:right="449" w:rightChars="214" w:firstLine="643" w:firstLineChars="200"/>
        <w:textAlignment w:val="auto"/>
        <w:rPr>
          <w:rFonts w:hint="default" w:eastAsia="仿宋_GB2312"/>
          <w:b/>
          <w:bCs/>
          <w:color w:val="000000"/>
          <w:spacing w:val="-6"/>
          <w:sz w:val="32"/>
          <w:szCs w:val="32"/>
          <w:lang w:val="en-US" w:eastAsia="zh-CN"/>
        </w:rPr>
      </w:pPr>
      <w:r>
        <w:rPr>
          <w:rFonts w:hint="eastAsia" w:eastAsia="仿宋_GB2312"/>
          <w:b/>
          <w:bCs/>
          <w:color w:val="000000"/>
          <w:sz w:val="32"/>
          <w:szCs w:val="32"/>
          <w:lang w:val="en-US" w:eastAsia="zh-CN"/>
        </w:rPr>
        <w:t xml:space="preserve">第二部分 </w:t>
      </w:r>
      <w:r>
        <w:rPr>
          <w:rFonts w:hint="eastAsia" w:eastAsia="仿宋_GB2312"/>
          <w:b/>
          <w:bCs/>
          <w:color w:val="000000"/>
          <w:spacing w:val="-6"/>
          <w:sz w:val="32"/>
          <w:szCs w:val="32"/>
          <w:lang w:val="en-US" w:eastAsia="zh-CN"/>
        </w:rPr>
        <w:t>兴国县侨联2023年部门预算情况说明</w:t>
      </w:r>
    </w:p>
    <w:p>
      <w:pPr>
        <w:keepNext w:val="0"/>
        <w:keepLines w:val="0"/>
        <w:pageBreakBefore w:val="0"/>
        <w:widowControl w:val="0"/>
        <w:kinsoku/>
        <w:wordWrap/>
        <w:overflowPunct/>
        <w:topLinePunct w:val="0"/>
        <w:autoSpaceDE/>
        <w:autoSpaceDN/>
        <w:bidi w:val="0"/>
        <w:adjustRightInd/>
        <w:snapToGrid/>
        <w:spacing w:line="540" w:lineRule="exact"/>
        <w:ind w:right="449" w:rightChars="214" w:firstLine="1280" w:firstLineChars="400"/>
        <w:textAlignment w:val="auto"/>
        <w:rPr>
          <w:rFonts w:hint="default" w:eastAsia="仿宋_GB2312"/>
          <w:color w:val="000000"/>
          <w:sz w:val="32"/>
          <w:szCs w:val="32"/>
          <w:lang w:val="en-US" w:eastAsia="zh-CN"/>
        </w:rPr>
      </w:pPr>
      <w:r>
        <w:rPr>
          <w:rFonts w:hint="eastAsia" w:eastAsia="仿宋_GB2312"/>
          <w:color w:val="000000"/>
          <w:sz w:val="32"/>
          <w:szCs w:val="32"/>
          <w:lang w:val="en-US" w:eastAsia="zh-CN"/>
        </w:rPr>
        <w:t>一、2023年部门预算收支情况说明</w:t>
      </w:r>
    </w:p>
    <w:p>
      <w:pPr>
        <w:keepNext w:val="0"/>
        <w:keepLines w:val="0"/>
        <w:pageBreakBefore w:val="0"/>
        <w:widowControl w:val="0"/>
        <w:kinsoku/>
        <w:wordWrap/>
        <w:overflowPunct/>
        <w:topLinePunct w:val="0"/>
        <w:autoSpaceDE/>
        <w:autoSpaceDN/>
        <w:bidi w:val="0"/>
        <w:adjustRightInd/>
        <w:snapToGrid/>
        <w:spacing w:line="540" w:lineRule="exact"/>
        <w:ind w:right="449" w:rightChars="214" w:firstLine="1280" w:firstLineChars="400"/>
        <w:textAlignment w:val="auto"/>
        <w:rPr>
          <w:rFonts w:hint="default" w:eastAsia="仿宋_GB2312"/>
          <w:color w:val="000000"/>
          <w:sz w:val="32"/>
          <w:szCs w:val="32"/>
          <w:lang w:val="en-US" w:eastAsia="zh-CN"/>
        </w:rPr>
      </w:pPr>
      <w:r>
        <w:rPr>
          <w:rFonts w:hint="eastAsia" w:eastAsia="仿宋_GB2312"/>
          <w:color w:val="000000"/>
          <w:sz w:val="32"/>
          <w:szCs w:val="32"/>
          <w:lang w:val="en-US" w:eastAsia="zh-CN"/>
        </w:rPr>
        <w:t>二、2023年“三公”经费预算情况说明</w:t>
      </w:r>
    </w:p>
    <w:p>
      <w:pPr>
        <w:keepNext w:val="0"/>
        <w:keepLines w:val="0"/>
        <w:pageBreakBefore w:val="0"/>
        <w:widowControl w:val="0"/>
        <w:kinsoku/>
        <w:wordWrap/>
        <w:overflowPunct/>
        <w:topLinePunct w:val="0"/>
        <w:autoSpaceDE/>
        <w:autoSpaceDN/>
        <w:bidi w:val="0"/>
        <w:adjustRightInd/>
        <w:snapToGrid/>
        <w:spacing w:line="540" w:lineRule="exact"/>
        <w:ind w:right="449" w:rightChars="214" w:firstLine="643" w:firstLineChars="200"/>
        <w:textAlignment w:val="auto"/>
        <w:rPr>
          <w:rFonts w:hint="default" w:eastAsia="仿宋_GB2312"/>
          <w:b/>
          <w:bCs/>
          <w:color w:val="000000"/>
          <w:sz w:val="32"/>
          <w:szCs w:val="32"/>
          <w:lang w:val="en-US" w:eastAsia="zh-CN"/>
        </w:rPr>
      </w:pPr>
      <w:r>
        <w:rPr>
          <w:rFonts w:hint="eastAsia" w:eastAsia="仿宋_GB2312"/>
          <w:b/>
          <w:bCs/>
          <w:color w:val="000000"/>
          <w:sz w:val="32"/>
          <w:szCs w:val="32"/>
          <w:lang w:val="en-US" w:eastAsia="zh-CN"/>
        </w:rPr>
        <w:t>第三部分  兴国县侨联2023年部门预算表</w:t>
      </w:r>
    </w:p>
    <w:p>
      <w:pPr>
        <w:keepNext w:val="0"/>
        <w:keepLines w:val="0"/>
        <w:pageBreakBefore w:val="0"/>
        <w:widowControl w:val="0"/>
        <w:kinsoku/>
        <w:wordWrap/>
        <w:overflowPunct/>
        <w:topLinePunct w:val="0"/>
        <w:autoSpaceDE/>
        <w:autoSpaceDN/>
        <w:bidi w:val="0"/>
        <w:adjustRightInd/>
        <w:snapToGrid/>
        <w:spacing w:line="540" w:lineRule="exact"/>
        <w:ind w:right="449" w:rightChars="214" w:firstLine="1280" w:firstLineChars="400"/>
        <w:textAlignment w:val="auto"/>
        <w:rPr>
          <w:rFonts w:hint="eastAsia" w:eastAsia="仿宋_GB2312"/>
          <w:color w:val="000000"/>
          <w:sz w:val="32"/>
          <w:szCs w:val="32"/>
          <w:lang w:val="en-US" w:eastAsia="zh-CN"/>
        </w:rPr>
      </w:pPr>
      <w:r>
        <w:rPr>
          <w:rFonts w:hint="eastAsia" w:eastAsia="仿宋_GB2312"/>
          <w:color w:val="000000"/>
          <w:sz w:val="32"/>
          <w:szCs w:val="32"/>
          <w:lang w:val="en-US" w:eastAsia="zh-CN"/>
        </w:rPr>
        <w:t>一、《收支预算总表》</w:t>
      </w:r>
    </w:p>
    <w:p>
      <w:pPr>
        <w:keepNext w:val="0"/>
        <w:keepLines w:val="0"/>
        <w:pageBreakBefore w:val="0"/>
        <w:widowControl w:val="0"/>
        <w:kinsoku/>
        <w:wordWrap/>
        <w:overflowPunct/>
        <w:topLinePunct w:val="0"/>
        <w:autoSpaceDE/>
        <w:autoSpaceDN/>
        <w:bidi w:val="0"/>
        <w:adjustRightInd/>
        <w:snapToGrid/>
        <w:spacing w:line="540" w:lineRule="exact"/>
        <w:ind w:right="449" w:rightChars="214" w:firstLine="1280" w:firstLineChars="400"/>
        <w:textAlignment w:val="auto"/>
        <w:rPr>
          <w:rFonts w:hint="eastAsia" w:eastAsia="仿宋_GB2312"/>
          <w:color w:val="000000"/>
          <w:sz w:val="32"/>
          <w:szCs w:val="32"/>
          <w:lang w:val="en-US" w:eastAsia="zh-CN"/>
        </w:rPr>
      </w:pPr>
      <w:r>
        <w:rPr>
          <w:rFonts w:hint="eastAsia" w:eastAsia="仿宋_GB2312"/>
          <w:color w:val="000000"/>
          <w:sz w:val="32"/>
          <w:szCs w:val="32"/>
          <w:lang w:val="en-US" w:eastAsia="zh-CN"/>
        </w:rPr>
        <w:t>二、《部门收入总表》</w:t>
      </w:r>
    </w:p>
    <w:p>
      <w:pPr>
        <w:keepNext w:val="0"/>
        <w:keepLines w:val="0"/>
        <w:pageBreakBefore w:val="0"/>
        <w:widowControl w:val="0"/>
        <w:kinsoku/>
        <w:wordWrap/>
        <w:overflowPunct/>
        <w:topLinePunct w:val="0"/>
        <w:autoSpaceDE/>
        <w:autoSpaceDN/>
        <w:bidi w:val="0"/>
        <w:adjustRightInd/>
        <w:snapToGrid/>
        <w:spacing w:line="540" w:lineRule="exact"/>
        <w:ind w:right="449" w:rightChars="214" w:firstLine="1280" w:firstLineChars="400"/>
        <w:textAlignment w:val="auto"/>
        <w:rPr>
          <w:rFonts w:hint="eastAsia" w:eastAsia="仿宋_GB2312"/>
          <w:color w:val="000000"/>
          <w:sz w:val="32"/>
          <w:szCs w:val="32"/>
          <w:lang w:val="en-US" w:eastAsia="zh-CN"/>
        </w:rPr>
      </w:pPr>
      <w:r>
        <w:rPr>
          <w:rFonts w:hint="eastAsia" w:eastAsia="仿宋_GB2312"/>
          <w:color w:val="000000"/>
          <w:sz w:val="32"/>
          <w:szCs w:val="32"/>
          <w:lang w:val="en-US" w:eastAsia="zh-CN"/>
        </w:rPr>
        <w:t>三、《部门支出总表》</w:t>
      </w:r>
    </w:p>
    <w:p>
      <w:pPr>
        <w:keepNext w:val="0"/>
        <w:keepLines w:val="0"/>
        <w:pageBreakBefore w:val="0"/>
        <w:widowControl w:val="0"/>
        <w:kinsoku/>
        <w:wordWrap/>
        <w:overflowPunct/>
        <w:topLinePunct w:val="0"/>
        <w:autoSpaceDE/>
        <w:autoSpaceDN/>
        <w:bidi w:val="0"/>
        <w:adjustRightInd/>
        <w:snapToGrid/>
        <w:spacing w:line="540" w:lineRule="exact"/>
        <w:ind w:right="449" w:rightChars="214" w:firstLine="1280" w:firstLineChars="400"/>
        <w:textAlignment w:val="auto"/>
        <w:rPr>
          <w:rFonts w:hint="eastAsia" w:eastAsia="仿宋_GB2312"/>
          <w:color w:val="000000"/>
          <w:sz w:val="32"/>
          <w:szCs w:val="32"/>
          <w:lang w:val="en-US" w:eastAsia="zh-CN"/>
        </w:rPr>
      </w:pPr>
      <w:r>
        <w:rPr>
          <w:rFonts w:hint="eastAsia" w:eastAsia="仿宋_GB2312"/>
          <w:color w:val="000000"/>
          <w:sz w:val="32"/>
          <w:szCs w:val="32"/>
          <w:lang w:val="en-US" w:eastAsia="zh-CN"/>
        </w:rPr>
        <w:t>四、《财政拨款收支总表》</w:t>
      </w:r>
    </w:p>
    <w:p>
      <w:pPr>
        <w:keepNext w:val="0"/>
        <w:keepLines w:val="0"/>
        <w:pageBreakBefore w:val="0"/>
        <w:widowControl w:val="0"/>
        <w:kinsoku/>
        <w:wordWrap/>
        <w:overflowPunct/>
        <w:topLinePunct w:val="0"/>
        <w:autoSpaceDE/>
        <w:autoSpaceDN/>
        <w:bidi w:val="0"/>
        <w:adjustRightInd/>
        <w:snapToGrid/>
        <w:spacing w:line="540" w:lineRule="exact"/>
        <w:ind w:right="449" w:rightChars="214" w:firstLine="1280" w:firstLineChars="400"/>
        <w:textAlignment w:val="auto"/>
        <w:rPr>
          <w:rFonts w:hint="eastAsia" w:eastAsia="仿宋_GB2312"/>
          <w:color w:val="000000"/>
          <w:sz w:val="32"/>
          <w:szCs w:val="32"/>
          <w:lang w:val="en-US" w:eastAsia="zh-CN"/>
        </w:rPr>
      </w:pPr>
      <w:r>
        <w:rPr>
          <w:rFonts w:hint="eastAsia" w:eastAsia="仿宋_GB2312"/>
          <w:color w:val="000000"/>
          <w:sz w:val="32"/>
          <w:szCs w:val="32"/>
          <w:lang w:val="en-US" w:eastAsia="zh-CN"/>
        </w:rPr>
        <w:t>五、《一般公共预算支出表》</w:t>
      </w:r>
    </w:p>
    <w:p>
      <w:pPr>
        <w:keepNext w:val="0"/>
        <w:keepLines w:val="0"/>
        <w:pageBreakBefore w:val="0"/>
        <w:widowControl w:val="0"/>
        <w:kinsoku/>
        <w:wordWrap/>
        <w:overflowPunct/>
        <w:topLinePunct w:val="0"/>
        <w:autoSpaceDE/>
        <w:autoSpaceDN/>
        <w:bidi w:val="0"/>
        <w:adjustRightInd/>
        <w:snapToGrid/>
        <w:spacing w:line="540" w:lineRule="exact"/>
        <w:ind w:right="449" w:rightChars="214" w:firstLine="1280" w:firstLineChars="400"/>
        <w:textAlignment w:val="auto"/>
        <w:rPr>
          <w:rFonts w:hint="eastAsia" w:eastAsia="仿宋_GB2312"/>
          <w:color w:val="000000"/>
          <w:sz w:val="32"/>
          <w:szCs w:val="32"/>
          <w:lang w:val="en-US" w:eastAsia="zh-CN"/>
        </w:rPr>
      </w:pPr>
      <w:r>
        <w:rPr>
          <w:rFonts w:hint="eastAsia" w:eastAsia="仿宋_GB2312"/>
          <w:color w:val="000000"/>
          <w:sz w:val="32"/>
          <w:szCs w:val="32"/>
          <w:lang w:val="en-US" w:eastAsia="zh-CN"/>
        </w:rPr>
        <w:t>六、《一般公共预算基本支出表》</w:t>
      </w:r>
    </w:p>
    <w:p>
      <w:pPr>
        <w:keepNext w:val="0"/>
        <w:keepLines w:val="0"/>
        <w:pageBreakBefore w:val="0"/>
        <w:widowControl w:val="0"/>
        <w:kinsoku/>
        <w:wordWrap/>
        <w:overflowPunct/>
        <w:topLinePunct w:val="0"/>
        <w:autoSpaceDE/>
        <w:autoSpaceDN/>
        <w:bidi w:val="0"/>
        <w:adjustRightInd/>
        <w:snapToGrid/>
        <w:spacing w:line="540" w:lineRule="exact"/>
        <w:ind w:right="449" w:rightChars="214" w:firstLine="1280" w:firstLineChars="400"/>
        <w:textAlignment w:val="auto"/>
        <w:rPr>
          <w:rFonts w:hint="eastAsia" w:eastAsia="仿宋_GB2312"/>
          <w:color w:val="000000"/>
          <w:sz w:val="32"/>
          <w:szCs w:val="32"/>
          <w:lang w:val="en-US" w:eastAsia="zh-CN"/>
        </w:rPr>
      </w:pPr>
      <w:r>
        <w:rPr>
          <w:rFonts w:hint="eastAsia" w:eastAsia="仿宋_GB2312"/>
          <w:color w:val="000000"/>
          <w:sz w:val="32"/>
          <w:szCs w:val="32"/>
          <w:lang w:val="en-US" w:eastAsia="zh-CN"/>
        </w:rPr>
        <w:t>七、《一般公共预算“三公”经费支出表》</w:t>
      </w:r>
    </w:p>
    <w:p>
      <w:pPr>
        <w:keepNext w:val="0"/>
        <w:keepLines w:val="0"/>
        <w:pageBreakBefore w:val="0"/>
        <w:widowControl w:val="0"/>
        <w:kinsoku/>
        <w:wordWrap/>
        <w:overflowPunct/>
        <w:topLinePunct w:val="0"/>
        <w:autoSpaceDE/>
        <w:autoSpaceDN/>
        <w:bidi w:val="0"/>
        <w:adjustRightInd/>
        <w:snapToGrid/>
        <w:spacing w:line="540" w:lineRule="exact"/>
        <w:ind w:right="449" w:rightChars="214" w:firstLine="1280" w:firstLineChars="400"/>
        <w:textAlignment w:val="auto"/>
        <w:rPr>
          <w:rFonts w:hint="eastAsia"/>
          <w:lang w:val="en-US" w:eastAsia="zh-CN"/>
        </w:rPr>
      </w:pPr>
      <w:r>
        <w:rPr>
          <w:rFonts w:hint="eastAsia" w:eastAsia="仿宋_GB2312"/>
          <w:color w:val="000000"/>
          <w:sz w:val="32"/>
          <w:szCs w:val="32"/>
          <w:lang w:val="en-US" w:eastAsia="zh-CN"/>
        </w:rPr>
        <w:t>八、《政府性基金预算支出表》</w:t>
      </w:r>
    </w:p>
    <w:p>
      <w:pPr>
        <w:keepNext w:val="0"/>
        <w:keepLines w:val="0"/>
        <w:pageBreakBefore w:val="0"/>
        <w:widowControl w:val="0"/>
        <w:kinsoku/>
        <w:wordWrap/>
        <w:overflowPunct/>
        <w:topLinePunct w:val="0"/>
        <w:autoSpaceDE/>
        <w:autoSpaceDN/>
        <w:bidi w:val="0"/>
        <w:adjustRightInd/>
        <w:snapToGrid/>
        <w:spacing w:line="540" w:lineRule="exact"/>
        <w:ind w:right="449" w:rightChars="214" w:firstLine="1280" w:firstLineChars="400"/>
        <w:textAlignment w:val="auto"/>
        <w:rPr>
          <w:rFonts w:hint="eastAsia" w:eastAsia="仿宋_GB2312"/>
          <w:color w:val="000000"/>
          <w:sz w:val="32"/>
          <w:szCs w:val="32"/>
          <w:lang w:val="en-US" w:eastAsia="zh-CN"/>
        </w:rPr>
      </w:pPr>
      <w:r>
        <w:rPr>
          <w:rFonts w:hint="eastAsia" w:eastAsia="仿宋_GB2312"/>
          <w:color w:val="000000"/>
          <w:sz w:val="32"/>
          <w:szCs w:val="32"/>
          <w:lang w:val="en-US" w:eastAsia="zh-CN"/>
        </w:rPr>
        <w:t>九、《国有资本经营预算支出表》</w:t>
      </w:r>
    </w:p>
    <w:p>
      <w:pPr>
        <w:keepNext w:val="0"/>
        <w:keepLines w:val="0"/>
        <w:pageBreakBefore w:val="0"/>
        <w:widowControl w:val="0"/>
        <w:kinsoku/>
        <w:wordWrap/>
        <w:overflowPunct/>
        <w:topLinePunct w:val="0"/>
        <w:autoSpaceDE/>
        <w:autoSpaceDN/>
        <w:bidi w:val="0"/>
        <w:adjustRightInd/>
        <w:snapToGrid/>
        <w:spacing w:line="540" w:lineRule="exact"/>
        <w:ind w:right="449" w:rightChars="214" w:firstLine="1280" w:firstLineChars="400"/>
        <w:textAlignment w:val="auto"/>
        <w:rPr>
          <w:rFonts w:hint="eastAsia" w:eastAsia="仿宋_GB2312"/>
          <w:color w:val="000000"/>
          <w:sz w:val="32"/>
          <w:szCs w:val="32"/>
          <w:lang w:val="en-US" w:eastAsia="zh-CN"/>
        </w:rPr>
      </w:pPr>
      <w:r>
        <w:rPr>
          <w:rFonts w:hint="eastAsia" w:eastAsia="仿宋_GB2312"/>
          <w:color w:val="000000"/>
          <w:sz w:val="32"/>
          <w:szCs w:val="32"/>
          <w:lang w:val="en-US" w:eastAsia="zh-CN"/>
        </w:rPr>
        <w:t>十、《部门整体支出绩效目标表》</w:t>
      </w:r>
    </w:p>
    <w:p>
      <w:pPr>
        <w:keepNext w:val="0"/>
        <w:keepLines w:val="0"/>
        <w:pageBreakBefore w:val="0"/>
        <w:widowControl w:val="0"/>
        <w:kinsoku/>
        <w:wordWrap/>
        <w:overflowPunct/>
        <w:topLinePunct w:val="0"/>
        <w:autoSpaceDE/>
        <w:autoSpaceDN/>
        <w:bidi w:val="0"/>
        <w:adjustRightInd/>
        <w:snapToGrid/>
        <w:spacing w:line="540" w:lineRule="exact"/>
        <w:ind w:right="449" w:rightChars="214" w:firstLine="1280" w:firstLineChars="400"/>
        <w:textAlignment w:val="auto"/>
        <w:rPr>
          <w:rFonts w:hint="eastAsia" w:eastAsia="仿宋_GB2312"/>
          <w:color w:val="000000"/>
          <w:sz w:val="32"/>
          <w:szCs w:val="32"/>
          <w:lang w:val="en-US" w:eastAsia="zh-CN"/>
        </w:rPr>
      </w:pPr>
      <w:r>
        <w:rPr>
          <w:rFonts w:hint="eastAsia" w:eastAsia="仿宋_GB2312"/>
          <w:color w:val="000000"/>
          <w:sz w:val="32"/>
          <w:szCs w:val="32"/>
          <w:lang w:val="en-US" w:eastAsia="zh-CN"/>
        </w:rPr>
        <w:t>十一、《项目支出绩效目标表》</w:t>
      </w:r>
    </w:p>
    <w:p>
      <w:pPr>
        <w:keepNext w:val="0"/>
        <w:keepLines w:val="0"/>
        <w:pageBreakBefore w:val="0"/>
        <w:widowControl w:val="0"/>
        <w:kinsoku/>
        <w:wordWrap/>
        <w:overflowPunct/>
        <w:topLinePunct w:val="0"/>
        <w:autoSpaceDE/>
        <w:autoSpaceDN/>
        <w:bidi w:val="0"/>
        <w:adjustRightInd/>
        <w:snapToGrid/>
        <w:spacing w:line="540" w:lineRule="exact"/>
        <w:ind w:right="449" w:rightChars="214" w:firstLine="643" w:firstLineChars="200"/>
        <w:textAlignment w:val="auto"/>
        <w:rPr>
          <w:rFonts w:hint="default" w:eastAsia="仿宋_GB2312"/>
          <w:b/>
          <w:bCs/>
          <w:color w:val="000000"/>
          <w:sz w:val="32"/>
          <w:szCs w:val="32"/>
          <w:lang w:val="en-US" w:eastAsia="zh-CN"/>
        </w:rPr>
      </w:pPr>
      <w:r>
        <w:rPr>
          <w:rFonts w:hint="eastAsia" w:eastAsia="仿宋_GB2312"/>
          <w:b/>
          <w:bCs/>
          <w:color w:val="000000"/>
          <w:sz w:val="32"/>
          <w:szCs w:val="32"/>
          <w:lang w:val="en-US" w:eastAsia="zh-CN"/>
        </w:rPr>
        <w:t>第四部分  名词解释</w:t>
      </w:r>
    </w:p>
    <w:p>
      <w:pPr>
        <w:spacing w:line="540" w:lineRule="exact"/>
        <w:ind w:right="449" w:rightChars="214"/>
        <w:rPr>
          <w:rFonts w:eastAsia="仿宋_GB2312"/>
          <w:color w:val="000000"/>
          <w:sz w:val="32"/>
          <w:szCs w:val="32"/>
        </w:rPr>
      </w:pPr>
    </w:p>
    <w:p>
      <w:pPr>
        <w:spacing w:line="540" w:lineRule="exact"/>
        <w:ind w:right="449" w:rightChars="214"/>
        <w:jc w:val="both"/>
        <w:rPr>
          <w:rFonts w:hint="eastAsia" w:ascii="方正小标宋简体" w:hAnsi="方正小标宋简体" w:eastAsia="方正小标宋简体" w:cs="方正小标宋简体"/>
          <w:color w:val="000000"/>
          <w:w w:val="90"/>
          <w:sz w:val="44"/>
          <w:szCs w:val="44"/>
        </w:rPr>
      </w:pPr>
    </w:p>
    <w:p>
      <w:pPr>
        <w:spacing w:line="540" w:lineRule="exact"/>
        <w:ind w:right="449" w:rightChars="214"/>
        <w:jc w:val="center"/>
        <w:rPr>
          <w:rFonts w:hint="eastAsia" w:ascii="方正小标宋简体" w:hAnsi="方正小标宋简体" w:eastAsia="方正小标宋简体" w:cs="方正小标宋简体"/>
          <w:bCs/>
          <w:color w:val="000000"/>
          <w:w w:val="90"/>
          <w:sz w:val="44"/>
          <w:szCs w:val="44"/>
        </w:rPr>
      </w:pPr>
      <w:r>
        <w:rPr>
          <w:rFonts w:hint="eastAsia" w:ascii="方正小标宋简体" w:hAnsi="方正小标宋简体" w:eastAsia="方正小标宋简体" w:cs="方正小标宋简体"/>
          <w:bCs/>
          <w:color w:val="000000"/>
          <w:w w:val="90"/>
          <w:sz w:val="44"/>
          <w:szCs w:val="44"/>
        </w:rPr>
        <w:t>第一部分 兴国县</w:t>
      </w:r>
      <w:r>
        <w:rPr>
          <w:rFonts w:hint="eastAsia" w:ascii="方正小标宋简体" w:hAnsi="方正小标宋简体" w:eastAsia="方正小标宋简体" w:cs="方正小标宋简体"/>
          <w:bCs/>
          <w:color w:val="000000"/>
          <w:w w:val="90"/>
          <w:sz w:val="44"/>
          <w:szCs w:val="44"/>
          <w:lang w:eastAsia="zh-CN"/>
        </w:rPr>
        <w:t>归国华侨联合会</w:t>
      </w:r>
      <w:r>
        <w:rPr>
          <w:rFonts w:hint="eastAsia" w:ascii="方正小标宋简体" w:hAnsi="方正小标宋简体" w:eastAsia="方正小标宋简体" w:cs="方正小标宋简体"/>
          <w:bCs/>
          <w:color w:val="000000"/>
          <w:w w:val="90"/>
          <w:sz w:val="44"/>
          <w:szCs w:val="44"/>
        </w:rPr>
        <w:t>部门概况</w:t>
      </w:r>
    </w:p>
    <w:p>
      <w:pPr>
        <w:spacing w:line="540" w:lineRule="exact"/>
        <w:ind w:firstLine="640" w:firstLineChars="200"/>
        <w:rPr>
          <w:rFonts w:ascii="黑体" w:hAnsi="黑体" w:eastAsia="黑体" w:cs="黑体"/>
          <w:color w:val="000000"/>
          <w:sz w:val="32"/>
          <w:szCs w:val="32"/>
        </w:rPr>
      </w:pPr>
    </w:p>
    <w:p>
      <w:pPr>
        <w:keepNext w:val="0"/>
        <w:keepLines w:val="0"/>
        <w:pageBreakBefore w:val="0"/>
        <w:widowControl w:val="0"/>
        <w:kinsoku/>
        <w:wordWrap/>
        <w:overflowPunct/>
        <w:topLinePunct w:val="0"/>
        <w:bidi w:val="0"/>
        <w:snapToGrid/>
        <w:spacing w:line="540" w:lineRule="exact"/>
        <w:ind w:firstLine="640" w:firstLineChars="200"/>
        <w:textAlignment w:val="auto"/>
        <w:rPr>
          <w:rFonts w:ascii="黑体" w:hAnsi="黑体" w:eastAsia="黑体" w:cs="黑体"/>
          <w:color w:val="000000"/>
          <w:sz w:val="32"/>
          <w:szCs w:val="32"/>
        </w:rPr>
      </w:pPr>
      <w:r>
        <w:rPr>
          <w:rFonts w:hint="eastAsia" w:ascii="黑体" w:hAnsi="黑体" w:eastAsia="黑体" w:cs="黑体"/>
          <w:color w:val="000000"/>
          <w:sz w:val="32"/>
          <w:szCs w:val="32"/>
        </w:rPr>
        <w:t>一、部门主要职责</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480" w:lineRule="atLeast"/>
        <w:ind w:left="0" w:right="0" w:firstLine="640" w:firstLineChars="200"/>
        <w:textAlignment w:val="auto"/>
        <w:rPr>
          <w:rFonts w:hint="eastAsia" w:ascii="仿宋_GB2312" w:eastAsia="仿宋_GB2312"/>
          <w:sz w:val="32"/>
          <w:szCs w:val="32"/>
        </w:rPr>
      </w:pPr>
      <w:r>
        <w:rPr>
          <w:rFonts w:hint="eastAsia" w:ascii="仿宋_GB2312" w:eastAsia="仿宋_GB2312"/>
          <w:sz w:val="32"/>
          <w:szCs w:val="32"/>
        </w:rPr>
        <w:t>兴国县侨联是党领导的由归侨侨眷组成的人民团体，是党和政府联系广大归侨侨眷和海外侨胞的桥梁和纽带，是党委领导下的一级人民团体。主要职责是：</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480" w:lineRule="atLeas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（一）组织归侨、侨眷</w:t>
      </w:r>
      <w:r>
        <w:rPr>
          <w:rFonts w:hint="eastAsia" w:ascii="仿宋_GB2312" w:hAnsi="仿宋_GB2312" w:eastAsia="仿宋_GB2312" w:cs="仿宋_GB2312"/>
          <w:sz w:val="32"/>
          <w:szCs w:val="32"/>
          <w:lang w:eastAsia="zh-CN"/>
        </w:rPr>
        <w:t>加强思想政治理想学习</w:t>
      </w:r>
      <w:r>
        <w:rPr>
          <w:rFonts w:hint="eastAsia" w:ascii="仿宋_GB2312" w:hAnsi="仿宋_GB2312" w:eastAsia="仿宋_GB2312" w:cs="仿宋_GB2312"/>
          <w:sz w:val="32"/>
          <w:szCs w:val="32"/>
        </w:rPr>
        <w:t>。在归侨、侨眷中深入开展爱国主义、社会主义和“四有”教育。</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480" w:lineRule="atLeas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（二）引导和组织归侨、侨眷参与侨乡、社区精神文明创建活动。</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480" w:lineRule="atLeas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（三）充分发挥侨联基层组织的作用，重点抓好社区及归侨、侨眷相对集中的企事业单位的侨联组织建设。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480" w:lineRule="atLeas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（四）为归侨、侨眷、海外侨胞提供法律和政策的咨询服务，依法维护其在国内的合法权益。</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480" w:lineRule="atLeas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（五）参与我</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政治、经济、文化和社会事务活动，发挥侨联参政、议政作用，参与协商和推荐人大和政协中的归侨侨眷代表、委员人选，对有关法律、法规的草拟提出建议和意见。</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480" w:lineRule="atLeas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（六）积极拓展海外联谊和侨务对台工作。广泛地团结和联系海外侨胞、港澳同胞及其社团，为发展我</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经济牵线搭桥。</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480" w:lineRule="atLeas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（七）充分发挥侨联文化宣传阵地作用，积极开展海内外文化、科技、学术交流与合作，协助归侨、侨眷和海外侨胞在我</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兴办公益事业。</w:t>
      </w:r>
    </w:p>
    <w:p>
      <w:pPr>
        <w:keepNext w:val="0"/>
        <w:keepLines w:val="0"/>
        <w:pageBreakBefore w:val="0"/>
        <w:widowControl w:val="0"/>
        <w:kinsoku/>
        <w:wordWrap/>
        <w:overflowPunct/>
        <w:topLinePunct w:val="0"/>
        <w:bidi w:val="0"/>
        <w:snapToGrid/>
        <w:spacing w:line="540" w:lineRule="exact"/>
        <w:ind w:firstLine="640" w:firstLineChars="200"/>
        <w:textAlignment w:val="auto"/>
        <w:rPr>
          <w:rFonts w:ascii="黑体" w:hAnsi="黑体" w:eastAsia="黑体" w:cs="黑体"/>
          <w:color w:val="000000"/>
          <w:sz w:val="32"/>
          <w:szCs w:val="32"/>
        </w:rPr>
      </w:pPr>
      <w:r>
        <w:rPr>
          <w:rFonts w:hint="eastAsia" w:ascii="黑体" w:hAnsi="黑体" w:eastAsia="黑体" w:cs="黑体"/>
          <w:color w:val="000000"/>
          <w:sz w:val="32"/>
          <w:szCs w:val="32"/>
        </w:rPr>
        <w:t>二、部门基本情况</w:t>
      </w:r>
    </w:p>
    <w:p>
      <w:pPr>
        <w:keepNext w:val="0"/>
        <w:keepLines w:val="0"/>
        <w:pageBreakBefore w:val="0"/>
        <w:widowControl w:val="0"/>
        <w:kinsoku/>
        <w:wordWrap/>
        <w:overflowPunct/>
        <w:topLinePunct w:val="0"/>
        <w:bidi w:val="0"/>
        <w:snapToGrid/>
        <w:spacing w:line="540" w:lineRule="exact"/>
        <w:ind w:firstLine="640" w:firstLineChars="200"/>
        <w:textAlignment w:val="auto"/>
        <w:rPr>
          <w:rFonts w:hint="eastAsia" w:ascii="仿宋_GB2312" w:hAnsi="仿宋_GB2312" w:eastAsia="仿宋_GB2312" w:cs="仿宋_GB2312"/>
          <w:kern w:val="0"/>
          <w:sz w:val="32"/>
          <w:szCs w:val="32"/>
          <w:lang w:val="en-US" w:eastAsia="zh-CN" w:bidi="ar"/>
        </w:rPr>
      </w:pPr>
      <w:r>
        <w:rPr>
          <w:rFonts w:hint="eastAsia" w:ascii="仿宋" w:hAnsi="仿宋" w:eastAsia="仿宋" w:cs="仿宋"/>
          <w:color w:val="000000"/>
          <w:sz w:val="32"/>
          <w:szCs w:val="32"/>
          <w:lang w:eastAsia="zh-CN"/>
        </w:rPr>
        <w:t>兴</w:t>
      </w:r>
      <w:r>
        <w:rPr>
          <w:rFonts w:hint="eastAsia" w:ascii="仿宋_GB2312" w:hAnsi="仿宋_GB2312" w:eastAsia="仿宋_GB2312" w:cs="仿宋_GB2312"/>
          <w:kern w:val="0"/>
          <w:sz w:val="32"/>
          <w:szCs w:val="32"/>
          <w:lang w:val="en-US" w:eastAsia="zh-CN" w:bidi="ar"/>
        </w:rPr>
        <w:t>国县侨联纳入本部门2023年预算编制范围的单位共1个，为县侨联机关。</w:t>
      </w:r>
    </w:p>
    <w:p>
      <w:pPr>
        <w:keepNext w:val="0"/>
        <w:keepLines w:val="0"/>
        <w:pageBreakBefore w:val="0"/>
        <w:widowControl w:val="0"/>
        <w:kinsoku/>
        <w:wordWrap/>
        <w:overflowPunct/>
        <w:topLinePunct w:val="0"/>
        <w:bidi w:val="0"/>
        <w:snapToGrid/>
        <w:spacing w:line="540" w:lineRule="exact"/>
        <w:ind w:firstLine="640" w:firstLineChars="200"/>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编制人数小计3人，其中：参公全额拨款事业编制3人。实有人数小计2人，其中：行政在职人数1人，参照公务员管理的事业单位在职人数1人。</w:t>
      </w:r>
      <w:r>
        <w:rPr>
          <w:rFonts w:hint="eastAsia" w:ascii="仿宋_GB2312" w:eastAsia="仿宋_GB2312"/>
          <w:sz w:val="32"/>
          <w:szCs w:val="32"/>
        </w:rPr>
        <w:t>遗属补助人员</w:t>
      </w:r>
      <w:r>
        <w:rPr>
          <w:rFonts w:hint="eastAsia" w:ascii="仿宋_GB2312" w:eastAsia="仿宋_GB2312"/>
          <w:sz w:val="32"/>
          <w:szCs w:val="32"/>
          <w:lang w:val="en-US" w:eastAsia="zh-CN"/>
        </w:rPr>
        <w:t>1人</w:t>
      </w:r>
      <w:r>
        <w:rPr>
          <w:rFonts w:hint="eastAsia" w:ascii="仿宋_GB2312" w:hAnsi="仿宋_GB2312" w:eastAsia="仿宋_GB2312" w:cs="仿宋_GB2312"/>
          <w:kern w:val="0"/>
          <w:sz w:val="32"/>
          <w:szCs w:val="32"/>
          <w:lang w:val="en-US" w:eastAsia="zh-CN" w:bidi="ar"/>
        </w:rPr>
        <w:t>。</w:t>
      </w:r>
    </w:p>
    <w:p>
      <w:pPr>
        <w:spacing w:line="540" w:lineRule="exact"/>
        <w:ind w:firstLine="640" w:firstLineChars="200"/>
        <w:rPr>
          <w:rFonts w:ascii="黑体" w:hAnsi="黑体" w:eastAsia="黑体" w:cs="黑体"/>
          <w:color w:val="000000"/>
          <w:sz w:val="32"/>
          <w:szCs w:val="32"/>
        </w:rPr>
      </w:pPr>
    </w:p>
    <w:p>
      <w:pPr>
        <w:spacing w:line="540" w:lineRule="exact"/>
        <w:ind w:right="449" w:rightChars="214" w:firstLine="880" w:firstLineChars="200"/>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第二部分 兴国县</w:t>
      </w:r>
      <w:r>
        <w:rPr>
          <w:rFonts w:hint="eastAsia" w:ascii="方正小标宋简体" w:hAnsi="方正小标宋简体" w:eastAsia="方正小标宋简体" w:cs="方正小标宋简体"/>
          <w:color w:val="000000"/>
          <w:sz w:val="44"/>
          <w:szCs w:val="44"/>
          <w:lang w:eastAsia="zh-CN"/>
        </w:rPr>
        <w:t>侨联</w:t>
      </w:r>
      <w:r>
        <w:rPr>
          <w:rFonts w:hint="eastAsia" w:ascii="方正小标宋简体" w:hAnsi="方正小标宋简体" w:eastAsia="方正小标宋简体" w:cs="方正小标宋简体"/>
          <w:color w:val="000000"/>
          <w:sz w:val="44"/>
          <w:szCs w:val="44"/>
        </w:rPr>
        <w:t>202</w:t>
      </w:r>
      <w:r>
        <w:rPr>
          <w:rFonts w:hint="eastAsia" w:ascii="方正小标宋简体" w:hAnsi="方正小标宋简体" w:eastAsia="方正小标宋简体" w:cs="方正小标宋简体"/>
          <w:color w:val="000000"/>
          <w:sz w:val="44"/>
          <w:szCs w:val="44"/>
          <w:lang w:val="en-US" w:eastAsia="zh-CN"/>
        </w:rPr>
        <w:t>3</w:t>
      </w:r>
      <w:r>
        <w:rPr>
          <w:rFonts w:hint="eastAsia" w:ascii="方正小标宋简体" w:hAnsi="方正小标宋简体" w:eastAsia="方正小标宋简体" w:cs="方正小标宋简体"/>
          <w:color w:val="000000"/>
          <w:sz w:val="44"/>
          <w:szCs w:val="44"/>
        </w:rPr>
        <w:t>年</w:t>
      </w:r>
    </w:p>
    <w:p>
      <w:pPr>
        <w:spacing w:line="540" w:lineRule="exact"/>
        <w:ind w:right="449" w:rightChars="214" w:firstLine="880" w:firstLineChars="200"/>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部门预算情况说明</w:t>
      </w:r>
    </w:p>
    <w:p>
      <w:pPr>
        <w:spacing w:line="540" w:lineRule="exact"/>
        <w:rPr>
          <w:rFonts w:ascii="黑体" w:hAnsi="黑体" w:eastAsia="黑体" w:cs="黑体"/>
          <w:sz w:val="32"/>
          <w:szCs w:val="32"/>
        </w:rPr>
      </w:pPr>
    </w:p>
    <w:p>
      <w:pPr>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一、2023年部门预算收支情况说明</w:t>
      </w:r>
    </w:p>
    <w:p>
      <w:pPr>
        <w:spacing w:line="54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（一）收入预算情况</w:t>
      </w:r>
    </w:p>
    <w:p>
      <w:pPr>
        <w:spacing w:line="54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2023年兴国县</w:t>
      </w:r>
      <w:r>
        <w:rPr>
          <w:rFonts w:hint="eastAsia" w:ascii="仿宋" w:hAnsi="仿宋" w:eastAsia="仿宋" w:cs="仿宋"/>
          <w:color w:val="auto"/>
          <w:sz w:val="32"/>
          <w:szCs w:val="32"/>
          <w:lang w:eastAsia="zh-CN"/>
        </w:rPr>
        <w:t>侨联</w:t>
      </w:r>
      <w:r>
        <w:rPr>
          <w:rFonts w:hint="eastAsia" w:ascii="仿宋" w:hAnsi="仿宋" w:eastAsia="仿宋" w:cs="仿宋"/>
          <w:sz w:val="32"/>
          <w:szCs w:val="32"/>
        </w:rPr>
        <w:t>部门收入预算总额为</w:t>
      </w:r>
      <w:r>
        <w:rPr>
          <w:rFonts w:hint="eastAsia" w:ascii="仿宋" w:hAnsi="仿宋" w:eastAsia="仿宋" w:cs="仿宋"/>
          <w:sz w:val="32"/>
          <w:szCs w:val="32"/>
          <w:lang w:val="en-US" w:eastAsia="zh-CN"/>
        </w:rPr>
        <w:t>7.76</w:t>
      </w:r>
      <w:r>
        <w:rPr>
          <w:rFonts w:hint="eastAsia" w:ascii="仿宋" w:hAnsi="仿宋" w:eastAsia="仿宋" w:cs="仿宋"/>
          <w:sz w:val="32"/>
          <w:szCs w:val="32"/>
        </w:rPr>
        <w:t>万元，其中：财政拨款收入</w:t>
      </w:r>
      <w:r>
        <w:rPr>
          <w:rFonts w:hint="eastAsia" w:ascii="仿宋" w:hAnsi="仿宋" w:eastAsia="仿宋" w:cs="仿宋"/>
          <w:sz w:val="32"/>
          <w:szCs w:val="32"/>
          <w:lang w:val="en-US" w:eastAsia="zh-CN"/>
        </w:rPr>
        <w:t>7.76</w:t>
      </w:r>
      <w:r>
        <w:rPr>
          <w:rFonts w:hint="eastAsia" w:ascii="仿宋" w:hAnsi="仿宋" w:eastAsia="仿宋" w:cs="仿宋"/>
          <w:sz w:val="32"/>
          <w:szCs w:val="32"/>
        </w:rPr>
        <w:t>万元，较上年</w:t>
      </w:r>
      <w:r>
        <w:rPr>
          <w:rFonts w:hint="eastAsia" w:ascii="仿宋" w:hAnsi="仿宋" w:eastAsia="仿宋" w:cs="仿宋"/>
          <w:sz w:val="32"/>
          <w:szCs w:val="32"/>
          <w:lang w:eastAsia="zh-CN"/>
        </w:rPr>
        <w:t>预算安排</w:t>
      </w:r>
      <w:r>
        <w:rPr>
          <w:rFonts w:hint="eastAsia" w:ascii="仿宋" w:hAnsi="仿宋" w:eastAsia="仿宋" w:cs="仿宋"/>
          <w:sz w:val="32"/>
          <w:szCs w:val="32"/>
        </w:rPr>
        <w:t>减少</w:t>
      </w:r>
      <w:r>
        <w:rPr>
          <w:rFonts w:hint="eastAsia" w:ascii="仿宋" w:hAnsi="仿宋" w:eastAsia="仿宋" w:cs="仿宋"/>
          <w:sz w:val="32"/>
          <w:szCs w:val="32"/>
          <w:lang w:val="en-US" w:eastAsia="zh-CN"/>
        </w:rPr>
        <w:t>3.13</w:t>
      </w:r>
      <w:r>
        <w:rPr>
          <w:rFonts w:hint="eastAsia" w:ascii="仿宋" w:hAnsi="仿宋" w:eastAsia="仿宋" w:cs="仿宋"/>
          <w:sz w:val="32"/>
          <w:szCs w:val="32"/>
        </w:rPr>
        <w:t>万元。</w:t>
      </w:r>
      <w:r>
        <w:rPr>
          <w:rFonts w:hint="eastAsia" w:ascii="仿宋" w:hAnsi="仿宋" w:eastAsia="仿宋" w:cs="仿宋"/>
          <w:sz w:val="32"/>
          <w:szCs w:val="32"/>
          <w:lang w:eastAsia="zh-CN"/>
        </w:rPr>
        <w:t>主要原因是行政经费减少。</w:t>
      </w:r>
    </w:p>
    <w:p>
      <w:pPr>
        <w:spacing w:line="540" w:lineRule="exact"/>
        <w:ind w:firstLine="640" w:firstLineChars="200"/>
        <w:rPr>
          <w:rFonts w:hint="eastAsia" w:ascii="仿宋" w:hAnsi="仿宋" w:eastAsia="宋体" w:cs="仿宋"/>
          <w:sz w:val="32"/>
          <w:szCs w:val="32"/>
          <w:lang w:eastAsia="zh-CN"/>
        </w:rPr>
      </w:pPr>
      <w:r>
        <w:rPr>
          <w:rFonts w:hint="eastAsia" w:ascii="仿宋" w:hAnsi="仿宋" w:eastAsia="仿宋" w:cs="仿宋"/>
          <w:sz w:val="32"/>
          <w:szCs w:val="32"/>
        </w:rPr>
        <w:t>其中：财政拨款收入</w:t>
      </w:r>
      <w:r>
        <w:rPr>
          <w:rFonts w:hint="eastAsia" w:ascii="仿宋" w:hAnsi="仿宋" w:eastAsia="仿宋" w:cs="仿宋"/>
          <w:sz w:val="32"/>
          <w:szCs w:val="32"/>
          <w:lang w:val="en-US" w:eastAsia="zh-CN"/>
        </w:rPr>
        <w:t>7.76</w:t>
      </w:r>
      <w:r>
        <w:rPr>
          <w:rFonts w:hint="eastAsia" w:ascii="仿宋" w:hAnsi="仿宋" w:eastAsia="仿宋" w:cs="仿宋"/>
          <w:sz w:val="32"/>
          <w:szCs w:val="32"/>
        </w:rPr>
        <w:t>万元,较上年预算安排减少</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3.13</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财政拨款结余结转0万元，较上年预算安排减少</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spacing w:line="540" w:lineRule="exact"/>
        <w:ind w:firstLine="643" w:firstLineChars="200"/>
        <w:rPr>
          <w:rFonts w:ascii="楷体" w:hAnsi="楷体" w:eastAsia="楷体" w:cs="楷体"/>
          <w:b/>
          <w:bCs/>
          <w:color w:val="000000"/>
          <w:sz w:val="32"/>
          <w:szCs w:val="32"/>
        </w:rPr>
      </w:pPr>
      <w:r>
        <w:rPr>
          <w:rFonts w:hint="eastAsia" w:ascii="楷体" w:hAnsi="楷体" w:eastAsia="楷体" w:cs="楷体"/>
          <w:b/>
          <w:bCs/>
          <w:color w:val="000000"/>
          <w:sz w:val="32"/>
          <w:szCs w:val="32"/>
        </w:rPr>
        <w:t>（二）支出预算情况</w:t>
      </w:r>
    </w:p>
    <w:p>
      <w:pPr>
        <w:spacing w:line="54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2023年兴国县</w:t>
      </w:r>
      <w:r>
        <w:rPr>
          <w:rFonts w:hint="eastAsia" w:ascii="仿宋" w:hAnsi="仿宋" w:eastAsia="仿宋" w:cs="仿宋"/>
          <w:color w:val="auto"/>
          <w:sz w:val="32"/>
          <w:szCs w:val="32"/>
          <w:lang w:eastAsia="zh-CN"/>
        </w:rPr>
        <w:t>侨联</w:t>
      </w:r>
      <w:r>
        <w:rPr>
          <w:rFonts w:hint="eastAsia" w:ascii="仿宋" w:hAnsi="仿宋" w:eastAsia="仿宋" w:cs="仿宋"/>
          <w:sz w:val="32"/>
          <w:szCs w:val="32"/>
        </w:rPr>
        <w:t>支出预算总额为</w:t>
      </w:r>
      <w:r>
        <w:rPr>
          <w:rFonts w:hint="eastAsia" w:ascii="仿宋" w:hAnsi="仿宋" w:eastAsia="仿宋" w:cs="仿宋"/>
          <w:sz w:val="32"/>
          <w:szCs w:val="32"/>
          <w:lang w:val="en-US" w:eastAsia="zh-CN"/>
        </w:rPr>
        <w:t>7.76</w:t>
      </w:r>
      <w:r>
        <w:rPr>
          <w:rFonts w:hint="eastAsia" w:ascii="仿宋" w:hAnsi="仿宋" w:eastAsia="仿宋" w:cs="仿宋"/>
          <w:sz w:val="32"/>
          <w:szCs w:val="32"/>
        </w:rPr>
        <w:t>万元，较上年</w:t>
      </w:r>
      <w:r>
        <w:rPr>
          <w:rFonts w:hint="eastAsia" w:ascii="仿宋" w:hAnsi="仿宋" w:eastAsia="仿宋" w:cs="仿宋"/>
          <w:sz w:val="32"/>
          <w:szCs w:val="32"/>
          <w:lang w:eastAsia="zh-CN"/>
        </w:rPr>
        <w:t>预算安排</w:t>
      </w:r>
      <w:r>
        <w:rPr>
          <w:rFonts w:hint="eastAsia" w:ascii="仿宋" w:hAnsi="仿宋" w:eastAsia="仿宋" w:cs="仿宋"/>
          <w:sz w:val="32"/>
          <w:szCs w:val="32"/>
        </w:rPr>
        <w:t>减少</w:t>
      </w:r>
      <w:r>
        <w:rPr>
          <w:rFonts w:hint="eastAsia" w:ascii="仿宋" w:hAnsi="仿宋" w:eastAsia="仿宋" w:cs="仿宋"/>
          <w:sz w:val="32"/>
          <w:szCs w:val="32"/>
          <w:lang w:val="en-US" w:eastAsia="zh-CN"/>
        </w:rPr>
        <w:t>3.13</w:t>
      </w:r>
      <w:r>
        <w:rPr>
          <w:rFonts w:hint="eastAsia" w:ascii="仿宋" w:hAnsi="仿宋" w:eastAsia="仿宋" w:cs="仿宋"/>
          <w:sz w:val="32"/>
          <w:szCs w:val="32"/>
        </w:rPr>
        <w:t>万元</w:t>
      </w:r>
      <w:r>
        <w:rPr>
          <w:rFonts w:hint="eastAsia" w:ascii="仿宋" w:hAnsi="仿宋" w:eastAsia="仿宋" w:cs="仿宋"/>
          <w:sz w:val="32"/>
          <w:szCs w:val="32"/>
          <w:lang w:eastAsia="zh-CN"/>
        </w:rPr>
        <w:t>，减少</w:t>
      </w:r>
      <w:r>
        <w:rPr>
          <w:rFonts w:hint="eastAsia" w:ascii="仿宋" w:hAnsi="仿宋" w:eastAsia="仿宋" w:cs="仿宋"/>
          <w:sz w:val="32"/>
          <w:szCs w:val="32"/>
          <w:lang w:val="en-US" w:eastAsia="zh-CN"/>
        </w:rPr>
        <w:t>28.87%</w:t>
      </w:r>
      <w:r>
        <w:rPr>
          <w:rFonts w:hint="eastAsia" w:ascii="仿宋" w:hAnsi="仿宋" w:eastAsia="仿宋" w:cs="仿宋"/>
          <w:sz w:val="32"/>
          <w:szCs w:val="32"/>
        </w:rPr>
        <w:t>。</w:t>
      </w:r>
      <w:r>
        <w:rPr>
          <w:rFonts w:hint="eastAsia" w:ascii="仿宋" w:hAnsi="仿宋" w:eastAsia="仿宋" w:cs="仿宋"/>
          <w:sz w:val="32"/>
          <w:szCs w:val="32"/>
          <w:lang w:eastAsia="zh-CN"/>
        </w:rPr>
        <w:t>减少主要原因是：过紧日子。具体为：</w:t>
      </w:r>
    </w:p>
    <w:p>
      <w:pPr>
        <w:spacing w:line="540" w:lineRule="exact"/>
        <w:ind w:firstLine="420" w:firstLineChars="200"/>
        <w:rPr>
          <w:rFonts w:eastAsia="仿宋"/>
          <w:lang w:val="en-US"/>
        </w:rPr>
      </w:pPr>
      <w:r>
        <w:rPr>
          <w:rFonts w:hint="eastAsia" w:ascii="仿宋" w:hAnsi="仿宋" w:eastAsia="仿宋" w:cs="仿宋"/>
          <w:b w:val="0"/>
          <w:bCs w:val="0"/>
          <w:color w:val="FF0000"/>
          <w:lang w:val="en-US"/>
        </w:rPr>
        <w:t xml:space="preserve"> </w:t>
      </w:r>
      <w:r>
        <w:rPr>
          <w:rFonts w:hint="eastAsia" w:ascii="仿宋" w:hAnsi="仿宋" w:eastAsia="仿宋" w:cs="仿宋"/>
          <w:b w:val="0"/>
          <w:bCs w:val="0"/>
          <w:sz w:val="32"/>
          <w:szCs w:val="32"/>
        </w:rPr>
        <w:t>按支出项目类别</w:t>
      </w:r>
      <w:r>
        <w:rPr>
          <w:rFonts w:hint="eastAsia" w:ascii="仿宋" w:hAnsi="仿宋" w:eastAsia="仿宋" w:cs="仿宋"/>
          <w:b w:val="0"/>
          <w:bCs w:val="0"/>
          <w:sz w:val="32"/>
          <w:szCs w:val="32"/>
          <w:lang w:eastAsia="zh-CN"/>
        </w:rPr>
        <w:t>及经济分类科目</w:t>
      </w:r>
      <w:r>
        <w:rPr>
          <w:rFonts w:hint="eastAsia" w:ascii="仿宋" w:hAnsi="仿宋" w:eastAsia="仿宋" w:cs="仿宋"/>
          <w:b w:val="0"/>
          <w:bCs w:val="0"/>
          <w:sz w:val="32"/>
          <w:szCs w:val="32"/>
        </w:rPr>
        <w:t>划分：</w:t>
      </w:r>
      <w:r>
        <w:rPr>
          <w:rFonts w:hint="eastAsia" w:ascii="仿宋" w:hAnsi="仿宋" w:eastAsia="仿宋" w:cs="仿宋"/>
          <w:color w:val="auto"/>
          <w:sz w:val="32"/>
          <w:szCs w:val="32"/>
        </w:rPr>
        <w:t>基本支出</w:t>
      </w:r>
      <w:r>
        <w:rPr>
          <w:rFonts w:hint="eastAsia" w:ascii="仿宋" w:hAnsi="仿宋" w:eastAsia="仿宋" w:cs="仿宋"/>
          <w:color w:val="auto"/>
          <w:sz w:val="32"/>
          <w:szCs w:val="32"/>
          <w:lang w:val="en-US" w:eastAsia="zh-CN"/>
        </w:rPr>
        <w:t>1.76</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较上年预算安排减少</w:t>
      </w:r>
      <w:r>
        <w:rPr>
          <w:rFonts w:hint="eastAsia" w:ascii="仿宋" w:hAnsi="仿宋" w:eastAsia="仿宋" w:cs="仿宋"/>
          <w:color w:val="auto"/>
          <w:sz w:val="32"/>
          <w:szCs w:val="32"/>
          <w:lang w:val="en-US" w:eastAsia="zh-CN"/>
        </w:rPr>
        <w:t>0.15万元</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其中：</w:t>
      </w:r>
      <w:r>
        <w:rPr>
          <w:rFonts w:hint="eastAsia" w:ascii="仿宋" w:hAnsi="仿宋" w:eastAsia="仿宋" w:cs="仿宋"/>
          <w:color w:val="auto"/>
          <w:sz w:val="32"/>
          <w:szCs w:val="32"/>
        </w:rPr>
        <w:t>商品和服务支出0.8</w:t>
      </w:r>
      <w:r>
        <w:rPr>
          <w:rFonts w:hint="eastAsia" w:ascii="仿宋" w:hAnsi="仿宋" w:eastAsia="仿宋" w:cs="仿宋"/>
          <w:color w:val="auto"/>
          <w:sz w:val="32"/>
          <w:szCs w:val="32"/>
          <w:lang w:eastAsia="zh-CN"/>
        </w:rPr>
        <w:t>万元，对个人和家庭的补助</w:t>
      </w:r>
      <w:r>
        <w:rPr>
          <w:rFonts w:hint="eastAsia" w:ascii="仿宋" w:hAnsi="仿宋" w:eastAsia="仿宋" w:cs="仿宋"/>
          <w:color w:val="auto"/>
          <w:sz w:val="32"/>
          <w:szCs w:val="32"/>
          <w:lang w:val="en-US" w:eastAsia="zh-CN"/>
        </w:rPr>
        <w:t>0.96</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项目支出</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较上年预算安排减少</w:t>
      </w:r>
      <w:r>
        <w:rPr>
          <w:rFonts w:hint="eastAsia" w:ascii="仿宋" w:hAnsi="仿宋" w:eastAsia="仿宋" w:cs="仿宋"/>
          <w:color w:val="auto"/>
          <w:sz w:val="32"/>
          <w:szCs w:val="32"/>
          <w:lang w:val="en-US" w:eastAsia="zh-CN"/>
        </w:rPr>
        <w:t>2.98万元，其中：其他相关支出6万元</w:t>
      </w:r>
      <w:r>
        <w:rPr>
          <w:rFonts w:hint="eastAsia" w:ascii="仿宋" w:hAnsi="仿宋" w:eastAsia="仿宋" w:cs="仿宋"/>
          <w:color w:val="auto"/>
          <w:sz w:val="32"/>
          <w:szCs w:val="32"/>
        </w:rPr>
        <w:t>。</w:t>
      </w:r>
    </w:p>
    <w:p>
      <w:pPr>
        <w:spacing w:line="540" w:lineRule="exact"/>
        <w:ind w:firstLine="640" w:firstLineChars="200"/>
        <w:rPr>
          <w:rFonts w:ascii="仿宋" w:hAnsi="仿宋" w:eastAsia="仿宋" w:cs="仿宋"/>
          <w:sz w:val="32"/>
          <w:szCs w:val="32"/>
        </w:rPr>
      </w:pPr>
      <w:r>
        <w:rPr>
          <w:rFonts w:hint="eastAsia" w:ascii="仿宋" w:hAnsi="仿宋" w:eastAsia="仿宋" w:cs="仿宋"/>
          <w:b w:val="0"/>
          <w:bCs w:val="0"/>
          <w:sz w:val="32"/>
          <w:szCs w:val="32"/>
        </w:rPr>
        <w:t>按支出功能</w:t>
      </w:r>
      <w:r>
        <w:rPr>
          <w:rFonts w:hint="eastAsia" w:ascii="仿宋" w:hAnsi="仿宋" w:eastAsia="仿宋" w:cs="仿宋"/>
          <w:b w:val="0"/>
          <w:bCs w:val="0"/>
          <w:sz w:val="32"/>
          <w:szCs w:val="32"/>
          <w:lang w:eastAsia="zh-CN"/>
        </w:rPr>
        <w:t>分类</w:t>
      </w:r>
      <w:r>
        <w:rPr>
          <w:rFonts w:hint="eastAsia" w:ascii="仿宋" w:hAnsi="仿宋" w:eastAsia="仿宋" w:cs="仿宋"/>
          <w:b w:val="0"/>
          <w:bCs w:val="0"/>
          <w:sz w:val="32"/>
          <w:szCs w:val="32"/>
        </w:rPr>
        <w:t>科目划分：</w:t>
      </w:r>
      <w:r>
        <w:rPr>
          <w:rFonts w:hint="eastAsia" w:ascii="仿宋" w:hAnsi="仿宋" w:eastAsia="仿宋" w:cs="仿宋"/>
          <w:sz w:val="32"/>
          <w:szCs w:val="32"/>
        </w:rPr>
        <w:t>一般公共服务支出</w:t>
      </w:r>
      <w:r>
        <w:rPr>
          <w:rFonts w:hint="eastAsia" w:ascii="仿宋" w:hAnsi="仿宋" w:eastAsia="仿宋" w:cs="仿宋"/>
          <w:sz w:val="32"/>
          <w:szCs w:val="32"/>
          <w:lang w:val="en-US" w:eastAsia="zh-CN"/>
        </w:rPr>
        <w:t>7.76万元</w:t>
      </w:r>
      <w:r>
        <w:rPr>
          <w:rFonts w:hint="eastAsia" w:ascii="仿宋" w:hAnsi="仿宋" w:eastAsia="仿宋" w:cs="仿宋"/>
          <w:sz w:val="32"/>
          <w:szCs w:val="32"/>
        </w:rPr>
        <w:t>，</w:t>
      </w:r>
      <w:r>
        <w:rPr>
          <w:rFonts w:hint="eastAsia" w:ascii="仿宋" w:hAnsi="仿宋" w:eastAsia="仿宋" w:cs="仿宋"/>
          <w:sz w:val="32"/>
          <w:szCs w:val="32"/>
          <w:lang w:eastAsia="zh-CN"/>
        </w:rPr>
        <w:t>较上年预算安排减少</w:t>
      </w:r>
      <w:r>
        <w:rPr>
          <w:rFonts w:hint="eastAsia" w:ascii="仿宋" w:hAnsi="仿宋" w:eastAsia="仿宋" w:cs="仿宋"/>
          <w:sz w:val="32"/>
          <w:szCs w:val="32"/>
          <w:lang w:val="en-US" w:eastAsia="zh-CN"/>
        </w:rPr>
        <w:t>3.13万元</w:t>
      </w:r>
      <w:r>
        <w:rPr>
          <w:rFonts w:hint="eastAsia" w:ascii="仿宋" w:hAnsi="仿宋" w:eastAsia="仿宋" w:cs="仿宋"/>
          <w:sz w:val="32"/>
          <w:szCs w:val="32"/>
        </w:rPr>
        <w:t>。</w:t>
      </w:r>
    </w:p>
    <w:p>
      <w:pPr>
        <w:spacing w:line="540" w:lineRule="exact"/>
        <w:ind w:firstLine="643" w:firstLineChars="200"/>
        <w:rPr>
          <w:rFonts w:ascii="楷体" w:hAnsi="楷体" w:eastAsia="楷体" w:cs="楷体"/>
          <w:b/>
          <w:bCs/>
          <w:sz w:val="32"/>
          <w:szCs w:val="32"/>
        </w:rPr>
      </w:pPr>
      <w:r>
        <w:rPr>
          <w:rFonts w:hint="eastAsia" w:ascii="楷体" w:hAnsi="楷体" w:eastAsia="楷体" w:cs="楷体"/>
          <w:b/>
          <w:bCs/>
          <w:color w:val="000000"/>
          <w:sz w:val="32"/>
          <w:szCs w:val="32"/>
        </w:rPr>
        <w:t>（三）财政拨款支出情况</w:t>
      </w:r>
    </w:p>
    <w:p>
      <w:pPr>
        <w:keepNext w:val="0"/>
        <w:keepLines w:val="0"/>
        <w:pageBreakBefore w:val="0"/>
        <w:widowControl w:val="0"/>
        <w:kinsoku/>
        <w:wordWrap/>
        <w:overflowPunct/>
        <w:topLinePunct w:val="0"/>
        <w:bidi w:val="0"/>
        <w:snapToGrid/>
        <w:spacing w:line="54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color w:val="000000"/>
          <w:sz w:val="32"/>
          <w:szCs w:val="32"/>
          <w:lang w:val="en-US" w:eastAsia="zh-CN"/>
        </w:rPr>
        <w:t>2023年县侨联财政拨款支出预算</w:t>
      </w:r>
      <w:r>
        <w:rPr>
          <w:rFonts w:hint="eastAsia" w:ascii="仿宋" w:hAnsi="仿宋" w:eastAsia="仿宋" w:cs="仿宋"/>
          <w:sz w:val="32"/>
          <w:szCs w:val="32"/>
          <w:lang w:val="en-US" w:eastAsia="zh-CN"/>
        </w:rPr>
        <w:t>7.76</w:t>
      </w:r>
      <w:r>
        <w:rPr>
          <w:rFonts w:hint="eastAsia" w:ascii="仿宋" w:hAnsi="仿宋" w:eastAsia="仿宋" w:cs="仿宋"/>
          <w:color w:val="000000"/>
          <w:sz w:val="32"/>
          <w:szCs w:val="32"/>
          <w:lang w:val="en-US" w:eastAsia="zh-CN"/>
        </w:rPr>
        <w:t>万元，占支出预算总额的100%，</w:t>
      </w:r>
      <w:r>
        <w:rPr>
          <w:rFonts w:hint="eastAsia" w:ascii="仿宋" w:hAnsi="仿宋" w:eastAsia="仿宋" w:cs="仿宋"/>
          <w:sz w:val="32"/>
          <w:szCs w:val="32"/>
        </w:rPr>
        <w:t>较上年</w:t>
      </w:r>
      <w:r>
        <w:rPr>
          <w:rFonts w:hint="eastAsia" w:ascii="仿宋" w:hAnsi="仿宋" w:eastAsia="仿宋" w:cs="仿宋"/>
          <w:sz w:val="32"/>
          <w:szCs w:val="32"/>
          <w:lang w:eastAsia="zh-CN"/>
        </w:rPr>
        <w:t>预算安排</w:t>
      </w:r>
      <w:r>
        <w:rPr>
          <w:rFonts w:hint="eastAsia" w:ascii="仿宋" w:hAnsi="仿宋" w:eastAsia="仿宋" w:cs="仿宋"/>
          <w:sz w:val="32"/>
          <w:szCs w:val="32"/>
        </w:rPr>
        <w:t>减少</w:t>
      </w:r>
      <w:r>
        <w:rPr>
          <w:rFonts w:hint="eastAsia" w:ascii="仿宋" w:hAnsi="仿宋" w:eastAsia="仿宋" w:cs="仿宋"/>
          <w:sz w:val="32"/>
          <w:szCs w:val="32"/>
          <w:lang w:val="en-US" w:eastAsia="zh-CN"/>
        </w:rPr>
        <w:t>3.13</w:t>
      </w:r>
      <w:r>
        <w:rPr>
          <w:rFonts w:hint="eastAsia" w:ascii="仿宋" w:hAnsi="仿宋" w:eastAsia="仿宋" w:cs="仿宋"/>
          <w:sz w:val="32"/>
          <w:szCs w:val="32"/>
        </w:rPr>
        <w:t>万元</w:t>
      </w:r>
      <w:r>
        <w:rPr>
          <w:rFonts w:hint="eastAsia" w:ascii="仿宋" w:hAnsi="仿宋" w:eastAsia="仿宋" w:cs="仿宋"/>
          <w:sz w:val="32"/>
          <w:szCs w:val="32"/>
          <w:lang w:eastAsia="zh-CN"/>
        </w:rPr>
        <w:t>，减少</w:t>
      </w:r>
      <w:r>
        <w:rPr>
          <w:rFonts w:hint="eastAsia" w:ascii="仿宋" w:hAnsi="仿宋" w:eastAsia="仿宋" w:cs="仿宋"/>
          <w:sz w:val="32"/>
          <w:szCs w:val="32"/>
          <w:lang w:val="en-US" w:eastAsia="zh-CN"/>
        </w:rPr>
        <w:t>28.74%</w:t>
      </w:r>
      <w:r>
        <w:rPr>
          <w:rFonts w:hint="eastAsia" w:ascii="仿宋" w:hAnsi="仿宋" w:eastAsia="仿宋" w:cs="仿宋"/>
          <w:sz w:val="32"/>
          <w:szCs w:val="32"/>
        </w:rPr>
        <w:t>。</w:t>
      </w:r>
      <w:r>
        <w:rPr>
          <w:rFonts w:hint="eastAsia" w:ascii="仿宋" w:hAnsi="仿宋" w:eastAsia="仿宋" w:cs="仿宋"/>
          <w:sz w:val="32"/>
          <w:szCs w:val="32"/>
          <w:lang w:eastAsia="zh-CN"/>
        </w:rPr>
        <w:t>减少主要原因是：过紧日子。具体为：</w:t>
      </w:r>
    </w:p>
    <w:p>
      <w:pPr>
        <w:spacing w:line="54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按支出项目类别及经济分类科目划分：</w:t>
      </w:r>
      <w:r>
        <w:rPr>
          <w:rFonts w:hint="eastAsia" w:ascii="仿宋" w:hAnsi="仿宋" w:eastAsia="仿宋" w:cs="仿宋"/>
          <w:color w:val="auto"/>
          <w:sz w:val="32"/>
          <w:szCs w:val="32"/>
        </w:rPr>
        <w:t>基本支出</w:t>
      </w:r>
      <w:r>
        <w:rPr>
          <w:rFonts w:hint="eastAsia" w:ascii="仿宋" w:hAnsi="仿宋" w:eastAsia="仿宋" w:cs="仿宋"/>
          <w:color w:val="auto"/>
          <w:sz w:val="32"/>
          <w:szCs w:val="32"/>
          <w:lang w:val="en-US" w:eastAsia="zh-CN"/>
        </w:rPr>
        <w:t>1.76</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较上年预算安排减少</w:t>
      </w:r>
      <w:r>
        <w:rPr>
          <w:rFonts w:hint="eastAsia" w:ascii="仿宋" w:hAnsi="仿宋" w:eastAsia="仿宋" w:cs="仿宋"/>
          <w:color w:val="auto"/>
          <w:sz w:val="32"/>
          <w:szCs w:val="32"/>
          <w:lang w:val="en-US" w:eastAsia="zh-CN"/>
        </w:rPr>
        <w:t>0.15万元</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其中：</w:t>
      </w:r>
      <w:r>
        <w:rPr>
          <w:rFonts w:hint="eastAsia" w:ascii="仿宋" w:hAnsi="仿宋" w:eastAsia="仿宋" w:cs="仿宋"/>
          <w:color w:val="auto"/>
          <w:sz w:val="32"/>
          <w:szCs w:val="32"/>
        </w:rPr>
        <w:t>商品和服务支出0.8</w:t>
      </w:r>
      <w:r>
        <w:rPr>
          <w:rFonts w:hint="eastAsia" w:ascii="仿宋" w:hAnsi="仿宋" w:eastAsia="仿宋" w:cs="仿宋"/>
          <w:color w:val="auto"/>
          <w:sz w:val="32"/>
          <w:szCs w:val="32"/>
          <w:lang w:eastAsia="zh-CN"/>
        </w:rPr>
        <w:t>万元，对个人和家庭的补助</w:t>
      </w:r>
      <w:r>
        <w:rPr>
          <w:rFonts w:hint="eastAsia" w:ascii="仿宋" w:hAnsi="仿宋" w:eastAsia="仿宋" w:cs="仿宋"/>
          <w:color w:val="auto"/>
          <w:sz w:val="32"/>
          <w:szCs w:val="32"/>
          <w:lang w:val="en-US" w:eastAsia="zh-CN"/>
        </w:rPr>
        <w:t>0.96</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项目支出</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较上年预算安排减少</w:t>
      </w:r>
      <w:r>
        <w:rPr>
          <w:rFonts w:hint="eastAsia" w:ascii="仿宋" w:hAnsi="仿宋" w:eastAsia="仿宋" w:cs="仿宋"/>
          <w:color w:val="auto"/>
          <w:sz w:val="32"/>
          <w:szCs w:val="32"/>
          <w:lang w:val="en-US" w:eastAsia="zh-CN"/>
        </w:rPr>
        <w:t>2.98万元，其中：其他相关支出6万元</w:t>
      </w:r>
      <w:r>
        <w:rPr>
          <w:rFonts w:hint="eastAsia" w:ascii="仿宋" w:hAnsi="仿宋" w:eastAsia="仿宋" w:cs="仿宋"/>
          <w:color w:val="auto"/>
          <w:sz w:val="32"/>
          <w:szCs w:val="32"/>
        </w:rPr>
        <w:t>。</w:t>
      </w:r>
    </w:p>
    <w:p>
      <w:pPr>
        <w:spacing w:line="540" w:lineRule="exact"/>
        <w:ind w:firstLine="600" w:firstLineChars="200"/>
        <w:rPr>
          <w:rFonts w:hint="eastAsia"/>
          <w:lang w:eastAsia="zh-CN"/>
        </w:rPr>
      </w:pPr>
      <w:r>
        <w:rPr>
          <w:rFonts w:hint="eastAsia" w:ascii="仿宋" w:hAnsi="仿宋" w:eastAsia="仿宋" w:cs="仿宋"/>
          <w:color w:val="auto"/>
          <w:sz w:val="30"/>
          <w:szCs w:val="30"/>
          <w:lang w:eastAsia="zh-CN"/>
        </w:rPr>
        <w:t>按支出功能分类科目划分：</w:t>
      </w:r>
      <w:r>
        <w:rPr>
          <w:rFonts w:hint="eastAsia" w:ascii="仿宋" w:hAnsi="仿宋" w:eastAsia="仿宋" w:cs="仿宋"/>
          <w:sz w:val="32"/>
          <w:szCs w:val="32"/>
        </w:rPr>
        <w:t>一般公共服务支出</w:t>
      </w:r>
      <w:r>
        <w:rPr>
          <w:rFonts w:hint="eastAsia" w:ascii="仿宋" w:hAnsi="仿宋" w:eastAsia="仿宋" w:cs="仿宋"/>
          <w:sz w:val="32"/>
          <w:szCs w:val="32"/>
          <w:lang w:val="en-US" w:eastAsia="zh-CN"/>
        </w:rPr>
        <w:t>7.76万元</w:t>
      </w:r>
      <w:r>
        <w:rPr>
          <w:rFonts w:hint="eastAsia" w:ascii="仿宋" w:hAnsi="仿宋" w:eastAsia="仿宋" w:cs="仿宋"/>
          <w:sz w:val="32"/>
          <w:szCs w:val="32"/>
        </w:rPr>
        <w:t>，</w:t>
      </w:r>
      <w:r>
        <w:rPr>
          <w:rFonts w:hint="eastAsia" w:ascii="仿宋" w:hAnsi="仿宋" w:eastAsia="仿宋" w:cs="仿宋"/>
          <w:sz w:val="32"/>
          <w:szCs w:val="32"/>
          <w:lang w:eastAsia="zh-CN"/>
        </w:rPr>
        <w:t>较上年预算安排减少</w:t>
      </w:r>
      <w:r>
        <w:rPr>
          <w:rFonts w:hint="eastAsia" w:ascii="仿宋" w:hAnsi="仿宋" w:eastAsia="仿宋" w:cs="仿宋"/>
          <w:sz w:val="32"/>
          <w:szCs w:val="32"/>
          <w:lang w:val="en-US" w:eastAsia="zh-CN"/>
        </w:rPr>
        <w:t>3.13万元</w:t>
      </w:r>
      <w:r>
        <w:rPr>
          <w:rFonts w:hint="eastAsia" w:ascii="仿宋" w:hAnsi="仿宋" w:eastAsia="仿宋" w:cs="仿宋"/>
          <w:sz w:val="32"/>
          <w:szCs w:val="32"/>
        </w:rPr>
        <w:t>。</w:t>
      </w:r>
    </w:p>
    <w:p>
      <w:pPr>
        <w:spacing w:line="540" w:lineRule="exact"/>
        <w:ind w:firstLine="643" w:firstLineChars="200"/>
        <w:rPr>
          <w:rFonts w:ascii="楷体" w:hAnsi="楷体" w:eastAsia="楷体" w:cs="楷体"/>
          <w:b/>
          <w:bCs/>
          <w:color w:val="000000"/>
          <w:sz w:val="32"/>
          <w:szCs w:val="32"/>
        </w:rPr>
      </w:pPr>
      <w:r>
        <w:rPr>
          <w:rFonts w:hint="eastAsia" w:ascii="楷体" w:hAnsi="楷体" w:eastAsia="楷体" w:cs="楷体"/>
          <w:b/>
          <w:bCs/>
          <w:color w:val="000000"/>
          <w:sz w:val="32"/>
          <w:szCs w:val="32"/>
        </w:rPr>
        <w:t>（四）政府性基金情况</w:t>
      </w:r>
    </w:p>
    <w:p>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年部门政府性基金支出总额</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较上年预算安排增（减）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w:t>
      </w:r>
    </w:p>
    <w:p>
      <w:pPr>
        <w:spacing w:line="540" w:lineRule="exact"/>
        <w:ind w:firstLine="643" w:firstLineChars="200"/>
        <w:rPr>
          <w:rFonts w:ascii="楷体" w:hAnsi="楷体" w:eastAsia="楷体" w:cs="楷体"/>
          <w:b/>
          <w:bCs/>
          <w:color w:val="000000"/>
          <w:sz w:val="32"/>
          <w:szCs w:val="32"/>
        </w:rPr>
      </w:pPr>
      <w:r>
        <w:rPr>
          <w:rFonts w:hint="eastAsia" w:ascii="楷体" w:hAnsi="楷体" w:eastAsia="楷体" w:cs="楷体"/>
          <w:b/>
          <w:bCs/>
          <w:color w:val="000000"/>
          <w:sz w:val="32"/>
          <w:szCs w:val="32"/>
        </w:rPr>
        <w:t>（五）机关运行经费等重要事项的说明</w:t>
      </w:r>
    </w:p>
    <w:p>
      <w:pPr>
        <w:spacing w:line="54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2023</w:t>
      </w:r>
      <w:r>
        <w:rPr>
          <w:rFonts w:hint="eastAsia" w:ascii="仿宋" w:hAnsi="仿宋" w:eastAsia="仿宋" w:cs="仿宋"/>
          <w:color w:val="000000"/>
          <w:sz w:val="32"/>
          <w:szCs w:val="32"/>
        </w:rPr>
        <w:t>年部门机关运行费预算</w:t>
      </w:r>
      <w:r>
        <w:rPr>
          <w:rFonts w:hint="eastAsia" w:ascii="仿宋" w:hAnsi="仿宋" w:eastAsia="仿宋" w:cs="仿宋"/>
          <w:color w:val="000000"/>
          <w:sz w:val="32"/>
          <w:szCs w:val="32"/>
          <w:lang w:val="en-US" w:eastAsia="zh-CN"/>
        </w:rPr>
        <w:t>6</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eastAsia="zh-CN"/>
        </w:rPr>
        <w:t>比</w:t>
      </w:r>
      <w:r>
        <w:rPr>
          <w:rFonts w:hint="eastAsia" w:ascii="仿宋" w:hAnsi="仿宋" w:eastAsia="仿宋" w:cs="仿宋"/>
          <w:color w:val="000000"/>
          <w:sz w:val="32"/>
          <w:szCs w:val="32"/>
          <w:lang w:val="en-US" w:eastAsia="zh-CN"/>
        </w:rPr>
        <w:t>2022</w:t>
      </w:r>
      <w:r>
        <w:rPr>
          <w:rFonts w:hint="eastAsia" w:ascii="仿宋" w:hAnsi="仿宋" w:eastAsia="仿宋" w:cs="仿宋"/>
          <w:color w:val="000000"/>
          <w:sz w:val="32"/>
          <w:szCs w:val="32"/>
        </w:rPr>
        <w:t>年预算增加</w:t>
      </w:r>
      <w:r>
        <w:rPr>
          <w:rFonts w:hint="eastAsia" w:ascii="仿宋" w:hAnsi="仿宋" w:eastAsia="仿宋" w:cs="仿宋"/>
          <w:color w:val="000000"/>
          <w:sz w:val="32"/>
          <w:szCs w:val="32"/>
          <w:lang w:eastAsia="zh-CN"/>
        </w:rPr>
        <w:t>（减少）</w:t>
      </w:r>
      <w:r>
        <w:rPr>
          <w:rFonts w:hint="eastAsia" w:ascii="仿宋" w:hAnsi="仿宋" w:eastAsia="仿宋" w:cs="仿宋"/>
          <w:color w:val="000000"/>
          <w:sz w:val="32"/>
          <w:szCs w:val="32"/>
          <w:lang w:val="en-US" w:eastAsia="zh-CN"/>
        </w:rPr>
        <w:t>0万元</w:t>
      </w:r>
      <w:r>
        <w:rPr>
          <w:rFonts w:hint="eastAsia" w:ascii="仿宋" w:hAnsi="仿宋" w:eastAsia="仿宋" w:cs="仿宋"/>
          <w:color w:val="000000"/>
          <w:sz w:val="32"/>
          <w:szCs w:val="32"/>
        </w:rPr>
        <w:t>。</w:t>
      </w:r>
    </w:p>
    <w:p>
      <w:pPr>
        <w:spacing w:line="560" w:lineRule="exact"/>
        <w:ind w:firstLine="640" w:firstLineChars="200"/>
      </w:pPr>
      <w:r>
        <w:rPr>
          <w:rFonts w:hint="eastAsia" w:ascii="仿宋" w:hAnsi="仿宋" w:eastAsia="仿宋" w:cs="仿宋"/>
          <w:color w:val="auto"/>
          <w:sz w:val="32"/>
          <w:szCs w:val="32"/>
          <w:highlight w:val="none"/>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40" w:lineRule="exact"/>
        <w:ind w:firstLine="643" w:firstLineChars="200"/>
        <w:rPr>
          <w:rFonts w:ascii="楷体" w:hAnsi="楷体" w:eastAsia="楷体" w:cs="楷体"/>
          <w:b/>
          <w:bCs/>
          <w:color w:val="000000"/>
          <w:sz w:val="32"/>
          <w:szCs w:val="32"/>
        </w:rPr>
      </w:pPr>
      <w:r>
        <w:rPr>
          <w:rFonts w:hint="eastAsia" w:ascii="楷体" w:hAnsi="楷体" w:eastAsia="楷体" w:cs="楷体"/>
          <w:b/>
          <w:bCs/>
          <w:color w:val="000000"/>
          <w:sz w:val="32"/>
          <w:szCs w:val="32"/>
        </w:rPr>
        <w:t>（六）政府采购情况</w:t>
      </w:r>
    </w:p>
    <w:p>
      <w:pPr>
        <w:spacing w:line="54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2023</w:t>
      </w:r>
      <w:r>
        <w:rPr>
          <w:rFonts w:hint="eastAsia" w:ascii="仿宋" w:hAnsi="仿宋" w:eastAsia="仿宋" w:cs="仿宋"/>
          <w:color w:val="000000"/>
          <w:sz w:val="32"/>
          <w:szCs w:val="32"/>
        </w:rPr>
        <w:t>年部门所属各单位政府采购总额</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万元，其中：政府采购货物预算</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万元、政府采购工程预算</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万元、政府采购服务预算</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万元。</w:t>
      </w:r>
    </w:p>
    <w:p>
      <w:pPr>
        <w:spacing w:line="540" w:lineRule="exact"/>
        <w:ind w:firstLine="643" w:firstLineChars="200"/>
        <w:rPr>
          <w:rFonts w:ascii="楷体" w:hAnsi="楷体" w:eastAsia="楷体" w:cs="楷体"/>
          <w:b/>
          <w:bCs/>
          <w:color w:val="000000"/>
          <w:sz w:val="32"/>
          <w:szCs w:val="32"/>
        </w:rPr>
      </w:pPr>
      <w:r>
        <w:rPr>
          <w:rFonts w:hint="eastAsia" w:ascii="楷体" w:hAnsi="楷体" w:eastAsia="楷体" w:cs="楷体"/>
          <w:b/>
          <w:bCs/>
          <w:color w:val="000000"/>
          <w:sz w:val="32"/>
          <w:szCs w:val="32"/>
        </w:rPr>
        <w:t>（七）国有资产占有使用情况</w:t>
      </w:r>
    </w:p>
    <w:p>
      <w:pPr>
        <w:spacing w:line="540" w:lineRule="exact"/>
        <w:ind w:firstLine="640" w:firstLineChars="200"/>
        <w:rPr>
          <w:rFonts w:hint="eastAsia" w:ascii="仿宋" w:hAnsi="仿宋" w:eastAsia="仿宋" w:cs="仿宋"/>
          <w:color w:val="000000"/>
          <w:sz w:val="32"/>
          <w:szCs w:val="32"/>
          <w:lang w:eastAsia="zh-CN"/>
        </w:rPr>
      </w:pPr>
      <w:r>
        <w:rPr>
          <w:rFonts w:hint="eastAsia" w:ascii="仿宋" w:hAnsi="仿宋" w:eastAsia="仿宋" w:cs="仿宋"/>
          <w:color w:val="000000"/>
          <w:sz w:val="32"/>
          <w:szCs w:val="32"/>
        </w:rPr>
        <w:t>截止2022年12月31日，本部门共有车辆0辆，其中一般公务用车0辆、执法执勤用车0辆</w:t>
      </w:r>
      <w:r>
        <w:rPr>
          <w:rFonts w:hint="eastAsia" w:ascii="仿宋" w:hAnsi="仿宋" w:eastAsia="仿宋" w:cs="仿宋"/>
          <w:color w:val="000000"/>
          <w:sz w:val="32"/>
          <w:szCs w:val="32"/>
          <w:lang w:eastAsia="zh-CN"/>
        </w:rPr>
        <w:t>。</w:t>
      </w:r>
    </w:p>
    <w:p>
      <w:pPr>
        <w:spacing w:line="54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202</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年部门预算安排购置车辆0辆，安排购置单位价值200万元以上大型设备0台（套）。</w:t>
      </w:r>
    </w:p>
    <w:p>
      <w:pPr>
        <w:spacing w:line="540" w:lineRule="exact"/>
        <w:ind w:firstLine="643" w:firstLineChars="200"/>
        <w:rPr>
          <w:rFonts w:ascii="楷体" w:hAnsi="楷体" w:eastAsia="楷体" w:cs="楷体"/>
          <w:b/>
          <w:bCs/>
          <w:color w:val="000000"/>
          <w:sz w:val="32"/>
          <w:szCs w:val="32"/>
        </w:rPr>
      </w:pPr>
      <w:r>
        <w:rPr>
          <w:rFonts w:hint="eastAsia" w:ascii="楷体" w:hAnsi="楷体" w:eastAsia="楷体" w:cs="楷体"/>
          <w:b/>
          <w:bCs/>
          <w:color w:val="000000"/>
          <w:sz w:val="32"/>
          <w:szCs w:val="32"/>
        </w:rPr>
        <w:t>（八）绩效目标设置情况</w:t>
      </w:r>
    </w:p>
    <w:p>
      <w:pPr>
        <w:spacing w:line="54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2023年实行绩效目标管理项目1个，涉及资金6万元：</w:t>
      </w:r>
    </w:p>
    <w:p>
      <w:pPr>
        <w:pStyle w:val="2"/>
        <w:numPr>
          <w:ilvl w:val="0"/>
          <w:numId w:val="1"/>
        </w:numPr>
        <w:rPr>
          <w:rFonts w:hint="eastAsia" w:ascii="仿宋" w:hAnsi="仿宋" w:eastAsia="仿宋" w:cs="仿宋"/>
          <w:color w:val="000000"/>
          <w:lang w:val="en-US" w:bidi="ar-SA"/>
        </w:rPr>
      </w:pPr>
      <w:r>
        <w:rPr>
          <w:rFonts w:hint="eastAsia" w:ascii="仿宋" w:hAnsi="仿宋" w:eastAsia="仿宋" w:cs="仿宋"/>
          <w:color w:val="000000"/>
          <w:lang w:val="en-US" w:bidi="ar-SA"/>
        </w:rPr>
        <w:t>项目名称：业务费</w:t>
      </w:r>
    </w:p>
    <w:p>
      <w:pPr>
        <w:pStyle w:val="2"/>
        <w:numPr>
          <w:ilvl w:val="0"/>
          <w:numId w:val="1"/>
        </w:numPr>
        <w:rPr>
          <w:rFonts w:hint="eastAsia" w:ascii="仿宋" w:hAnsi="仿宋" w:eastAsia="仿宋" w:cs="仿宋"/>
          <w:color w:val="000000"/>
          <w:lang w:val="en-US" w:bidi="ar-SA"/>
        </w:rPr>
      </w:pPr>
      <w:r>
        <w:rPr>
          <w:rFonts w:hint="eastAsia" w:ascii="仿宋" w:hAnsi="仿宋" w:eastAsia="仿宋" w:cs="仿宋"/>
          <w:color w:val="000000"/>
          <w:lang w:val="en-US" w:bidi="ar-SA"/>
        </w:rPr>
        <w:t>立项依据：</w:t>
      </w:r>
      <w:r>
        <w:rPr>
          <w:rFonts w:hint="eastAsia" w:ascii="仿宋" w:hAnsi="仿宋" w:eastAsia="仿宋" w:cs="仿宋"/>
          <w:color w:val="000000"/>
          <w:lang w:val="en-US" w:eastAsia="zh-CN" w:bidi="ar-SA"/>
        </w:rPr>
        <w:t>业务安排</w:t>
      </w:r>
    </w:p>
    <w:p>
      <w:pPr>
        <w:pStyle w:val="2"/>
        <w:numPr>
          <w:ilvl w:val="0"/>
          <w:numId w:val="1"/>
        </w:numPr>
        <w:rPr>
          <w:rFonts w:hint="eastAsia" w:ascii="仿宋" w:hAnsi="仿宋" w:eastAsia="仿宋" w:cs="仿宋"/>
          <w:color w:val="000000"/>
          <w:lang w:val="en-US" w:bidi="ar-SA"/>
        </w:rPr>
      </w:pPr>
      <w:r>
        <w:rPr>
          <w:rFonts w:hint="eastAsia" w:ascii="仿宋" w:hAnsi="仿宋" w:eastAsia="仿宋" w:cs="仿宋"/>
          <w:color w:val="000000"/>
          <w:lang w:val="en-US" w:bidi="ar-SA"/>
        </w:rPr>
        <w:t>实施主体：兴国县</w:t>
      </w:r>
      <w:r>
        <w:rPr>
          <w:rFonts w:hint="eastAsia" w:ascii="仿宋" w:hAnsi="仿宋" w:eastAsia="仿宋" w:cs="仿宋"/>
          <w:color w:val="000000"/>
          <w:lang w:val="en-US" w:eastAsia="zh-CN" w:bidi="ar-SA"/>
        </w:rPr>
        <w:t>侨联</w:t>
      </w:r>
    </w:p>
    <w:p>
      <w:pPr>
        <w:pStyle w:val="2"/>
        <w:numPr>
          <w:ilvl w:val="0"/>
          <w:numId w:val="1"/>
        </w:numPr>
        <w:rPr>
          <w:rFonts w:hint="eastAsia" w:ascii="仿宋" w:hAnsi="仿宋" w:eastAsia="仿宋" w:cs="仿宋"/>
          <w:color w:val="000000"/>
          <w:lang w:val="en-US" w:bidi="ar-SA"/>
        </w:rPr>
      </w:pPr>
      <w:r>
        <w:rPr>
          <w:rFonts w:hint="eastAsia" w:ascii="仿宋" w:hAnsi="仿宋" w:eastAsia="仿宋" w:cs="仿宋"/>
          <w:color w:val="000000"/>
          <w:lang w:val="en-US" w:bidi="ar-SA"/>
        </w:rPr>
        <w:t>实施周期：</w:t>
      </w:r>
      <w:r>
        <w:rPr>
          <w:rFonts w:ascii="仿宋" w:hAnsi="仿宋" w:eastAsia="仿宋" w:cs="仿宋"/>
          <w:color w:val="000000"/>
          <w:lang w:val="en-US" w:bidi="ar-SA"/>
        </w:rPr>
        <w:t>2023年</w:t>
      </w:r>
    </w:p>
    <w:p>
      <w:pPr>
        <w:pStyle w:val="2"/>
        <w:numPr>
          <w:ilvl w:val="0"/>
          <w:numId w:val="1"/>
        </w:numPr>
        <w:rPr>
          <w:rFonts w:ascii="仿宋" w:hAnsi="仿宋" w:eastAsia="仿宋" w:cs="仿宋"/>
          <w:color w:val="000000"/>
          <w:lang w:val="en-US" w:bidi="ar-SA"/>
        </w:rPr>
      </w:pPr>
      <w:r>
        <w:rPr>
          <w:rFonts w:hint="eastAsia" w:ascii="仿宋" w:hAnsi="仿宋" w:eastAsia="仿宋" w:cs="仿宋"/>
          <w:color w:val="000000"/>
          <w:lang w:val="en-US" w:bidi="ar-SA"/>
        </w:rPr>
        <w:t>年度预算项目安排：6万元</w:t>
      </w:r>
    </w:p>
    <w:p>
      <w:pPr>
        <w:pStyle w:val="2"/>
        <w:numPr>
          <w:ilvl w:val="0"/>
          <w:numId w:val="0"/>
        </w:numPr>
        <w:ind w:firstLine="640" w:firstLineChars="200"/>
      </w:pPr>
      <w:r>
        <w:rPr>
          <w:rFonts w:hint="eastAsia" w:ascii="仿宋" w:hAnsi="仿宋" w:eastAsia="仿宋" w:cs="仿宋"/>
          <w:color w:val="000000"/>
          <w:lang w:val="en-US" w:bidi="ar-SA"/>
        </w:rPr>
        <w:t>年度绩效目标：全县归侨、侨胞、侨眷以及机关运行等相关工作正常开展，通过积极联系全县归侨、侨胞、侨眷，进一步凝聚团结力量。</w:t>
      </w:r>
    </w:p>
    <w:p>
      <w:pPr>
        <w:spacing w:line="540" w:lineRule="exact"/>
        <w:ind w:firstLine="643" w:firstLineChars="200"/>
        <w:rPr>
          <w:rFonts w:hint="eastAsia" w:ascii="仿宋" w:hAnsi="仿宋" w:eastAsia="仿宋" w:cs="仿宋"/>
          <w:color w:val="000000"/>
          <w:lang w:val="en-US" w:bidi="ar-SA"/>
        </w:rPr>
      </w:pPr>
      <w:r>
        <w:rPr>
          <w:rFonts w:hint="eastAsia" w:ascii="楷体" w:hAnsi="楷体" w:eastAsia="楷体" w:cs="楷体"/>
          <w:b/>
          <w:bCs/>
          <w:color w:val="000000"/>
          <w:sz w:val="32"/>
          <w:szCs w:val="32"/>
        </w:rPr>
        <w:t>（</w:t>
      </w:r>
      <w:r>
        <w:rPr>
          <w:rFonts w:hint="eastAsia" w:ascii="楷体" w:hAnsi="楷体" w:eastAsia="楷体" w:cs="楷体"/>
          <w:b/>
          <w:bCs/>
          <w:color w:val="000000"/>
          <w:sz w:val="32"/>
          <w:szCs w:val="32"/>
          <w:lang w:eastAsia="zh-CN"/>
        </w:rPr>
        <w:t>九</w:t>
      </w:r>
      <w:r>
        <w:rPr>
          <w:rFonts w:hint="eastAsia" w:ascii="楷体" w:hAnsi="楷体" w:eastAsia="楷体" w:cs="楷体"/>
          <w:b/>
          <w:bCs/>
          <w:color w:val="000000"/>
          <w:sz w:val="32"/>
          <w:szCs w:val="32"/>
        </w:rPr>
        <w:t>）</w:t>
      </w:r>
      <w:r>
        <w:rPr>
          <w:rFonts w:hint="eastAsia" w:ascii="楷体" w:hAnsi="楷体" w:eastAsia="楷体" w:cs="楷体"/>
          <w:b/>
          <w:bCs/>
          <w:color w:val="000000"/>
          <w:sz w:val="32"/>
          <w:szCs w:val="32"/>
          <w:lang w:eastAsia="zh-CN"/>
        </w:rPr>
        <w:t>国有资本经营</w:t>
      </w:r>
      <w:r>
        <w:rPr>
          <w:rFonts w:hint="eastAsia" w:ascii="楷体" w:hAnsi="楷体" w:eastAsia="楷体" w:cs="楷体"/>
          <w:b/>
          <w:bCs/>
          <w:color w:val="000000"/>
          <w:sz w:val="32"/>
          <w:szCs w:val="32"/>
        </w:rPr>
        <w:t>情况</w:t>
      </w:r>
    </w:p>
    <w:p>
      <w:pPr>
        <w:pStyle w:val="2"/>
        <w:numPr>
          <w:ilvl w:val="0"/>
          <w:numId w:val="0"/>
        </w:numPr>
        <w:ind w:firstLine="640" w:firstLineChars="200"/>
        <w:rPr>
          <w:lang w:val="en-US"/>
        </w:rPr>
      </w:pPr>
      <w:r>
        <w:rPr>
          <w:rFonts w:hint="eastAsia" w:ascii="仿宋" w:hAnsi="仿宋" w:eastAsia="仿宋" w:cs="仿宋"/>
          <w:color w:val="000000"/>
          <w:kern w:val="2"/>
          <w:sz w:val="32"/>
          <w:szCs w:val="32"/>
          <w:lang w:val="en-US" w:eastAsia="zh-CN" w:bidi="ar-SA"/>
        </w:rPr>
        <w:t>无使用国有资本经营预算拨款安排的支出。</w:t>
      </w:r>
    </w:p>
    <w:p>
      <w:pPr>
        <w:spacing w:line="54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二、202</w:t>
      </w:r>
      <w:r>
        <w:rPr>
          <w:rFonts w:hint="eastAsia" w:ascii="黑体" w:hAnsi="黑体" w:eastAsia="黑体" w:cs="黑体"/>
          <w:color w:val="000000"/>
          <w:sz w:val="32"/>
          <w:szCs w:val="32"/>
          <w:lang w:val="en-US" w:eastAsia="zh-CN"/>
        </w:rPr>
        <w:t>3</w:t>
      </w:r>
      <w:r>
        <w:rPr>
          <w:rFonts w:hint="eastAsia" w:ascii="黑体" w:hAnsi="黑体" w:eastAsia="黑体" w:cs="黑体"/>
          <w:color w:val="000000"/>
          <w:sz w:val="32"/>
          <w:szCs w:val="32"/>
        </w:rPr>
        <w:t>年“三公”经费预算情况说明</w:t>
      </w:r>
    </w:p>
    <w:p>
      <w:pPr>
        <w:spacing w:line="54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202</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年兴国县</w:t>
      </w:r>
      <w:r>
        <w:rPr>
          <w:rFonts w:hint="eastAsia" w:ascii="仿宋" w:hAnsi="仿宋" w:eastAsia="仿宋" w:cs="仿宋"/>
          <w:color w:val="000000"/>
          <w:sz w:val="32"/>
          <w:szCs w:val="32"/>
          <w:lang w:eastAsia="zh-CN"/>
        </w:rPr>
        <w:t>侨联</w:t>
      </w:r>
      <w:r>
        <w:rPr>
          <w:rFonts w:hint="eastAsia" w:ascii="仿宋" w:hAnsi="仿宋" w:eastAsia="仿宋" w:cs="仿宋"/>
          <w:color w:val="000000"/>
          <w:sz w:val="32"/>
          <w:szCs w:val="32"/>
        </w:rPr>
        <w:t>“三公”经费一般公共预算安排</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万元。其中：</w:t>
      </w:r>
    </w:p>
    <w:p>
      <w:pPr>
        <w:spacing w:line="54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因公出国（境）费0万元。</w:t>
      </w:r>
    </w:p>
    <w:p>
      <w:pPr>
        <w:spacing w:line="54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公务接待费</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万元，比上年增（减）0万元。</w:t>
      </w:r>
    </w:p>
    <w:p>
      <w:pPr>
        <w:spacing w:line="54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公务用车运行维护费0万元。</w:t>
      </w:r>
    </w:p>
    <w:p>
      <w:pPr>
        <w:spacing w:line="540" w:lineRule="exact"/>
        <w:ind w:firstLine="640" w:firstLineChars="200"/>
        <w:rPr>
          <w:rFonts w:hint="eastAsia"/>
        </w:rPr>
      </w:pPr>
      <w:r>
        <w:rPr>
          <w:rFonts w:hint="eastAsia" w:ascii="仿宋" w:hAnsi="仿宋" w:eastAsia="仿宋" w:cs="仿宋"/>
          <w:color w:val="000000"/>
          <w:sz w:val="32"/>
          <w:szCs w:val="32"/>
        </w:rPr>
        <w:t>公务用车购置费0万元。</w:t>
      </w:r>
    </w:p>
    <w:p>
      <w:pPr>
        <w:spacing w:line="540" w:lineRule="exact"/>
        <w:jc w:val="center"/>
        <w:rPr>
          <w:rFonts w:hint="eastAsia" w:ascii="方正小标宋简体" w:hAnsi="方正小标宋简体" w:eastAsia="方正小标宋简体" w:cs="方正小标宋简体"/>
          <w:color w:val="000000"/>
          <w:sz w:val="44"/>
          <w:szCs w:val="44"/>
        </w:rPr>
      </w:pPr>
    </w:p>
    <w:p>
      <w:pPr>
        <w:spacing w:line="54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第三部分 兴国县</w:t>
      </w:r>
      <w:r>
        <w:rPr>
          <w:rFonts w:hint="eastAsia" w:ascii="方正小标宋简体" w:hAnsi="方正小标宋简体" w:eastAsia="方正小标宋简体" w:cs="方正小标宋简体"/>
          <w:color w:val="000000"/>
          <w:sz w:val="44"/>
          <w:szCs w:val="44"/>
          <w:lang w:eastAsia="zh-CN"/>
        </w:rPr>
        <w:t>侨联</w:t>
      </w:r>
      <w:r>
        <w:rPr>
          <w:rFonts w:hint="eastAsia" w:ascii="方正小标宋简体" w:hAnsi="方正小标宋简体" w:eastAsia="方正小标宋简体" w:cs="方正小标宋简体"/>
          <w:color w:val="000000"/>
          <w:sz w:val="44"/>
          <w:szCs w:val="44"/>
        </w:rPr>
        <w:t>2023年</w:t>
      </w:r>
    </w:p>
    <w:p>
      <w:pPr>
        <w:spacing w:line="54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部门预算表</w:t>
      </w:r>
    </w:p>
    <w:p>
      <w:pPr>
        <w:spacing w:line="560" w:lineRule="exact"/>
        <w:ind w:left="633" w:leftChars="0" w:hanging="633" w:hangingChars="198"/>
        <w:rPr>
          <w:rFonts w:hint="eastAsia" w:eastAsia="仿宋"/>
          <w:color w:val="auto"/>
          <w:lang w:eastAsia="zh-CN"/>
        </w:rPr>
      </w:pPr>
      <w:r>
        <w:rPr>
          <w:rFonts w:hint="eastAsia" w:ascii="仿宋" w:hAnsi="仿宋" w:eastAsia="仿宋" w:cs="仿宋"/>
          <w:color w:val="auto"/>
          <w:sz w:val="32"/>
          <w:szCs w:val="32"/>
        </w:rPr>
        <w:t>一、《收支预算总表》</w:t>
      </w:r>
      <w:r>
        <w:rPr>
          <w:rFonts w:hint="eastAsia" w:ascii="仿宋" w:hAnsi="仿宋" w:eastAsia="仿宋" w:cs="仿宋"/>
          <w:color w:val="auto"/>
          <w:sz w:val="32"/>
          <w:szCs w:val="32"/>
          <w:lang w:eastAsia="zh-CN"/>
        </w:rPr>
        <w:t>（见附表）</w:t>
      </w:r>
    </w:p>
    <w:p>
      <w:pPr>
        <w:pStyle w:val="2"/>
        <w:numPr>
          <w:ilvl w:val="0"/>
          <w:numId w:val="0"/>
        </w:numPr>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二、</w:t>
      </w:r>
      <w:r>
        <w:rPr>
          <w:rFonts w:hint="eastAsia" w:ascii="仿宋" w:hAnsi="仿宋" w:eastAsia="仿宋" w:cs="仿宋"/>
          <w:color w:val="auto"/>
          <w:sz w:val="32"/>
          <w:szCs w:val="32"/>
        </w:rPr>
        <w:t>《部门收入总表》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三、</w:t>
      </w:r>
      <w:r>
        <w:rPr>
          <w:rFonts w:hint="eastAsia" w:ascii="仿宋" w:hAnsi="仿宋" w:eastAsia="仿宋" w:cs="仿宋"/>
          <w:color w:val="auto"/>
          <w:sz w:val="32"/>
          <w:szCs w:val="32"/>
        </w:rPr>
        <w:t>《部门支出总表》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四、</w:t>
      </w:r>
      <w:r>
        <w:rPr>
          <w:rFonts w:hint="eastAsia" w:ascii="仿宋" w:hAnsi="仿宋" w:eastAsia="仿宋" w:cs="仿宋"/>
          <w:color w:val="auto"/>
          <w:sz w:val="32"/>
          <w:szCs w:val="32"/>
        </w:rPr>
        <w:t>《财政拨款收支总表》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五、</w:t>
      </w:r>
      <w:r>
        <w:rPr>
          <w:rFonts w:hint="eastAsia" w:ascii="仿宋" w:hAnsi="仿宋" w:eastAsia="仿宋" w:cs="仿宋"/>
          <w:color w:val="auto"/>
          <w:sz w:val="32"/>
          <w:szCs w:val="32"/>
        </w:rPr>
        <w:t>《一般公共预算支出表》</w:t>
      </w:r>
      <w:r>
        <w:rPr>
          <w:rFonts w:hint="eastAsia" w:ascii="仿宋" w:hAnsi="仿宋" w:eastAsia="仿宋" w:cs="仿宋"/>
          <w:color w:val="auto"/>
          <w:sz w:val="32"/>
          <w:szCs w:val="32"/>
          <w:lang w:eastAsia="zh-CN"/>
        </w:rPr>
        <w:t>（见附表）</w:t>
      </w:r>
    </w:p>
    <w:p>
      <w:pPr>
        <w:numPr>
          <w:ilvl w:val="0"/>
          <w:numId w:val="0"/>
        </w:numPr>
        <w:spacing w:line="560" w:lineRule="exact"/>
        <w:ind w:leftChars="0"/>
        <w:rPr>
          <w:color w:val="auto"/>
        </w:rPr>
      </w:pPr>
      <w:r>
        <w:rPr>
          <w:rFonts w:hint="eastAsia" w:ascii="仿宋" w:hAnsi="仿宋" w:eastAsia="仿宋" w:cs="仿宋"/>
          <w:color w:val="auto"/>
          <w:sz w:val="32"/>
          <w:szCs w:val="32"/>
          <w:lang w:eastAsia="zh-CN"/>
        </w:rPr>
        <w:t>六、</w:t>
      </w:r>
      <w:r>
        <w:rPr>
          <w:rFonts w:hint="eastAsia" w:ascii="仿宋" w:hAnsi="仿宋" w:eastAsia="仿宋" w:cs="仿宋"/>
          <w:color w:val="auto"/>
          <w:sz w:val="32"/>
          <w:szCs w:val="32"/>
        </w:rPr>
        <w:t>《一般公共预算基本支出表》</w:t>
      </w:r>
      <w:r>
        <w:rPr>
          <w:rFonts w:hint="eastAsia" w:ascii="仿宋" w:hAnsi="仿宋" w:eastAsia="仿宋" w:cs="仿宋"/>
          <w:color w:val="auto"/>
          <w:sz w:val="32"/>
          <w:szCs w:val="32"/>
          <w:lang w:eastAsia="zh-CN"/>
        </w:rPr>
        <w:t>（见附表）</w:t>
      </w:r>
    </w:p>
    <w:p>
      <w:pPr>
        <w:pStyle w:val="7"/>
        <w:numPr>
          <w:ilvl w:val="0"/>
          <w:numId w:val="0"/>
        </w:numPr>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七、</w:t>
      </w:r>
      <w:r>
        <w:rPr>
          <w:rFonts w:hint="eastAsia" w:ascii="仿宋" w:hAnsi="仿宋" w:eastAsia="仿宋" w:cs="仿宋"/>
          <w:color w:val="auto"/>
          <w:sz w:val="32"/>
          <w:szCs w:val="32"/>
        </w:rPr>
        <w:t>《一般公共预算“三公”经费支出表》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八、</w:t>
      </w:r>
      <w:r>
        <w:rPr>
          <w:rFonts w:hint="eastAsia" w:ascii="仿宋" w:hAnsi="仿宋" w:eastAsia="仿宋" w:cs="仿宋"/>
          <w:color w:val="auto"/>
          <w:sz w:val="32"/>
          <w:szCs w:val="32"/>
        </w:rPr>
        <w:t>《政府性基金预算支出表》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九、《国有资本经营预算支出表》（见附表）</w:t>
      </w:r>
    </w:p>
    <w:p>
      <w:pPr>
        <w:numPr>
          <w:ilvl w:val="0"/>
          <w:numId w:val="0"/>
        </w:numPr>
        <w:spacing w:line="560" w:lineRule="exact"/>
        <w:ind w:leftChars="0"/>
        <w:rPr>
          <w:rFonts w:hint="eastAsia" w:ascii="仿宋" w:hAnsi="仿宋" w:eastAsia="仿宋" w:cs="仿宋"/>
          <w:color w:val="auto"/>
          <w:sz w:val="32"/>
          <w:szCs w:val="32"/>
        </w:rPr>
      </w:pPr>
      <w:r>
        <w:rPr>
          <w:rFonts w:hint="eastAsia"/>
          <w:lang w:eastAsia="zh-CN"/>
        </w:rPr>
        <w:drawing>
          <wp:anchor distT="0" distB="0" distL="114300" distR="114300" simplePos="0" relativeHeight="251660288" behindDoc="0" locked="0" layoutInCell="1" allowOverlap="1">
            <wp:simplePos x="0" y="0"/>
            <wp:positionH relativeFrom="column">
              <wp:posOffset>-130175</wp:posOffset>
            </wp:positionH>
            <wp:positionV relativeFrom="paragraph">
              <wp:posOffset>812800</wp:posOffset>
            </wp:positionV>
            <wp:extent cx="5493385" cy="6776720"/>
            <wp:effectExtent l="0" t="0" r="8255" b="5080"/>
            <wp:wrapSquare wrapText="bothSides"/>
            <wp:docPr id="19" name="图片 19" descr="ec52b50d0b4fd791c5da875796632d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ec52b50d0b4fd791c5da875796632d4"/>
                    <pic:cNvPicPr>
                      <a:picLocks noChangeAspect="1"/>
                    </pic:cNvPicPr>
                  </pic:nvPicPr>
                  <pic:blipFill>
                    <a:blip r:embed="rId5"/>
                    <a:stretch>
                      <a:fillRect/>
                    </a:stretch>
                  </pic:blipFill>
                  <pic:spPr>
                    <a:xfrm>
                      <a:off x="0" y="0"/>
                      <a:ext cx="5493385" cy="6776720"/>
                    </a:xfrm>
                    <a:prstGeom prst="rect">
                      <a:avLst/>
                    </a:prstGeom>
                  </pic:spPr>
                </pic:pic>
              </a:graphicData>
            </a:graphic>
          </wp:anchor>
        </w:drawing>
      </w: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《部门整体支出绩效目标表》</w:t>
      </w:r>
    </w:p>
    <w:p>
      <w:pPr>
        <w:pStyle w:val="2"/>
        <w:rPr>
          <w:rFonts w:hint="eastAsia" w:ascii="仿宋" w:hAnsi="仿宋" w:eastAsia="仿宋" w:cs="仿宋"/>
          <w:sz w:val="32"/>
          <w:szCs w:val="32"/>
          <w:lang w:eastAsia="zh-CN"/>
        </w:rPr>
      </w:pPr>
    </w:p>
    <w:p>
      <w:pPr>
        <w:numPr>
          <w:ilvl w:val="0"/>
          <w:numId w:val="0"/>
        </w:numPr>
        <w:spacing w:line="560" w:lineRule="exact"/>
        <w:ind w:leftChars="0"/>
        <w:rPr>
          <w:rFonts w:hint="eastAsia" w:ascii="仿宋" w:hAnsi="仿宋" w:eastAsia="仿宋" w:cs="仿宋"/>
          <w:sz w:val="32"/>
          <w:szCs w:val="32"/>
          <w:lang w:eastAsia="zh-CN"/>
        </w:rPr>
      </w:pPr>
    </w:p>
    <w:p>
      <w:pPr>
        <w:numPr>
          <w:ilvl w:val="0"/>
          <w:numId w:val="0"/>
        </w:numPr>
        <w:spacing w:line="560" w:lineRule="exact"/>
        <w:ind w:leftChars="0"/>
        <w:rPr>
          <w:rFonts w:hint="eastAsia" w:ascii="仿宋" w:hAnsi="仿宋" w:eastAsia="仿宋" w:cs="仿宋"/>
          <w:sz w:val="32"/>
          <w:szCs w:val="32"/>
          <w:lang w:eastAsia="zh-CN"/>
        </w:rPr>
      </w:pPr>
    </w:p>
    <w:p>
      <w:pPr>
        <w:numPr>
          <w:ilvl w:val="0"/>
          <w:numId w:val="0"/>
        </w:numPr>
        <w:spacing w:line="560" w:lineRule="exact"/>
        <w:ind w:leftChars="0"/>
        <w:rPr>
          <w:rFonts w:hint="eastAsia" w:ascii="仿宋" w:hAnsi="仿宋" w:eastAsia="仿宋" w:cs="仿宋"/>
          <w:sz w:val="32"/>
          <w:szCs w:val="32"/>
          <w:lang w:eastAsia="zh-CN"/>
        </w:rPr>
      </w:pPr>
    </w:p>
    <w:p>
      <w:pPr>
        <w:numPr>
          <w:ilvl w:val="0"/>
          <w:numId w:val="0"/>
        </w:numPr>
        <w:spacing w:line="560" w:lineRule="exact"/>
        <w:ind w:leftChars="0"/>
        <w:rPr>
          <w:rFonts w:hint="eastAsia" w:ascii="仿宋" w:hAnsi="仿宋" w:eastAsia="仿宋" w:cs="仿宋"/>
          <w:sz w:val="32"/>
          <w:szCs w:val="32"/>
          <w:lang w:eastAsia="zh-CN"/>
        </w:rPr>
      </w:pPr>
      <w:bookmarkStart w:id="0" w:name="_GoBack"/>
      <w:bookmarkEnd w:id="0"/>
    </w:p>
    <w:p>
      <w:pPr>
        <w:numPr>
          <w:ilvl w:val="0"/>
          <w:numId w:val="0"/>
        </w:numPr>
        <w:spacing w:line="560" w:lineRule="exact"/>
        <w:ind w:leftChars="0"/>
      </w:pPr>
      <w:r>
        <w:rPr>
          <w:rFonts w:hint="eastAsia" w:ascii="仿宋" w:hAnsi="仿宋" w:eastAsia="仿宋" w:cs="仿宋"/>
          <w:sz w:val="32"/>
          <w:szCs w:val="32"/>
          <w:lang w:eastAsia="zh-CN"/>
        </w:rPr>
        <w:t>十一、</w:t>
      </w:r>
      <w:r>
        <w:rPr>
          <w:rFonts w:hint="eastAsia" w:ascii="仿宋" w:hAnsi="仿宋" w:eastAsia="仿宋" w:cs="仿宋"/>
          <w:sz w:val="32"/>
          <w:szCs w:val="32"/>
        </w:rPr>
        <w:t>《项目支出绩效目标表》</w:t>
      </w:r>
    </w:p>
    <w:p>
      <w:pPr>
        <w:pStyle w:val="2"/>
        <w:rPr>
          <w:rFonts w:hint="eastAsia"/>
          <w:lang w:eastAsia="zh-CN"/>
        </w:rPr>
      </w:pPr>
    </w:p>
    <w:p>
      <w:pPr>
        <w:pStyle w:val="2"/>
        <w:jc w:val="center"/>
        <w:rPr>
          <w:rFonts w:hint="eastAsia"/>
          <w:lang w:eastAsia="zh-CN"/>
        </w:rPr>
      </w:pPr>
      <w:r>
        <w:rPr>
          <w:rFonts w:hint="eastAsia"/>
          <w:lang w:eastAsia="zh-CN"/>
        </w:rPr>
        <w:drawing>
          <wp:anchor distT="0" distB="0" distL="114300" distR="114300" simplePos="0" relativeHeight="251659264" behindDoc="0" locked="0" layoutInCell="1" allowOverlap="1">
            <wp:simplePos x="0" y="0"/>
            <wp:positionH relativeFrom="column">
              <wp:posOffset>-49530</wp:posOffset>
            </wp:positionH>
            <wp:positionV relativeFrom="paragraph">
              <wp:posOffset>191770</wp:posOffset>
            </wp:positionV>
            <wp:extent cx="5271770" cy="6456045"/>
            <wp:effectExtent l="0" t="0" r="1270" b="5715"/>
            <wp:wrapSquare wrapText="bothSides"/>
            <wp:docPr id="17" name="图片 17" descr="af176f4364b33f347b6afb668932ff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af176f4364b33f347b6afb668932ffc"/>
                    <pic:cNvPicPr>
                      <a:picLocks noChangeAspect="1"/>
                    </pic:cNvPicPr>
                  </pic:nvPicPr>
                  <pic:blipFill>
                    <a:blip r:embed="rId6"/>
                    <a:stretch>
                      <a:fillRect/>
                    </a:stretch>
                  </pic:blipFill>
                  <pic:spPr>
                    <a:xfrm>
                      <a:off x="0" y="0"/>
                      <a:ext cx="5271770" cy="6456045"/>
                    </a:xfrm>
                    <a:prstGeom prst="rect">
                      <a:avLst/>
                    </a:prstGeom>
                  </pic:spPr>
                </pic:pic>
              </a:graphicData>
            </a:graphic>
          </wp:anchor>
        </w:drawing>
      </w:r>
    </w:p>
    <w:p>
      <w:pPr>
        <w:spacing w:line="540" w:lineRule="exact"/>
        <w:jc w:val="both"/>
        <w:rPr>
          <w:rFonts w:hint="eastAsia" w:ascii="方正小标宋简体" w:hAnsi="方正小标宋简体" w:eastAsia="方正小标宋简体" w:cs="方正小标宋简体"/>
          <w:color w:val="000000"/>
          <w:sz w:val="44"/>
          <w:szCs w:val="44"/>
        </w:rPr>
      </w:pPr>
    </w:p>
    <w:p>
      <w:pPr>
        <w:pStyle w:val="2"/>
        <w:rPr>
          <w:rFonts w:hint="eastAsia" w:ascii="方正小标宋简体" w:hAnsi="方正小标宋简体" w:eastAsia="方正小标宋简体" w:cs="方正小标宋简体"/>
          <w:color w:val="000000"/>
          <w:sz w:val="44"/>
          <w:szCs w:val="44"/>
        </w:rPr>
      </w:pPr>
    </w:p>
    <w:p>
      <w:pPr>
        <w:pStyle w:val="2"/>
        <w:rPr>
          <w:rFonts w:hint="eastAsia" w:ascii="方正小标宋简体" w:hAnsi="方正小标宋简体" w:eastAsia="方正小标宋简体" w:cs="方正小标宋简体"/>
          <w:color w:val="000000"/>
          <w:sz w:val="44"/>
          <w:szCs w:val="44"/>
        </w:rPr>
      </w:pPr>
    </w:p>
    <w:p>
      <w:pPr>
        <w:spacing w:line="54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第四部分名词解释</w:t>
      </w:r>
    </w:p>
    <w:p>
      <w:pPr>
        <w:spacing w:line="540" w:lineRule="exact"/>
        <w:ind w:firstLine="640" w:firstLineChars="200"/>
        <w:rPr>
          <w:rFonts w:ascii="仿宋" w:hAnsi="仿宋" w:eastAsia="仿宋" w:cs="仿宋"/>
          <w:color w:val="000000"/>
          <w:sz w:val="32"/>
          <w:szCs w:val="32"/>
        </w:rPr>
      </w:pPr>
    </w:p>
    <w:p>
      <w:pPr>
        <w:keepNext w:val="0"/>
        <w:keepLines w:val="0"/>
        <w:pageBreakBefore w:val="0"/>
        <w:widowControl w:val="0"/>
        <w:kinsoku/>
        <w:wordWrap/>
        <w:overflowPunct/>
        <w:topLinePunct w:val="0"/>
        <w:bidi w:val="0"/>
        <w:snapToGrid/>
        <w:spacing w:line="540" w:lineRule="exact"/>
        <w:ind w:firstLine="640" w:firstLineChars="20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一、收入科目</w:t>
      </w:r>
    </w:p>
    <w:p>
      <w:pPr>
        <w:keepNext w:val="0"/>
        <w:keepLines w:val="0"/>
        <w:pageBreakBefore w:val="0"/>
        <w:widowControl w:val="0"/>
        <w:kinsoku/>
        <w:wordWrap/>
        <w:overflowPunct/>
        <w:topLinePunct w:val="0"/>
        <w:bidi w:val="0"/>
        <w:snapToGrid/>
        <w:spacing w:line="54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（一）财政拨款：指县本级财政当年拨付的资金。</w:t>
      </w:r>
    </w:p>
    <w:p>
      <w:pPr>
        <w:keepNext w:val="0"/>
        <w:keepLines w:val="0"/>
        <w:pageBreakBefore w:val="0"/>
        <w:widowControl w:val="0"/>
        <w:kinsoku/>
        <w:wordWrap/>
        <w:overflowPunct/>
        <w:topLinePunct w:val="0"/>
        <w:bidi w:val="0"/>
        <w:snapToGrid/>
        <w:spacing w:line="54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（二）事业收入：指事业单位开展专业业务活动及辅助活动取得的收入。</w:t>
      </w:r>
    </w:p>
    <w:p>
      <w:pPr>
        <w:keepNext w:val="0"/>
        <w:keepLines w:val="0"/>
        <w:pageBreakBefore w:val="0"/>
        <w:widowControl w:val="0"/>
        <w:kinsoku/>
        <w:wordWrap/>
        <w:overflowPunct/>
        <w:topLinePunct w:val="0"/>
        <w:bidi w:val="0"/>
        <w:snapToGrid/>
        <w:spacing w:line="54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（三）事业单位经营收入：指事业单位在专业业务活动及辅助活动之外开展非独立核算经营活动取得的收入。</w:t>
      </w:r>
    </w:p>
    <w:p>
      <w:pPr>
        <w:keepNext w:val="0"/>
        <w:keepLines w:val="0"/>
        <w:pageBreakBefore w:val="0"/>
        <w:widowControl w:val="0"/>
        <w:kinsoku/>
        <w:wordWrap/>
        <w:overflowPunct/>
        <w:topLinePunct w:val="0"/>
        <w:bidi w:val="0"/>
        <w:snapToGrid/>
        <w:spacing w:line="54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（四）其他收入：指除财政拨款、事业收入、事业单位经营收入等以外的各项收入。</w:t>
      </w:r>
    </w:p>
    <w:p>
      <w:pPr>
        <w:keepNext w:val="0"/>
        <w:keepLines w:val="0"/>
        <w:pageBreakBefore w:val="0"/>
        <w:widowControl w:val="0"/>
        <w:kinsoku/>
        <w:wordWrap/>
        <w:overflowPunct/>
        <w:topLinePunct w:val="0"/>
        <w:bidi w:val="0"/>
        <w:snapToGrid/>
        <w:spacing w:line="54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（五）附属单位上缴收入：反映事业单位附属的独立核算单位按规定标准或比例缴纳的各项收入。包括附属的事业单位上缴的收入和附属的企业上缴的利润等。</w:t>
      </w:r>
    </w:p>
    <w:p>
      <w:pPr>
        <w:keepNext w:val="0"/>
        <w:keepLines w:val="0"/>
        <w:pageBreakBefore w:val="0"/>
        <w:widowControl w:val="0"/>
        <w:kinsoku/>
        <w:wordWrap/>
        <w:overflowPunct/>
        <w:topLinePunct w:val="0"/>
        <w:bidi w:val="0"/>
        <w:snapToGrid/>
        <w:spacing w:line="54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（六）上级补助收入：反映事业单位从主管部门和上级单位取得的非财政补助收入。</w:t>
      </w:r>
    </w:p>
    <w:p>
      <w:pPr>
        <w:keepNext w:val="0"/>
        <w:keepLines w:val="0"/>
        <w:pageBreakBefore w:val="0"/>
        <w:widowControl w:val="0"/>
        <w:kinsoku/>
        <w:wordWrap/>
        <w:overflowPunct/>
        <w:topLinePunct w:val="0"/>
        <w:bidi w:val="0"/>
        <w:snapToGrid/>
        <w:spacing w:line="54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（七）使用非财政拨款结余：填列历年滚存的非限定用途的非统计财政拨款结余弥补</w:t>
      </w:r>
      <w:r>
        <w:rPr>
          <w:rFonts w:hint="eastAsia" w:ascii="仿宋" w:hAnsi="仿宋" w:eastAsia="仿宋" w:cs="仿宋"/>
          <w:color w:val="000000"/>
          <w:sz w:val="32"/>
          <w:szCs w:val="32"/>
          <w:lang w:val="en-US" w:eastAsia="zh-CN"/>
        </w:rPr>
        <w:t>2023</w:t>
      </w:r>
      <w:r>
        <w:rPr>
          <w:rFonts w:hint="eastAsia" w:ascii="仿宋" w:hAnsi="仿宋" w:eastAsia="仿宋" w:cs="仿宋"/>
          <w:color w:val="000000"/>
          <w:sz w:val="32"/>
          <w:szCs w:val="32"/>
        </w:rPr>
        <w:t>年收支差额的数额。</w:t>
      </w:r>
    </w:p>
    <w:p>
      <w:pPr>
        <w:keepNext w:val="0"/>
        <w:keepLines w:val="0"/>
        <w:pageBreakBefore w:val="0"/>
        <w:widowControl w:val="0"/>
        <w:kinsoku/>
        <w:wordWrap/>
        <w:overflowPunct/>
        <w:topLinePunct w:val="0"/>
        <w:bidi w:val="0"/>
        <w:snapToGrid/>
        <w:spacing w:line="54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（八）上年结转和结余：填列</w:t>
      </w:r>
      <w:r>
        <w:rPr>
          <w:rFonts w:hint="eastAsia" w:ascii="仿宋" w:hAnsi="仿宋" w:eastAsia="仿宋" w:cs="仿宋"/>
          <w:color w:val="000000"/>
          <w:sz w:val="32"/>
          <w:szCs w:val="32"/>
          <w:lang w:val="en-US" w:eastAsia="zh-CN"/>
        </w:rPr>
        <w:t>2022</w:t>
      </w:r>
      <w:r>
        <w:rPr>
          <w:rFonts w:hint="eastAsia" w:ascii="仿宋" w:hAnsi="仿宋" w:eastAsia="仿宋" w:cs="仿宋"/>
          <w:color w:val="000000"/>
          <w:sz w:val="32"/>
          <w:szCs w:val="32"/>
        </w:rPr>
        <w:t>年全部结转和结余的资金数，包括当年结转结余资金和历年滚存结转结余资金。</w:t>
      </w:r>
    </w:p>
    <w:p>
      <w:pPr>
        <w:keepNext w:val="0"/>
        <w:keepLines w:val="0"/>
        <w:pageBreakBefore w:val="0"/>
        <w:widowControl w:val="0"/>
        <w:kinsoku/>
        <w:wordWrap/>
        <w:overflowPunct/>
        <w:topLinePunct w:val="0"/>
        <w:bidi w:val="0"/>
        <w:snapToGrid/>
        <w:spacing w:line="540" w:lineRule="exact"/>
        <w:ind w:firstLine="640" w:firstLineChars="20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二、支出科目</w:t>
      </w:r>
    </w:p>
    <w:p>
      <w:pPr>
        <w:keepNext w:val="0"/>
        <w:keepLines w:val="0"/>
        <w:pageBreakBefore w:val="0"/>
        <w:widowControl w:val="0"/>
        <w:kinsoku/>
        <w:wordWrap/>
        <w:overflowPunct/>
        <w:topLinePunct w:val="0"/>
        <w:bidi w:val="0"/>
        <w:snapToGrid/>
        <w:spacing w:line="540" w:lineRule="exact"/>
        <w:ind w:firstLine="640" w:firstLineChars="200"/>
        <w:textAlignment w:val="auto"/>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eastAsia="zh-CN"/>
        </w:rPr>
        <w:t>（一）行政运行：反映行政单位（事业单位）的基本支出。</w:t>
      </w:r>
    </w:p>
    <w:p>
      <w:pPr>
        <w:keepNext w:val="0"/>
        <w:keepLines w:val="0"/>
        <w:pageBreakBefore w:val="0"/>
        <w:widowControl w:val="0"/>
        <w:kinsoku/>
        <w:wordWrap/>
        <w:overflowPunct/>
        <w:topLinePunct w:val="0"/>
        <w:bidi w:val="0"/>
        <w:snapToGrid/>
        <w:spacing w:line="540" w:lineRule="exact"/>
        <w:ind w:firstLine="640" w:firstLineChars="200"/>
        <w:textAlignment w:val="auto"/>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eastAsia="zh-CN"/>
        </w:rPr>
        <w:t>（二）一般行政管理事务：反映行政单位（包括事业单位）未单独设置项级科目的其他项目支出。</w:t>
      </w:r>
    </w:p>
    <w:p>
      <w:pPr>
        <w:keepNext w:val="0"/>
        <w:keepLines w:val="0"/>
        <w:pageBreakBefore w:val="0"/>
        <w:widowControl w:val="0"/>
        <w:kinsoku/>
        <w:wordWrap/>
        <w:overflowPunct/>
        <w:topLinePunct w:val="0"/>
        <w:bidi w:val="0"/>
        <w:snapToGrid/>
        <w:spacing w:line="540" w:lineRule="exact"/>
        <w:ind w:firstLine="640" w:firstLineChars="200"/>
        <w:textAlignment w:val="auto"/>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eastAsia="zh-CN"/>
        </w:rPr>
        <w:t>（三）机关事业单位基本养老保险缴费支出：反映机关事业单位实施养老保险制度由单位缴纳的基本养老保险费的支出。</w:t>
      </w:r>
    </w:p>
    <w:p>
      <w:pPr>
        <w:keepNext w:val="0"/>
        <w:keepLines w:val="0"/>
        <w:pageBreakBefore w:val="0"/>
        <w:widowControl w:val="0"/>
        <w:kinsoku/>
        <w:wordWrap/>
        <w:overflowPunct/>
        <w:topLinePunct w:val="0"/>
        <w:bidi w:val="0"/>
        <w:snapToGrid/>
        <w:spacing w:line="540" w:lineRule="exact"/>
        <w:ind w:firstLine="640" w:firstLineChars="200"/>
        <w:textAlignment w:val="auto"/>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eastAsia="zh-CN"/>
        </w:rPr>
        <w:t>（四）行政单位医疗：反映行政事业单位基本医疗保险缴费经费。</w:t>
      </w:r>
    </w:p>
    <w:p>
      <w:pPr>
        <w:keepNext w:val="0"/>
        <w:keepLines w:val="0"/>
        <w:pageBreakBefore w:val="0"/>
        <w:widowControl w:val="0"/>
        <w:kinsoku/>
        <w:wordWrap/>
        <w:overflowPunct/>
        <w:topLinePunct w:val="0"/>
        <w:bidi w:val="0"/>
        <w:snapToGrid/>
        <w:spacing w:line="540" w:lineRule="exact"/>
        <w:ind w:firstLine="640" w:firstLineChars="200"/>
        <w:textAlignment w:val="auto"/>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eastAsia="zh-CN"/>
        </w:rPr>
        <w:t>（五）事业单位医疗：反映财政部门集中安排的事业单位基本医疗保险缴费经费。</w:t>
      </w:r>
    </w:p>
    <w:p>
      <w:pPr>
        <w:keepNext w:val="0"/>
        <w:keepLines w:val="0"/>
        <w:pageBreakBefore w:val="0"/>
        <w:widowControl w:val="0"/>
        <w:kinsoku/>
        <w:wordWrap/>
        <w:overflowPunct/>
        <w:topLinePunct w:val="0"/>
        <w:bidi w:val="0"/>
        <w:snapToGrid/>
        <w:spacing w:line="540" w:lineRule="exact"/>
        <w:ind w:firstLine="640" w:firstLineChars="200"/>
        <w:textAlignment w:val="auto"/>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eastAsia="zh-CN"/>
        </w:rPr>
        <w:t>（六）死亡抚恤：反映单位遗属人员生活补助</w:t>
      </w:r>
    </w:p>
    <w:p>
      <w:pPr>
        <w:spacing w:line="540" w:lineRule="exact"/>
        <w:ind w:firstLine="640" w:firstLineChars="200"/>
        <w:rPr>
          <w:rFonts w:ascii="仿宋" w:hAnsi="仿宋" w:eastAsia="仿宋" w:cs="仿宋"/>
          <w:color w:val="000000"/>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00000000000000000"/>
    <w:charset w:val="86"/>
    <w:family w:val="auto"/>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4"/>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&#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M6pebnPAAAABQEAAA8AAAAAAAAAAQAgAAAAIgAAAGRy&#10;cy9kb3ducmV2LnhtbFBLAQIUABQAAAAIAIdO4kBMYmY/1QEAALADAAAOAAAAAAAAAAEAIAAAAB4B&#10;AABkcnMvZTJvRG9jLnhtbFBLBQYAAAAABgAGAFkBAABlBQAAAAA=&#10;">
              <v:fill on="f" focussize="0,0"/>
              <v:stroke on="f"/>
              <v:imagedata o:title=""/>
              <o:lock v:ext="edit" aspectratio="f"/>
              <v:textbox inset="0mm,0mm,0mm,0mm" style="mso-fit-shape-to-text:t;">
                <w:txbxContent>
                  <w:p>
                    <w:pPr>
                      <w:pStyle w:val="4"/>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66764B"/>
    <w:multiLevelType w:val="multilevel"/>
    <w:tmpl w:val="0066764B"/>
    <w:lvl w:ilvl="0" w:tentative="0">
      <w:start w:val="1"/>
      <w:numFmt w:val="decimal"/>
      <w:lvlText w:val="%1."/>
      <w:lvlJc w:val="left"/>
      <w:pPr>
        <w:ind w:left="990" w:hanging="360"/>
      </w:pPr>
      <w:rPr>
        <w:rFonts w:hint="default"/>
      </w:rPr>
    </w:lvl>
    <w:lvl w:ilvl="1" w:tentative="0">
      <w:start w:val="1"/>
      <w:numFmt w:val="lowerLetter"/>
      <w:lvlText w:val="%2)"/>
      <w:lvlJc w:val="left"/>
      <w:pPr>
        <w:ind w:left="1470" w:hanging="420"/>
      </w:pPr>
    </w:lvl>
    <w:lvl w:ilvl="2" w:tentative="0">
      <w:start w:val="1"/>
      <w:numFmt w:val="lowerRoman"/>
      <w:lvlText w:val="%3."/>
      <w:lvlJc w:val="right"/>
      <w:pPr>
        <w:ind w:left="1890" w:hanging="420"/>
      </w:pPr>
    </w:lvl>
    <w:lvl w:ilvl="3" w:tentative="0">
      <w:start w:val="1"/>
      <w:numFmt w:val="decimal"/>
      <w:lvlText w:val="%4."/>
      <w:lvlJc w:val="left"/>
      <w:pPr>
        <w:ind w:left="2310" w:hanging="420"/>
      </w:pPr>
    </w:lvl>
    <w:lvl w:ilvl="4" w:tentative="0">
      <w:start w:val="1"/>
      <w:numFmt w:val="lowerLetter"/>
      <w:lvlText w:val="%5)"/>
      <w:lvlJc w:val="left"/>
      <w:pPr>
        <w:ind w:left="2730" w:hanging="420"/>
      </w:pPr>
    </w:lvl>
    <w:lvl w:ilvl="5" w:tentative="0">
      <w:start w:val="1"/>
      <w:numFmt w:val="lowerRoman"/>
      <w:lvlText w:val="%6."/>
      <w:lvlJc w:val="right"/>
      <w:pPr>
        <w:ind w:left="3150" w:hanging="420"/>
      </w:pPr>
    </w:lvl>
    <w:lvl w:ilvl="6" w:tentative="0">
      <w:start w:val="1"/>
      <w:numFmt w:val="decimal"/>
      <w:lvlText w:val="%7."/>
      <w:lvlJc w:val="left"/>
      <w:pPr>
        <w:ind w:left="3570" w:hanging="420"/>
      </w:pPr>
    </w:lvl>
    <w:lvl w:ilvl="7" w:tentative="0">
      <w:start w:val="1"/>
      <w:numFmt w:val="lowerLetter"/>
      <w:lvlText w:val="%8)"/>
      <w:lvlJc w:val="left"/>
      <w:pPr>
        <w:ind w:left="3990" w:hanging="420"/>
      </w:pPr>
    </w:lvl>
    <w:lvl w:ilvl="8" w:tentative="0">
      <w:start w:val="1"/>
      <w:numFmt w:val="lowerRoman"/>
      <w:lvlText w:val="%9."/>
      <w:lvlJc w:val="right"/>
      <w:pPr>
        <w:ind w:left="441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4YTMzOWZmYTYzZmQ4NTZlYjRjOTk1NTI2NDliNzkifQ=="/>
  </w:docVars>
  <w:rsids>
    <w:rsidRoot w:val="57FF563F"/>
    <w:rsid w:val="00046D70"/>
    <w:rsid w:val="00050021"/>
    <w:rsid w:val="000618BA"/>
    <w:rsid w:val="000D5CC1"/>
    <w:rsid w:val="00130AD2"/>
    <w:rsid w:val="00136180"/>
    <w:rsid w:val="001376AD"/>
    <w:rsid w:val="001C794F"/>
    <w:rsid w:val="00273A58"/>
    <w:rsid w:val="00326284"/>
    <w:rsid w:val="003304E4"/>
    <w:rsid w:val="00445FAE"/>
    <w:rsid w:val="00543289"/>
    <w:rsid w:val="00575A55"/>
    <w:rsid w:val="005948F5"/>
    <w:rsid w:val="00624658"/>
    <w:rsid w:val="006C6285"/>
    <w:rsid w:val="006F3EFE"/>
    <w:rsid w:val="007D1E63"/>
    <w:rsid w:val="008811D7"/>
    <w:rsid w:val="00AB4273"/>
    <w:rsid w:val="00B75BE9"/>
    <w:rsid w:val="00C7597A"/>
    <w:rsid w:val="00CF4761"/>
    <w:rsid w:val="00D35B3A"/>
    <w:rsid w:val="00D958D1"/>
    <w:rsid w:val="00DD0B48"/>
    <w:rsid w:val="00DE0FA0"/>
    <w:rsid w:val="00E92385"/>
    <w:rsid w:val="067537E0"/>
    <w:rsid w:val="068C7E31"/>
    <w:rsid w:val="080E73C3"/>
    <w:rsid w:val="085D0450"/>
    <w:rsid w:val="09370C9F"/>
    <w:rsid w:val="09465CAC"/>
    <w:rsid w:val="096B4DCA"/>
    <w:rsid w:val="0ACA7E62"/>
    <w:rsid w:val="0B3F5407"/>
    <w:rsid w:val="0BA51D91"/>
    <w:rsid w:val="0D143D89"/>
    <w:rsid w:val="0E63139A"/>
    <w:rsid w:val="0F8E0EF3"/>
    <w:rsid w:val="12FD2A23"/>
    <w:rsid w:val="13457B1E"/>
    <w:rsid w:val="14B003C9"/>
    <w:rsid w:val="161B09E9"/>
    <w:rsid w:val="18996B69"/>
    <w:rsid w:val="1AAD41AE"/>
    <w:rsid w:val="1AB14D65"/>
    <w:rsid w:val="1B2D6427"/>
    <w:rsid w:val="1E161F2C"/>
    <w:rsid w:val="1FAD0E21"/>
    <w:rsid w:val="200A6FE0"/>
    <w:rsid w:val="249E328A"/>
    <w:rsid w:val="25471110"/>
    <w:rsid w:val="258D3AAD"/>
    <w:rsid w:val="2623440C"/>
    <w:rsid w:val="26EB4A80"/>
    <w:rsid w:val="28742CB4"/>
    <w:rsid w:val="29B92BFD"/>
    <w:rsid w:val="2A7B4538"/>
    <w:rsid w:val="2AB638E3"/>
    <w:rsid w:val="2E555E95"/>
    <w:rsid w:val="2EC8340B"/>
    <w:rsid w:val="344334F9"/>
    <w:rsid w:val="349E6736"/>
    <w:rsid w:val="34A751F1"/>
    <w:rsid w:val="366F1648"/>
    <w:rsid w:val="375F5783"/>
    <w:rsid w:val="38EB4F39"/>
    <w:rsid w:val="39E01823"/>
    <w:rsid w:val="40665BFA"/>
    <w:rsid w:val="41220EF7"/>
    <w:rsid w:val="416F6993"/>
    <w:rsid w:val="46EB5CD8"/>
    <w:rsid w:val="47AD27BC"/>
    <w:rsid w:val="47AE68BB"/>
    <w:rsid w:val="47B51D43"/>
    <w:rsid w:val="482C6361"/>
    <w:rsid w:val="4CD21368"/>
    <w:rsid w:val="4DE77BFD"/>
    <w:rsid w:val="4F387C93"/>
    <w:rsid w:val="5550118A"/>
    <w:rsid w:val="567F1EF0"/>
    <w:rsid w:val="57FF563F"/>
    <w:rsid w:val="58FF6E67"/>
    <w:rsid w:val="5975190A"/>
    <w:rsid w:val="5AE42DA5"/>
    <w:rsid w:val="5CB942DD"/>
    <w:rsid w:val="5D141B53"/>
    <w:rsid w:val="5D814602"/>
    <w:rsid w:val="61391F97"/>
    <w:rsid w:val="63E35034"/>
    <w:rsid w:val="65D23F89"/>
    <w:rsid w:val="6D6A1F65"/>
    <w:rsid w:val="6DE36831"/>
    <w:rsid w:val="6DE7339F"/>
    <w:rsid w:val="70771D31"/>
    <w:rsid w:val="70AA3138"/>
    <w:rsid w:val="77DC4DFE"/>
    <w:rsid w:val="7AF933F6"/>
    <w:rsid w:val="7B9420B5"/>
    <w:rsid w:val="7C004E21"/>
    <w:rsid w:val="7C58085C"/>
    <w:rsid w:val="7CCB4510"/>
    <w:rsid w:val="7D25327D"/>
    <w:rsid w:val="7D946A67"/>
    <w:rsid w:val="7D984BF8"/>
    <w:rsid w:val="7DFFDF98"/>
    <w:rsid w:val="7E8458A8"/>
    <w:rsid w:val="7FDF320D"/>
    <w:rsid w:val="7FFD56F3"/>
    <w:rsid w:val="DBAFC9FE"/>
    <w:rsid w:val="DFACFB86"/>
    <w:rsid w:val="EFB78282"/>
    <w:rsid w:val="FFEFEA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annotation text"/>
    <w:basedOn w:val="1"/>
    <w:qFormat/>
    <w:uiPriority w:val="0"/>
    <w:pPr>
      <w:jc w:val="left"/>
    </w:pPr>
  </w:style>
  <w:style w:type="paragraph" w:styleId="4">
    <w:name w:val="footer"/>
    <w:basedOn w:val="1"/>
    <w:unhideWhenUsed/>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paragraph" w:styleId="7">
    <w:name w:val="Body Text First Indent"/>
    <w:basedOn w:val="2"/>
    <w:qFormat/>
    <w:uiPriority w:val="99"/>
    <w:pPr>
      <w:ind w:firstLine="420" w:firstLineChars="100"/>
    </w:pPr>
  </w:style>
  <w:style w:type="character" w:customStyle="1" w:styleId="10">
    <w:name w:val="页眉 Char"/>
    <w:basedOn w:val="9"/>
    <w:link w:val="5"/>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2810</Words>
  <Characters>2966</Characters>
  <Lines>24</Lines>
  <Paragraphs>6</Paragraphs>
  <TotalTime>8</TotalTime>
  <ScaleCrop>false</ScaleCrop>
  <LinksUpToDate>false</LinksUpToDate>
  <CharactersWithSpaces>2982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2020-03-26T18:30:00Z</dcterms:created>
  <dc:creator>Administrator</dc:creator>
  <cp:lastModifiedBy>wangrs</cp:lastModifiedBy>
  <dcterms:modified xsi:type="dcterms:W3CDTF">2001-12-31T16:11:14Z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6165AED068E04B20952EB91C2066BA33_13</vt:lpwstr>
  </property>
</Properties>
</file>