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A944C">
      <w:pPr>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Cs/>
          <w:sz w:val="36"/>
          <w:szCs w:val="36"/>
        </w:rPr>
        <w:t>兴国县人民政府办公室2023年部门预算</w:t>
      </w:r>
    </w:p>
    <w:p w14:paraId="30800DED">
      <w:pPr>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编制说明</w:t>
      </w:r>
    </w:p>
    <w:p w14:paraId="31A80616">
      <w:pPr>
        <w:spacing w:line="560" w:lineRule="exact"/>
        <w:jc w:val="center"/>
        <w:rPr>
          <w:rFonts w:ascii="黑体" w:hAnsi="黑体" w:eastAsia="黑体" w:cs="黑体"/>
          <w:sz w:val="36"/>
          <w:szCs w:val="36"/>
        </w:rPr>
      </w:pPr>
    </w:p>
    <w:p w14:paraId="78D1B7BE">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14:paraId="701C54DB">
      <w:pPr>
        <w:spacing w:line="560" w:lineRule="exact"/>
        <w:jc w:val="center"/>
        <w:rPr>
          <w:rFonts w:ascii="黑体" w:hAnsi="黑体" w:eastAsia="黑体" w:cs="黑体"/>
          <w:sz w:val="32"/>
          <w:szCs w:val="32"/>
        </w:rPr>
      </w:pPr>
    </w:p>
    <w:p w14:paraId="4C58B3F7">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兴国县人民政府办公室部门概况</w:t>
      </w:r>
    </w:p>
    <w:p w14:paraId="202324ED">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14:paraId="05CB8EFC">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14:paraId="0A9DF2EB">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兴国县人民政府办公室部门预算情况说明</w:t>
      </w:r>
    </w:p>
    <w:p w14:paraId="0CA191C8">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14:paraId="21945539">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14:paraId="52CB584C">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兴国县人民政府办公室部门预算表</w:t>
      </w:r>
    </w:p>
    <w:p w14:paraId="7D0226B0">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14:paraId="2490D36D">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14:paraId="35E8EE9E">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14:paraId="42C9A2E4">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14:paraId="7A45FD54">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14:paraId="132EA0F4">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14:paraId="35BFB336">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bookmarkStart w:id="0" w:name="_GoBack"/>
      <w:bookmarkEnd w:id="0"/>
    </w:p>
    <w:p w14:paraId="68FC1F77">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14:paraId="5BC4D726">
      <w:pPr>
        <w:spacing w:line="560" w:lineRule="exact"/>
        <w:ind w:left="634" w:leftChars="284" w:hanging="38" w:hangingChars="12"/>
      </w:pPr>
      <w:r>
        <w:rPr>
          <w:rFonts w:hint="eastAsia" w:ascii="仿宋" w:hAnsi="仿宋" w:eastAsia="仿宋" w:cs="仿宋"/>
          <w:sz w:val="32"/>
          <w:szCs w:val="32"/>
        </w:rPr>
        <w:t>九、《国有资本经营预算支出表》</w:t>
      </w:r>
    </w:p>
    <w:p w14:paraId="2AA2908D">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14:paraId="36CB9746">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十一、《项目支出绩效目标表》</w:t>
      </w:r>
    </w:p>
    <w:p w14:paraId="5685899C">
      <w:pPr>
        <w:spacing w:line="560" w:lineRule="exact"/>
        <w:ind w:left="10" w:leftChars="5" w:firstLine="623" w:firstLineChars="194"/>
        <w:rPr>
          <w:rFonts w:ascii="仿宋" w:hAnsi="仿宋" w:eastAsia="仿宋" w:cs="仿宋"/>
          <w:b/>
          <w:bCs/>
          <w:sz w:val="32"/>
          <w:szCs w:val="32"/>
        </w:rPr>
      </w:pPr>
      <w:r>
        <w:rPr>
          <w:rFonts w:hint="eastAsia" w:ascii="仿宋" w:hAnsi="仿宋" w:eastAsia="仿宋" w:cs="仿宋"/>
          <w:b/>
          <w:bCs/>
          <w:sz w:val="32"/>
          <w:szCs w:val="32"/>
        </w:rPr>
        <w:t>第四部分 名词解释</w:t>
      </w:r>
    </w:p>
    <w:p w14:paraId="77787BDB">
      <w:pPr>
        <w:spacing w:line="560" w:lineRule="exact"/>
        <w:jc w:val="center"/>
        <w:rPr>
          <w:rFonts w:ascii="仿宋" w:hAnsi="仿宋" w:eastAsia="仿宋" w:cs="仿宋"/>
          <w:b/>
          <w:bCs/>
          <w:sz w:val="32"/>
          <w:szCs w:val="32"/>
        </w:rPr>
      </w:pPr>
    </w:p>
    <w:p w14:paraId="4A9C34DF">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兴国县人民政府办公室部门概况</w:t>
      </w:r>
    </w:p>
    <w:p w14:paraId="5BBB192C">
      <w:pPr>
        <w:spacing w:line="560" w:lineRule="exact"/>
        <w:jc w:val="center"/>
        <w:rPr>
          <w:rFonts w:ascii="仿宋" w:hAnsi="仿宋" w:eastAsia="仿宋" w:cs="仿宋"/>
          <w:b/>
          <w:bCs/>
          <w:sz w:val="32"/>
          <w:szCs w:val="32"/>
        </w:rPr>
      </w:pPr>
    </w:p>
    <w:p w14:paraId="74267213">
      <w:pPr>
        <w:spacing w:line="560" w:lineRule="exact"/>
        <w:ind w:left="10" w:leftChars="5" w:firstLine="643" w:firstLineChars="200"/>
        <w:rPr>
          <w:rFonts w:ascii="宋体" w:hAnsi="宋体" w:eastAsia="黑体" w:cs="黑体"/>
          <w:sz w:val="30"/>
          <w:szCs w:val="30"/>
        </w:rPr>
      </w:pPr>
      <w:r>
        <w:rPr>
          <w:rFonts w:hint="eastAsia" w:ascii="楷体" w:hAnsi="楷体" w:eastAsia="楷体" w:cs="楷体"/>
          <w:b/>
          <w:bCs/>
          <w:sz w:val="32"/>
          <w:szCs w:val="32"/>
        </w:rPr>
        <w:t>一、部门主要职责</w:t>
      </w:r>
    </w:p>
    <w:p w14:paraId="752D6FB7">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兴国县人民政府办公室是处理县政府日常工作的县政府工作部门，为正科级单位。</w:t>
      </w:r>
    </w:p>
    <w:p w14:paraId="2745AE66">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主要职责是：</w:t>
      </w:r>
    </w:p>
    <w:p w14:paraId="2F4CF711">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办理党中央、国务院、省委、省政府、市委、市政府及其各部门和县委公文的呈(传)阅以及有关文电处理工作。</w:t>
      </w:r>
    </w:p>
    <w:p w14:paraId="24798AB7">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研究县政府各部门、各乡镇人民政府请示县政府的事项，提出审核意见，报县政府审定。</w:t>
      </w:r>
    </w:p>
    <w:p w14:paraId="3EE83903">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负责组织起草或审核以县政府、兴国县人民政府办公室（部门）公室名义发布的公文;指导、协调县政府规范性文件起草和制定工作，以及县政府及其办公室重要文件、文稿、合同(协议)的涉法审查、涉法事务等工作。</w:t>
      </w:r>
    </w:p>
    <w:p w14:paraId="16B1416D">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14:paraId="7C05CB79">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根据县政府领导指示或办理文件的需要，对县政府各部门之问、乡镇政府之间、部门与乡镇政府之同相互协商后仍有争议的问题提出处理意见，报县政府领导决定。</w:t>
      </w:r>
    </w:p>
    <w:p w14:paraId="7A65B736">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督促检查县政府各部门和各乡镇政府对国务院、省政府、市政府和县政府公文、会议决定事项以及领导同志有关指示的贯彻抗行落实。</w:t>
      </w:r>
    </w:p>
    <w:p w14:paraId="2CBAF213">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根据县政府領导的指示或工作需要，组织专題调查研究，及时反映情况，提出意见</w:t>
      </w:r>
    </w:p>
    <w:p w14:paraId="2A6F5BCF">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指导、协调、监督全县政府信息公开工作。</w:t>
      </w:r>
    </w:p>
    <w:p w14:paraId="006891EE">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负责全县政府系统信息工作、协助和参与领导决策负责县本级政府新闻发布工作</w:t>
      </w:r>
    </w:p>
    <w:p w14:paraId="141B2929">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负责与县人大常委会办公室、县政协办公室联系，组织、督促有关部门和单位及时办理人大代表建议和政协委员提案。</w:t>
      </w:r>
    </w:p>
    <w:p w14:paraId="3DA15C3A">
      <w:pPr>
        <w:numPr>
          <w:ilvl w:val="0"/>
          <w:numId w:val="1"/>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负责县政府、兴国县人民政府办公室（部门）公室的印鉴管理使用;负责兴国县人民政府办公室（部门）公室机关保密和档案工作。</w:t>
      </w:r>
    </w:p>
    <w:p w14:paraId="7FBF0561">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（十二）负责县政府值班工作，及时报告重要情况，传达督办上级政府和县政府领导同志指示，协调、指导全县政府系统值班工作。</w:t>
      </w:r>
    </w:p>
    <w:p w14:paraId="6731F9D5">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(十三)负责上级领导、兄弟县(市、区)政府领导来兴国视察、慰问、考核、调研的组织协调工作</w:t>
      </w:r>
    </w:p>
    <w:p w14:paraId="62C435FD">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(十四)负责</w:t>
      </w:r>
      <w:r>
        <w:rPr>
          <w:rFonts w:hint="eastAsia" w:ascii="仿宋" w:hAnsi="仿宋" w:eastAsia="仿宋" w:cs="仿宋"/>
          <w:sz w:val="30"/>
          <w:szCs w:val="30"/>
          <w:lang w:eastAsia="zh-CN"/>
        </w:rPr>
        <w:t>贯彻</w:t>
      </w:r>
      <w:r>
        <w:rPr>
          <w:rFonts w:hint="eastAsia" w:ascii="仿宋" w:hAnsi="仿宋" w:eastAsia="仿宋" w:cs="仿宋"/>
          <w:sz w:val="30"/>
          <w:szCs w:val="30"/>
        </w:rPr>
        <w:t>落实上级有关金融工作政策，研究制定全县金融发展规划和工作计划;负贾全县担保公司、小额担保公司、典当行等的日常监管工作;负责协调处置全县涉及金融领城的突发事件，促进维护金融秩序和社会稳定</w:t>
      </w:r>
    </w:p>
    <w:p w14:paraId="60E56069">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五)贯抗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14:paraId="289FDF13">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(十六)贯彻落实上级有关行政审批制度改革的决策部署统筹全县行政审批制度改革工作，提出行政审批制度改革的意见和建议，指导、检查、督促有关</w:t>
      </w:r>
      <w:r>
        <w:rPr>
          <w:rFonts w:hint="eastAsia" w:ascii="仿宋" w:hAnsi="仿宋" w:eastAsia="仿宋" w:cs="仿宋"/>
          <w:sz w:val="30"/>
          <w:szCs w:val="30"/>
          <w:lang w:eastAsia="zh-CN"/>
        </w:rPr>
        <w:t>政策措施</w:t>
      </w:r>
      <w:r>
        <w:rPr>
          <w:rFonts w:hint="eastAsia" w:ascii="仿宋" w:hAnsi="仿宋" w:eastAsia="仿宋" w:cs="仿宋"/>
          <w:sz w:val="30"/>
          <w:szCs w:val="30"/>
        </w:rPr>
        <w:t>落实。</w:t>
      </w:r>
    </w:p>
    <w:p w14:paraId="0563FEA1">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(十七)贯彻执行党和国家对外方针政策法规，贯彻落实县委、县政府关于外事工作的指示和决定，会同有关部门研究提出执行有关外事政策的具体措施;负责拟订全县外事工作管理意见和规范性文件</w:t>
      </w:r>
    </w:p>
    <w:p w14:paraId="5C1706EF">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(十八)处理群众来信，接待群众来访，及时向县政府领导报告来信来访中提出的重要建议和反映的重要问题，办理上级党政机关转交及县政府领导交办的有关信访事项。</w:t>
      </w:r>
    </w:p>
    <w:p w14:paraId="7273794A">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(十九)协助做好县政府机关和县政府领导的后勤服务工作。</w:t>
      </w:r>
    </w:p>
    <w:p w14:paraId="02990242">
      <w:pPr>
        <w:spacing w:line="560" w:lineRule="exact"/>
        <w:ind w:firstLine="600" w:firstLineChars="200"/>
        <w:rPr>
          <w:rFonts w:ascii="仿宋" w:hAnsi="仿宋" w:eastAsia="仿宋" w:cs="仿宋"/>
          <w:sz w:val="24"/>
          <w:szCs w:val="24"/>
        </w:rPr>
      </w:pPr>
      <w:r>
        <w:rPr>
          <w:rFonts w:hint="eastAsia" w:ascii="仿宋" w:hAnsi="仿宋" w:eastAsia="仿宋" w:cs="仿宋"/>
          <w:sz w:val="30"/>
          <w:szCs w:val="30"/>
        </w:rPr>
        <w:t>(二十)办理县委、县政府交办的其它工作任务。</w:t>
      </w:r>
    </w:p>
    <w:p w14:paraId="26B0797B">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14:paraId="162A1DDD">
      <w:pPr>
        <w:ind w:firstLine="640" w:firstLineChars="200"/>
        <w:rPr>
          <w:rFonts w:ascii="仿宋" w:hAnsi="仿宋" w:eastAsia="仿宋"/>
          <w:sz w:val="32"/>
          <w:szCs w:val="32"/>
        </w:rPr>
      </w:pPr>
      <w:r>
        <w:rPr>
          <w:rFonts w:hint="eastAsia" w:ascii="仿宋" w:hAnsi="仿宋" w:eastAsia="仿宋" w:cs="仿宋"/>
          <w:sz w:val="32"/>
          <w:szCs w:val="32"/>
        </w:rPr>
        <w:t>2023年兴国县人民政府办公室</w:t>
      </w:r>
      <w:r>
        <w:rPr>
          <w:rFonts w:hint="eastAsia" w:ascii="仿宋" w:hAnsi="仿宋" w:eastAsia="仿宋"/>
          <w:sz w:val="32"/>
          <w:szCs w:val="32"/>
        </w:rPr>
        <w:t>部门共有预算单位1</w:t>
      </w:r>
      <w:r>
        <w:rPr>
          <w:rFonts w:ascii="仿宋" w:hAnsi="仿宋" w:eastAsia="仿宋"/>
          <w:sz w:val="32"/>
          <w:szCs w:val="32"/>
        </w:rPr>
        <w:t>个</w:t>
      </w:r>
      <w:r>
        <w:rPr>
          <w:rFonts w:hint="eastAsia" w:ascii="仿宋" w:hAnsi="仿宋" w:eastAsia="仿宋"/>
          <w:sz w:val="32"/>
          <w:szCs w:val="32"/>
        </w:rPr>
        <w:t>。包括：兴国县人民政府办公室。</w:t>
      </w:r>
    </w:p>
    <w:p w14:paraId="27B0AEE5">
      <w:pPr>
        <w:ind w:firstLine="640" w:firstLineChars="200"/>
        <w:rPr>
          <w:rFonts w:ascii="仿宋" w:hAnsi="仿宋" w:eastAsia="仿宋" w:cs="仿宋"/>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rPr>
        <w:t>27</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rPr>
        <w:t>27</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sz w:val="32"/>
          <w:szCs w:val="32"/>
        </w:rPr>
        <w:t>27</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sz w:val="32"/>
          <w:szCs w:val="32"/>
        </w:rPr>
        <w:t>27</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sz w:val="32"/>
          <w:szCs w:val="32"/>
        </w:rPr>
        <w:t>27</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ascii="仿宋" w:hAnsi="仿宋" w:eastAsia="仿宋"/>
          <w:kern w:val="0"/>
          <w:sz w:val="32"/>
          <w:szCs w:val="32"/>
        </w:rPr>
        <w:t>__</w:t>
      </w:r>
      <w:r>
        <w:rPr>
          <w:rFonts w:hint="eastAsia" w:ascii="仿宋" w:hAnsi="仿宋" w:eastAsia="仿宋"/>
          <w:kern w:val="0"/>
          <w:sz w:val="32"/>
          <w:szCs w:val="32"/>
        </w:rPr>
        <w:t>0</w:t>
      </w:r>
      <w:r>
        <w:rPr>
          <w:rFonts w:ascii="仿宋" w:hAnsi="仿宋" w:eastAsia="仿宋"/>
          <w:kern w:val="0"/>
          <w:sz w:val="32"/>
          <w:szCs w:val="32"/>
        </w:rPr>
        <w:t>__</w:t>
      </w:r>
      <w:r>
        <w:rPr>
          <w:rFonts w:ascii="仿宋" w:hAnsi="仿宋" w:eastAsia="仿宋"/>
          <w:sz w:val="32"/>
          <w:szCs w:val="32"/>
        </w:rPr>
        <w:t>人,退休人数小计</w:t>
      </w:r>
      <w:r>
        <w:rPr>
          <w:rFonts w:hint="eastAsia" w:ascii="仿宋" w:hAnsi="仿宋" w:eastAsia="仿宋"/>
          <w:sz w:val="32"/>
          <w:szCs w:val="32"/>
        </w:rPr>
        <w:t>15</w:t>
      </w:r>
      <w:r>
        <w:rPr>
          <w:rFonts w:ascii="仿宋" w:hAnsi="仿宋" w:eastAsia="仿宋"/>
          <w:sz w:val="32"/>
          <w:szCs w:val="32"/>
        </w:rPr>
        <w:t>人,退职人员</w:t>
      </w:r>
      <w:r>
        <w:rPr>
          <w:rFonts w:ascii="仿宋" w:hAnsi="仿宋" w:eastAsia="仿宋"/>
          <w:kern w:val="0"/>
          <w:sz w:val="32"/>
          <w:szCs w:val="32"/>
        </w:rPr>
        <w:t>__</w:t>
      </w:r>
      <w:r>
        <w:rPr>
          <w:rFonts w:hint="eastAsia" w:ascii="仿宋" w:hAnsi="仿宋" w:eastAsia="仿宋"/>
          <w:kern w:val="0"/>
          <w:sz w:val="32"/>
          <w:szCs w:val="32"/>
        </w:rPr>
        <w:t>0</w:t>
      </w:r>
      <w:r>
        <w:rPr>
          <w:rFonts w:ascii="仿宋" w:hAnsi="仿宋" w:eastAsia="仿宋"/>
          <w:kern w:val="0"/>
          <w:sz w:val="32"/>
          <w:szCs w:val="32"/>
        </w:rPr>
        <w:t>__</w:t>
      </w:r>
      <w:r>
        <w:rPr>
          <w:rFonts w:ascii="仿宋" w:hAnsi="仿宋" w:eastAsia="仿宋"/>
          <w:sz w:val="32"/>
          <w:szCs w:val="32"/>
        </w:rPr>
        <w:t>人,遗属人数</w:t>
      </w:r>
      <w:r>
        <w:rPr>
          <w:rFonts w:hint="eastAsia" w:ascii="仿宋" w:hAnsi="仿宋" w:eastAsia="仿宋"/>
          <w:sz w:val="32"/>
          <w:szCs w:val="32"/>
        </w:rPr>
        <w:t>4</w:t>
      </w:r>
      <w:r>
        <w:rPr>
          <w:rFonts w:ascii="仿宋" w:hAnsi="仿宋" w:eastAsia="仿宋"/>
          <w:sz w:val="32"/>
          <w:szCs w:val="32"/>
        </w:rPr>
        <w:t>人。</w:t>
      </w:r>
      <w:r>
        <w:fldChar w:fldCharType="end"/>
      </w:r>
    </w:p>
    <w:p w14:paraId="2CD296C6">
      <w:pPr>
        <w:spacing w:line="560" w:lineRule="exact"/>
        <w:rPr>
          <w:rFonts w:ascii="仿宋" w:hAnsi="仿宋" w:eastAsia="仿宋" w:cs="仿宋"/>
          <w:sz w:val="32"/>
          <w:szCs w:val="32"/>
        </w:rPr>
      </w:pPr>
    </w:p>
    <w:p w14:paraId="1C53F91F">
      <w:pPr>
        <w:pStyle w:val="2"/>
        <w:rPr>
          <w:rFonts w:ascii="仿宋" w:hAnsi="仿宋" w:eastAsia="仿宋" w:cs="仿宋"/>
        </w:rPr>
      </w:pPr>
    </w:p>
    <w:p w14:paraId="72340464">
      <w:pPr>
        <w:pStyle w:val="2"/>
        <w:rPr>
          <w:rFonts w:ascii="仿宋" w:hAnsi="仿宋" w:eastAsia="仿宋" w:cs="仿宋"/>
        </w:rPr>
      </w:pPr>
    </w:p>
    <w:p w14:paraId="1093CD9E">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兴国县人民政府办公室部门预算情况说明</w:t>
      </w:r>
    </w:p>
    <w:p w14:paraId="76D1790D">
      <w:pPr>
        <w:spacing w:line="560" w:lineRule="exact"/>
        <w:jc w:val="center"/>
        <w:rPr>
          <w:rFonts w:ascii="仿宋" w:hAnsi="仿宋" w:eastAsia="仿宋" w:cs="仿宋"/>
          <w:b/>
          <w:bCs/>
          <w:sz w:val="32"/>
          <w:szCs w:val="32"/>
        </w:rPr>
      </w:pPr>
    </w:p>
    <w:p w14:paraId="1957A552">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14:paraId="592B1010">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14:paraId="228C9CE8">
      <w:pPr>
        <w:ind w:firstLine="585"/>
        <w:jc w:val="left"/>
        <w:rPr>
          <w:rFonts w:ascii="仿宋" w:hAnsi="仿宋" w:eastAsia="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本部门收入预算总额861.81万元，</w:t>
      </w:r>
      <w:r>
        <w:rPr>
          <w:rFonts w:hint="eastAsia" w:ascii="仿宋" w:hAnsi="仿宋" w:eastAsia="仿宋" w:cs="仿宋"/>
          <w:sz w:val="32"/>
          <w:szCs w:val="32"/>
        </w:rPr>
        <w:t>较上年预算安排减少312.07万元，减26.5%。增减主要原因是：</w:t>
      </w:r>
      <w:r>
        <w:rPr>
          <w:rFonts w:hint="eastAsia" w:ascii="仿宋" w:hAnsi="仿宋" w:eastAsia="仿宋"/>
          <w:sz w:val="30"/>
          <w:szCs w:val="30"/>
        </w:rPr>
        <w:t>本年度没有上年结转及人员变动。</w:t>
      </w:r>
    </w:p>
    <w:p w14:paraId="066A1744">
      <w:pPr>
        <w:ind w:firstLine="600" w:firstLineChars="200"/>
        <w:rPr>
          <w:rFonts w:ascii="仿宋" w:hAnsi="仿宋" w:eastAsia="仿宋" w:cs="仿宋"/>
          <w:sz w:val="24"/>
          <w:szCs w:val="24"/>
        </w:rPr>
      </w:pPr>
      <w:r>
        <w:rPr>
          <w:rFonts w:hint="eastAsia" w:ascii="仿宋" w:hAnsi="仿宋" w:eastAsia="仿宋" w:cs="仿宋"/>
          <w:sz w:val="30"/>
          <w:szCs w:val="30"/>
        </w:rPr>
        <w:t>具体为：</w:t>
      </w:r>
      <w:r>
        <w:rPr>
          <w:rFonts w:hint="eastAsia" w:ascii="仿宋" w:hAnsi="仿宋" w:eastAsia="仿宋" w:cs="仿宋"/>
          <w:sz w:val="32"/>
          <w:szCs w:val="32"/>
        </w:rPr>
        <w:t>一般公共预算收入</w:t>
      </w:r>
      <w:r>
        <w:rPr>
          <w:rFonts w:hint="eastAsia" w:ascii="仿宋" w:hAnsi="仿宋" w:eastAsia="仿宋" w:cs="仿宋"/>
          <w:sz w:val="30"/>
          <w:szCs w:val="30"/>
        </w:rPr>
        <w:t>796.81万元，</w:t>
      </w:r>
      <w:r>
        <w:rPr>
          <w:rFonts w:hint="eastAsia" w:ascii="仿宋" w:hAnsi="仿宋" w:eastAsia="仿宋" w:cs="仿宋"/>
          <w:sz w:val="32"/>
          <w:szCs w:val="32"/>
        </w:rPr>
        <w:t>较上年预算安排增加了3.87万元；上级补助收入0万元，</w:t>
      </w:r>
      <w:r>
        <w:rPr>
          <w:rFonts w:hint="eastAsia" w:ascii="仿宋" w:hAnsi="仿宋" w:eastAsia="仿宋" w:cs="仿宋"/>
          <w:sz w:val="30"/>
          <w:szCs w:val="30"/>
        </w:rPr>
        <w:t>较上年预算安排减少60万元。</w:t>
      </w:r>
      <w:r>
        <w:rPr>
          <w:rFonts w:hint="eastAsia" w:ascii="仿宋" w:hAnsi="仿宋" w:eastAsia="仿宋" w:cs="仿宋"/>
          <w:sz w:val="32"/>
          <w:szCs w:val="32"/>
        </w:rPr>
        <w:t>其他收入65万元，较上年预算安排减少33.81万元；</w:t>
      </w:r>
      <w:r>
        <w:rPr>
          <w:rFonts w:hint="eastAsia" w:ascii="仿宋" w:hAnsi="仿宋" w:eastAsia="仿宋" w:cs="仿宋"/>
          <w:sz w:val="30"/>
          <w:szCs w:val="30"/>
        </w:rPr>
        <w:t>财政拨款结余结转0万元，较上年预算安排减少222.13万元。</w:t>
      </w:r>
    </w:p>
    <w:p w14:paraId="40C92540">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14:paraId="157B7F7F">
      <w:pPr>
        <w:ind w:firstLine="585"/>
        <w:jc w:val="left"/>
        <w:rPr>
          <w:rFonts w:ascii="仿宋" w:hAnsi="仿宋" w:eastAsia="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本部门支出预算总额861.81万元，</w:t>
      </w:r>
      <w:r>
        <w:rPr>
          <w:rFonts w:hint="eastAsia" w:ascii="仿宋" w:hAnsi="仿宋" w:eastAsia="仿宋" w:cs="仿宋"/>
          <w:sz w:val="32"/>
          <w:szCs w:val="32"/>
        </w:rPr>
        <w:t>较上年预算安排减少312.07万元，减26.5%。主要原因是：</w:t>
      </w:r>
      <w:r>
        <w:rPr>
          <w:rFonts w:hint="eastAsia" w:ascii="仿宋" w:hAnsi="仿宋" w:eastAsia="仿宋"/>
          <w:sz w:val="30"/>
          <w:szCs w:val="30"/>
        </w:rPr>
        <w:t>厉行节约，反对浪费，进一步压缩各类不必要的开支，坚持过紧日子。</w:t>
      </w:r>
    </w:p>
    <w:p w14:paraId="3B059F0D">
      <w:pPr>
        <w:spacing w:line="560" w:lineRule="exact"/>
        <w:rPr>
          <w:rFonts w:ascii="仿宋" w:hAnsi="仿宋" w:eastAsia="仿宋" w:cs="仿宋"/>
          <w:sz w:val="30"/>
          <w:szCs w:val="30"/>
        </w:rPr>
      </w:pPr>
      <w:r>
        <w:rPr>
          <w:rFonts w:hint="eastAsia" w:ascii="仿宋" w:hAnsi="仿宋" w:eastAsia="仿宋" w:cs="仿宋"/>
          <w:sz w:val="30"/>
          <w:szCs w:val="30"/>
        </w:rPr>
        <w:t>具体为：</w:t>
      </w:r>
    </w:p>
    <w:p w14:paraId="5632EEA3">
      <w:pPr>
        <w:spacing w:line="560" w:lineRule="exact"/>
        <w:ind w:firstLine="600" w:firstLineChars="200"/>
        <w:rPr>
          <w:rFonts w:ascii="仿宋" w:hAnsi="仿宋" w:eastAsia="仿宋" w:cs="仿宋"/>
          <w:sz w:val="24"/>
          <w:szCs w:val="24"/>
        </w:rPr>
      </w:pPr>
      <w:r>
        <w:rPr>
          <w:rFonts w:hint="eastAsia" w:ascii="仿宋" w:hAnsi="仿宋" w:eastAsia="仿宋" w:cs="仿宋"/>
          <w:sz w:val="30"/>
          <w:szCs w:val="30"/>
        </w:rPr>
        <w:t>按支出项目类别及经济分类科目划分：基本支出468.72万元，</w:t>
      </w:r>
      <w:r>
        <w:rPr>
          <w:rFonts w:hint="eastAsia" w:ascii="仿宋" w:hAnsi="仿宋" w:eastAsia="仿宋" w:cs="仿宋"/>
          <w:sz w:val="32"/>
          <w:szCs w:val="32"/>
        </w:rPr>
        <w:t>较上年预算安排增107.24万元，</w:t>
      </w:r>
      <w:r>
        <w:rPr>
          <w:rFonts w:hint="eastAsia" w:ascii="仿宋" w:hAnsi="仿宋" w:eastAsia="仿宋" w:cs="仿宋"/>
          <w:sz w:val="30"/>
          <w:szCs w:val="30"/>
        </w:rPr>
        <w:t>其中：</w:t>
      </w:r>
      <w:r>
        <w:rPr>
          <w:rFonts w:hint="eastAsia" w:ascii="仿宋" w:hAnsi="仿宋" w:eastAsia="仿宋" w:cs="仿宋"/>
          <w:sz w:val="32"/>
          <w:szCs w:val="32"/>
        </w:rPr>
        <w:t>工资福利支出422.58万元、商品和服务支出42.66万元、对个人和家庭的补助3.48万元；</w:t>
      </w:r>
      <w:r>
        <w:rPr>
          <w:rFonts w:hint="eastAsia" w:ascii="仿宋" w:hAnsi="仿宋" w:eastAsia="仿宋" w:cs="仿宋"/>
          <w:sz w:val="30"/>
          <w:szCs w:val="30"/>
        </w:rPr>
        <w:t>项目支出393.09万元，</w:t>
      </w:r>
      <w:r>
        <w:rPr>
          <w:rFonts w:hint="eastAsia" w:ascii="仿宋" w:hAnsi="仿宋" w:eastAsia="仿宋" w:cs="仿宋"/>
          <w:sz w:val="32"/>
          <w:szCs w:val="32"/>
        </w:rPr>
        <w:t>较上年预算安排减少419.31万元，</w:t>
      </w:r>
      <w:r>
        <w:rPr>
          <w:rFonts w:hint="eastAsia" w:ascii="仿宋" w:hAnsi="仿宋" w:eastAsia="仿宋" w:cs="仿宋"/>
          <w:sz w:val="30"/>
          <w:szCs w:val="30"/>
        </w:rPr>
        <w:t>其中：</w:t>
      </w:r>
      <w:r>
        <w:rPr>
          <w:rFonts w:hint="eastAsia" w:ascii="仿宋" w:hAnsi="仿宋" w:eastAsia="仿宋" w:cs="仿宋"/>
          <w:sz w:val="32"/>
          <w:szCs w:val="32"/>
        </w:rPr>
        <w:t>商品和服务支出项目支出343.09万元，其他相关支出50万元。</w:t>
      </w:r>
    </w:p>
    <w:p w14:paraId="69FBB702">
      <w:pPr>
        <w:spacing w:line="560" w:lineRule="exact"/>
        <w:ind w:firstLine="602" w:firstLineChars="200"/>
        <w:rPr>
          <w:rFonts w:ascii="宋体" w:hAnsi="宋体" w:eastAsia="仿宋_GB2312" w:cs="仿宋_GB2312"/>
          <w:sz w:val="30"/>
          <w:szCs w:val="30"/>
        </w:rPr>
      </w:pPr>
      <w:r>
        <w:rPr>
          <w:rFonts w:hint="eastAsia" w:ascii="宋体" w:hAnsi="宋体" w:eastAsia="仿宋_GB2312" w:cs="仿宋_GB2312"/>
          <w:b/>
          <w:bCs/>
          <w:sz w:val="30"/>
          <w:szCs w:val="30"/>
        </w:rPr>
        <w:t>按支出功能分类科目划分：</w:t>
      </w:r>
      <w:r>
        <w:rPr>
          <w:rFonts w:hint="eastAsia" w:ascii="宋体" w:hAnsi="宋体" w:eastAsia="仿宋_GB2312" w:cs="仿宋_GB2312"/>
          <w:sz w:val="30"/>
          <w:szCs w:val="30"/>
        </w:rPr>
        <w:t>一般公共服务支出755.22万元，较上年预算安排减少216.83万元；社会保障和就业42.18万元，较上年预算安排减少10.88万元；医疗卫生支出32.53万元，较上年预算安排减少0.98万元,住房保障支出31.88万元，较上年预算安排增加0.43万元</w:t>
      </w:r>
      <w:r>
        <w:rPr>
          <w:rFonts w:hint="eastAsia"/>
        </w:rPr>
        <w:t>；</w:t>
      </w:r>
      <w:r>
        <w:rPr>
          <w:rFonts w:hint="eastAsia" w:ascii="宋体" w:hAnsi="宋体" w:eastAsia="仿宋_GB2312" w:cs="仿宋_GB2312"/>
          <w:sz w:val="30"/>
          <w:szCs w:val="30"/>
        </w:rPr>
        <w:t>其它支出 0 万 元 ，较上年预算安排减少83.81万元。</w:t>
      </w:r>
    </w:p>
    <w:p w14:paraId="4B0F2BD8">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14:paraId="4C1F928E">
      <w:pPr>
        <w:ind w:firstLine="585"/>
        <w:jc w:val="left"/>
        <w:rPr>
          <w:rFonts w:ascii="仿宋" w:hAnsi="仿宋" w:eastAsia="仿宋" w:cs="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本部门财政拨款（补助）支出预算796.81万元，占本年支出预算额的92.45%，</w:t>
      </w:r>
      <w:r>
        <w:rPr>
          <w:rFonts w:hint="eastAsia" w:ascii="仿宋" w:hAnsi="仿宋" w:eastAsia="仿宋" w:cs="仿宋"/>
          <w:sz w:val="32"/>
          <w:szCs w:val="32"/>
        </w:rPr>
        <w:t>较上年预算安排增加3.87万元，增0.48%，增减主要原因是：</w:t>
      </w:r>
      <w:r>
        <w:rPr>
          <w:rFonts w:hint="eastAsia" w:ascii="仿宋" w:hAnsi="仿宋" w:eastAsia="仿宋"/>
          <w:sz w:val="30"/>
          <w:szCs w:val="30"/>
        </w:rPr>
        <w:t>人员变动</w:t>
      </w:r>
      <w:r>
        <w:rPr>
          <w:rFonts w:hint="eastAsia" w:ascii="仿宋" w:hAnsi="仿宋" w:eastAsia="仿宋" w:cs="仿宋"/>
          <w:sz w:val="32"/>
          <w:szCs w:val="32"/>
        </w:rPr>
        <w:t>。具体为：</w:t>
      </w:r>
    </w:p>
    <w:p w14:paraId="507A5C2D">
      <w:pPr>
        <w:ind w:firstLine="600" w:firstLineChars="200"/>
        <w:rPr>
          <w:rFonts w:ascii="仿宋" w:hAnsi="仿宋" w:eastAsia="仿宋" w:cs="仿宋"/>
          <w:sz w:val="24"/>
          <w:szCs w:val="24"/>
        </w:rPr>
      </w:pPr>
      <w:r>
        <w:rPr>
          <w:rFonts w:hint="eastAsia" w:ascii="仿宋" w:hAnsi="仿宋" w:eastAsia="仿宋" w:cs="仿宋"/>
          <w:sz w:val="30"/>
          <w:szCs w:val="30"/>
        </w:rPr>
        <w:t>按支出项目类别及经济分类科目划分：基本支出468.72万元，</w:t>
      </w:r>
      <w:r>
        <w:rPr>
          <w:rFonts w:hint="eastAsia" w:ascii="仿宋" w:hAnsi="仿宋" w:eastAsia="仿宋" w:cs="仿宋"/>
          <w:sz w:val="32"/>
          <w:szCs w:val="32"/>
        </w:rPr>
        <w:t>较上年预算安排增123.63万元，</w:t>
      </w:r>
      <w:r>
        <w:rPr>
          <w:rFonts w:hint="eastAsia" w:ascii="仿宋" w:hAnsi="仿宋" w:eastAsia="仿宋" w:cs="仿宋"/>
          <w:sz w:val="30"/>
          <w:szCs w:val="30"/>
        </w:rPr>
        <w:t>其中：</w:t>
      </w:r>
      <w:r>
        <w:rPr>
          <w:rFonts w:hint="eastAsia" w:ascii="仿宋" w:hAnsi="仿宋" w:eastAsia="仿宋" w:cs="仿宋"/>
          <w:sz w:val="32"/>
          <w:szCs w:val="32"/>
        </w:rPr>
        <w:t>工资福利支出422.58万元、商品和服务支出42.66万元、对个人和家庭的补助3.48万元；</w:t>
      </w:r>
      <w:r>
        <w:rPr>
          <w:rFonts w:hint="eastAsia" w:ascii="仿宋" w:hAnsi="仿宋" w:eastAsia="仿宋" w:cs="仿宋"/>
          <w:sz w:val="30"/>
          <w:szCs w:val="30"/>
        </w:rPr>
        <w:t>项目支出328.09万元，</w:t>
      </w:r>
      <w:r>
        <w:rPr>
          <w:rFonts w:hint="eastAsia" w:ascii="仿宋" w:hAnsi="仿宋" w:eastAsia="仿宋" w:cs="仿宋"/>
          <w:sz w:val="32"/>
          <w:szCs w:val="32"/>
        </w:rPr>
        <w:t>较上年预算安排减119.76万元，</w:t>
      </w:r>
      <w:r>
        <w:rPr>
          <w:rFonts w:hint="eastAsia" w:ascii="仿宋" w:hAnsi="仿宋" w:eastAsia="仿宋" w:cs="仿宋"/>
          <w:sz w:val="30"/>
          <w:szCs w:val="30"/>
        </w:rPr>
        <w:t>其中：</w:t>
      </w:r>
      <w:r>
        <w:rPr>
          <w:rFonts w:hint="eastAsia" w:ascii="仿宋" w:hAnsi="仿宋" w:eastAsia="仿宋" w:cs="仿宋"/>
          <w:sz w:val="32"/>
          <w:szCs w:val="32"/>
        </w:rPr>
        <w:t>商品和服务支出项目支出328.09万元。</w:t>
      </w:r>
    </w:p>
    <w:p w14:paraId="074006B1">
      <w:pPr>
        <w:spacing w:line="560" w:lineRule="exact"/>
        <w:ind w:firstLine="600" w:firstLineChars="200"/>
        <w:rPr>
          <w:rFonts w:ascii="仿宋" w:hAnsi="仿宋" w:eastAsia="仿宋" w:cs="仿宋"/>
          <w:sz w:val="24"/>
          <w:szCs w:val="24"/>
        </w:rPr>
      </w:pPr>
      <w:r>
        <w:rPr>
          <w:rFonts w:hint="eastAsia" w:ascii="仿宋" w:hAnsi="仿宋" w:eastAsia="仿宋" w:cs="仿宋"/>
          <w:sz w:val="30"/>
          <w:szCs w:val="30"/>
        </w:rPr>
        <w:t>按支出功能分类科目划分：</w:t>
      </w:r>
      <w:r>
        <w:rPr>
          <w:rFonts w:hint="eastAsia" w:ascii="宋体" w:hAnsi="宋体" w:eastAsia="仿宋_GB2312" w:cs="仿宋_GB2312"/>
          <w:sz w:val="30"/>
          <w:szCs w:val="30"/>
        </w:rPr>
        <w:t>一般公共服务支出</w:t>
      </w:r>
      <w:r>
        <w:rPr>
          <w:rFonts w:hint="eastAsia" w:ascii="宋体" w:hAnsi="宋体" w:cs="仿宋_GB2312"/>
          <w:sz w:val="30"/>
          <w:szCs w:val="30"/>
        </w:rPr>
        <w:t>690.22</w:t>
      </w:r>
      <w:r>
        <w:rPr>
          <w:rFonts w:hint="eastAsia" w:ascii="宋体" w:hAnsi="宋体" w:eastAsia="仿宋_GB2312" w:cs="仿宋_GB2312"/>
          <w:sz w:val="30"/>
          <w:szCs w:val="30"/>
        </w:rPr>
        <w:t>元</w:t>
      </w:r>
      <w:r>
        <w:rPr>
          <w:rFonts w:hint="eastAsia" w:ascii="仿宋" w:hAnsi="仿宋" w:eastAsia="仿宋" w:cs="仿宋"/>
          <w:sz w:val="32"/>
          <w:szCs w:val="32"/>
        </w:rPr>
        <w:t>，较上年预算安排增加2.1万元；</w:t>
      </w:r>
      <w:r>
        <w:rPr>
          <w:rFonts w:hint="eastAsia" w:ascii="宋体" w:hAnsi="宋体" w:eastAsia="仿宋_GB2312" w:cs="仿宋_GB2312"/>
          <w:sz w:val="30"/>
          <w:szCs w:val="30"/>
        </w:rPr>
        <w:t>社会保障和就业42.18万元，</w:t>
      </w:r>
      <w:r>
        <w:rPr>
          <w:rFonts w:hint="eastAsia" w:ascii="仿宋" w:hAnsi="仿宋" w:eastAsia="仿宋" w:cs="仿宋"/>
          <w:sz w:val="32"/>
          <w:szCs w:val="32"/>
        </w:rPr>
        <w:t>较上年预算安排减少0.14万元</w:t>
      </w:r>
      <w:r>
        <w:rPr>
          <w:rFonts w:hint="eastAsia" w:ascii="宋体" w:hAnsi="宋体" w:eastAsia="仿宋_GB2312" w:cs="仿宋_GB2312"/>
          <w:sz w:val="30"/>
          <w:szCs w:val="30"/>
        </w:rPr>
        <w:t>；医疗卫生支出32.53万元，</w:t>
      </w:r>
      <w:r>
        <w:rPr>
          <w:rFonts w:hint="eastAsia" w:ascii="仿宋" w:hAnsi="仿宋" w:eastAsia="仿宋" w:cs="仿宋"/>
          <w:sz w:val="32"/>
          <w:szCs w:val="32"/>
        </w:rPr>
        <w:t>较上年预算安排增1.48万元</w:t>
      </w:r>
      <w:r>
        <w:rPr>
          <w:rFonts w:hint="eastAsia" w:ascii="宋体" w:hAnsi="宋体" w:eastAsia="仿宋_GB2312" w:cs="仿宋_GB2312"/>
          <w:sz w:val="30"/>
          <w:szCs w:val="30"/>
        </w:rPr>
        <w:t>,住房保障支出31.88万元，</w:t>
      </w:r>
      <w:r>
        <w:rPr>
          <w:rFonts w:hint="eastAsia" w:ascii="仿宋" w:hAnsi="仿宋" w:eastAsia="仿宋" w:cs="仿宋"/>
          <w:sz w:val="32"/>
          <w:szCs w:val="32"/>
        </w:rPr>
        <w:t>较上年预算安排增0.43万元。</w:t>
      </w:r>
    </w:p>
    <w:p w14:paraId="49FB9A6B">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14:paraId="6DCCC456">
      <w:pPr>
        <w:spacing w:line="560" w:lineRule="exact"/>
        <w:ind w:firstLine="640" w:firstLineChars="200"/>
        <w:rPr>
          <w:rFonts w:ascii="仿宋" w:hAnsi="仿宋" w:eastAsia="仿宋" w:cs="仿宋"/>
          <w:sz w:val="24"/>
          <w:szCs w:val="24"/>
        </w:rPr>
      </w:pPr>
      <w:r>
        <w:rPr>
          <w:rFonts w:hint="eastAsia" w:ascii="仿宋" w:hAnsi="仿宋" w:eastAsia="仿宋" w:cs="仿宋"/>
          <w:sz w:val="32"/>
          <w:szCs w:val="32"/>
        </w:rPr>
        <w:t>无政府性基金预算拨款安排的支出。</w:t>
      </w:r>
    </w:p>
    <w:p w14:paraId="2F8DBF43">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14:paraId="0FCAA30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2023年部门机关运行费预算</w:t>
      </w:r>
      <w:r>
        <w:rPr>
          <w:rFonts w:hint="eastAsia" w:ascii="仿宋" w:hAnsi="仿宋" w:eastAsia="仿宋" w:cs="仿宋"/>
          <w:sz w:val="32"/>
          <w:szCs w:val="32"/>
          <w:u w:val="single"/>
        </w:rPr>
        <w:t xml:space="preserve">   21.6   </w:t>
      </w:r>
      <w:r>
        <w:rPr>
          <w:rFonts w:hint="eastAsia" w:ascii="仿宋" w:hAnsi="仿宋" w:eastAsia="仿宋" w:cs="仿宋"/>
          <w:sz w:val="32"/>
          <w:szCs w:val="32"/>
        </w:rPr>
        <w:t>万元，比2022年(上一年度）预算（减少）</w:t>
      </w:r>
      <w:r>
        <w:rPr>
          <w:rFonts w:hint="eastAsia" w:ascii="仿宋" w:hAnsi="仿宋" w:eastAsia="仿宋" w:cs="仿宋"/>
          <w:sz w:val="32"/>
          <w:szCs w:val="32"/>
          <w:u w:val="single"/>
        </w:rPr>
        <w:t xml:space="preserve">   0.8  </w:t>
      </w:r>
      <w:r>
        <w:rPr>
          <w:rFonts w:hint="eastAsia" w:ascii="仿宋" w:hAnsi="仿宋" w:eastAsia="仿宋" w:cs="仿宋"/>
          <w:sz w:val="32"/>
          <w:szCs w:val="32"/>
        </w:rPr>
        <w:t>万元，下降</w:t>
      </w:r>
      <w:r>
        <w:rPr>
          <w:rFonts w:hint="eastAsia" w:ascii="仿宋" w:hAnsi="仿宋" w:eastAsia="仿宋" w:cs="仿宋"/>
          <w:sz w:val="32"/>
          <w:szCs w:val="32"/>
          <w:u w:val="single"/>
        </w:rPr>
        <w:t xml:space="preserve">   3.57  </w:t>
      </w:r>
      <w:r>
        <w:rPr>
          <w:rFonts w:hint="eastAsia" w:ascii="仿宋" w:hAnsi="仿宋" w:eastAsia="仿宋" w:cs="仿宋"/>
          <w:sz w:val="32"/>
          <w:szCs w:val="32"/>
        </w:rPr>
        <w:t>％，增减主要原因是：</w:t>
      </w:r>
      <w:r>
        <w:rPr>
          <w:rFonts w:hint="eastAsia" w:ascii="仿宋" w:hAnsi="仿宋" w:eastAsia="仿宋"/>
          <w:sz w:val="30"/>
          <w:szCs w:val="30"/>
        </w:rPr>
        <w:t>人员变动</w:t>
      </w:r>
      <w:r>
        <w:rPr>
          <w:rFonts w:hint="eastAsia" w:ascii="仿宋" w:hAnsi="仿宋" w:eastAsia="仿宋" w:cs="仿宋"/>
          <w:sz w:val="32"/>
          <w:szCs w:val="32"/>
        </w:rPr>
        <w:t>。</w:t>
      </w:r>
    </w:p>
    <w:p w14:paraId="659621C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692720F2">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14:paraId="0E5893F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2023年部门所属各单位政府采购总额</w:t>
      </w:r>
      <w:r>
        <w:rPr>
          <w:rFonts w:hint="eastAsia" w:ascii="仿宋" w:hAnsi="仿宋" w:eastAsia="仿宋" w:cs="仿宋"/>
          <w:sz w:val="32"/>
          <w:szCs w:val="32"/>
          <w:u w:val="single"/>
        </w:rPr>
        <w:t xml:space="preserve">  0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w:t>
      </w:r>
    </w:p>
    <w:p w14:paraId="6E4F3B2E">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14:paraId="4DCC8064">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截至2022年12月31日部门共有车辆</w:t>
      </w:r>
      <w:r>
        <w:rPr>
          <w:rFonts w:hint="eastAsia" w:ascii="仿宋" w:hAnsi="仿宋" w:eastAsia="仿宋" w:cs="仿宋"/>
          <w:sz w:val="32"/>
          <w:szCs w:val="32"/>
          <w:u w:val="single"/>
        </w:rPr>
        <w:t xml:space="preserve">   3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3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w:t>
      </w:r>
    </w:p>
    <w:p w14:paraId="4E1B0601">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2023年本部门预算安排购置车辆</w:t>
      </w:r>
      <w:r>
        <w:rPr>
          <w:rFonts w:hint="eastAsia" w:ascii="仿宋" w:hAnsi="仿宋" w:eastAsia="仿宋" w:cs="仿宋"/>
          <w:sz w:val="32"/>
          <w:szCs w:val="32"/>
          <w:u w:val="single"/>
        </w:rPr>
        <w:t xml:space="preserve">   0   </w:t>
      </w:r>
      <w:r>
        <w:rPr>
          <w:rFonts w:hint="eastAsia" w:ascii="仿宋" w:hAnsi="仿宋" w:eastAsia="仿宋" w:cs="仿宋"/>
          <w:sz w:val="32"/>
          <w:szCs w:val="32"/>
        </w:rPr>
        <w:t>辆，安排购置单位价值200万元以上大型设备具体为：无安排。</w:t>
      </w:r>
    </w:p>
    <w:p w14:paraId="23BAEE3F">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14:paraId="7A2464C0">
      <w:pPr>
        <w:spacing w:line="560" w:lineRule="exact"/>
        <w:ind w:left="15" w:leftChars="7" w:firstLine="624" w:firstLineChars="195"/>
        <w:rPr>
          <w:rFonts w:ascii="仿宋" w:hAnsi="仿宋" w:eastAsia="仿宋" w:cs="仿宋"/>
          <w:sz w:val="24"/>
          <w:szCs w:val="24"/>
        </w:rPr>
      </w:pPr>
      <w:r>
        <w:rPr>
          <w:rFonts w:hint="eastAsia" w:ascii="仿宋" w:hAnsi="仿宋" w:eastAsia="仿宋" w:cs="仿宋"/>
          <w:sz w:val="32"/>
          <w:szCs w:val="32"/>
        </w:rPr>
        <w:t>2023年实行绩效目标管理的项目6＿个，涉及资金343.09万元。</w:t>
      </w:r>
    </w:p>
    <w:p w14:paraId="59FE4ED0">
      <w:pPr>
        <w:ind w:left="15" w:leftChars="7" w:firstLine="585" w:firstLineChars="195"/>
        <w:rPr>
          <w:rFonts w:ascii="仿宋" w:hAnsi="仿宋" w:eastAsia="仿宋" w:cs="仿宋"/>
          <w:sz w:val="32"/>
          <w:szCs w:val="32"/>
        </w:rPr>
      </w:pPr>
      <w:r>
        <w:rPr>
          <w:rFonts w:hint="eastAsia" w:ascii="仿宋" w:hAnsi="仿宋" w:eastAsia="仿宋" w:cs="仿宋"/>
          <w:sz w:val="30"/>
          <w:szCs w:val="30"/>
        </w:rPr>
        <w:t>其中：法律咨询费20万元</w:t>
      </w:r>
    </w:p>
    <w:p w14:paraId="64522443">
      <w:pPr>
        <w:ind w:left="15" w:leftChars="7" w:firstLine="585" w:firstLineChars="195"/>
        <w:rPr>
          <w:sz w:val="30"/>
          <w:szCs w:val="30"/>
        </w:rPr>
      </w:pPr>
      <w:r>
        <w:rPr>
          <w:rFonts w:hint="eastAsia"/>
          <w:sz w:val="30"/>
          <w:szCs w:val="30"/>
        </w:rPr>
        <w:t>1.法律咨询费用于保障日常工作正常运转，提升机关运转效率和政务服务水平。资金来源为财政拨款。</w:t>
      </w:r>
    </w:p>
    <w:p w14:paraId="69C27A30">
      <w:pPr>
        <w:ind w:left="15" w:leftChars="7" w:firstLine="585" w:firstLineChars="195"/>
        <w:rPr>
          <w:sz w:val="30"/>
          <w:szCs w:val="30"/>
        </w:rPr>
      </w:pPr>
      <w:r>
        <w:rPr>
          <w:rFonts w:hint="eastAsia"/>
          <w:sz w:val="30"/>
          <w:szCs w:val="30"/>
        </w:rPr>
        <w:t>2.通过法律咨询费的有力保障，进一步优化单位工作环境，营造良好浓厚的工作氛围，提升机关运转效率和政务服务水平。</w:t>
      </w:r>
    </w:p>
    <w:p w14:paraId="77DA9977">
      <w:pPr>
        <w:ind w:left="15" w:leftChars="7" w:firstLine="585" w:firstLineChars="195"/>
        <w:rPr>
          <w:sz w:val="30"/>
          <w:szCs w:val="30"/>
        </w:rPr>
      </w:pPr>
      <w:r>
        <w:rPr>
          <w:rFonts w:hint="eastAsia"/>
          <w:sz w:val="30"/>
          <w:szCs w:val="30"/>
        </w:rPr>
        <w:t>3.以县政府办为实施主体。</w:t>
      </w:r>
    </w:p>
    <w:p w14:paraId="332EFE94">
      <w:pPr>
        <w:ind w:left="15" w:leftChars="7" w:firstLine="585" w:firstLineChars="195"/>
        <w:rPr>
          <w:sz w:val="30"/>
          <w:szCs w:val="30"/>
        </w:rPr>
      </w:pPr>
      <w:r>
        <w:rPr>
          <w:rFonts w:hint="eastAsia"/>
          <w:sz w:val="30"/>
          <w:szCs w:val="30"/>
        </w:rPr>
        <w:t>4.实施周期：2023年1月1日至2022年12月31日</w:t>
      </w:r>
    </w:p>
    <w:p w14:paraId="6747FDA0">
      <w:pPr>
        <w:ind w:left="15" w:leftChars="7" w:firstLine="585" w:firstLineChars="195"/>
        <w:rPr>
          <w:sz w:val="30"/>
          <w:szCs w:val="30"/>
        </w:rPr>
      </w:pPr>
      <w:r>
        <w:rPr>
          <w:rFonts w:hint="eastAsia"/>
          <w:sz w:val="30"/>
          <w:szCs w:val="30"/>
        </w:rPr>
        <w:t>5.预算安排：20万元。</w:t>
      </w:r>
    </w:p>
    <w:p w14:paraId="03E0D1A2">
      <w:pPr>
        <w:ind w:left="15" w:leftChars="7" w:firstLine="585" w:firstLineChars="195"/>
        <w:rPr>
          <w:sz w:val="30"/>
          <w:szCs w:val="30"/>
        </w:rPr>
      </w:pPr>
      <w:r>
        <w:rPr>
          <w:rFonts w:hint="eastAsia"/>
          <w:sz w:val="30"/>
          <w:szCs w:val="30"/>
        </w:rPr>
        <w:t>6.绩效目标：确保日常工作正常运转100%。</w:t>
      </w:r>
    </w:p>
    <w:p w14:paraId="3DCF4AC2">
      <w:pPr>
        <w:pStyle w:val="2"/>
        <w:rPr>
          <w:sz w:val="30"/>
          <w:szCs w:val="30"/>
        </w:rPr>
      </w:pPr>
      <w:r>
        <w:rPr>
          <w:rFonts w:hint="eastAsia"/>
          <w:sz w:val="30"/>
          <w:szCs w:val="30"/>
        </w:rPr>
        <w:t>（九）国有资本经营情况</w:t>
      </w:r>
    </w:p>
    <w:p w14:paraId="60257DF4">
      <w:pPr>
        <w:pStyle w:val="2"/>
        <w:ind w:firstLine="300" w:firstLineChars="100"/>
        <w:rPr>
          <w:sz w:val="30"/>
          <w:szCs w:val="30"/>
        </w:rPr>
      </w:pPr>
      <w:r>
        <w:rPr>
          <w:rFonts w:hint="eastAsia"/>
          <w:sz w:val="30"/>
          <w:szCs w:val="30"/>
        </w:rPr>
        <w:t>无使用国有资本经营预算拨款安排的支出</w:t>
      </w:r>
    </w:p>
    <w:p w14:paraId="1A9CF1FC">
      <w:pPr>
        <w:spacing w:line="560" w:lineRule="exact"/>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14:paraId="4E007BF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2023年兴国县人民政府部门“三公”经费一般公共预算安排115.5万元。其中：</w:t>
      </w:r>
    </w:p>
    <w:p w14:paraId="34CE1EF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因公出国（境）费0万元，比上年无增（减）。</w:t>
      </w:r>
    </w:p>
    <w:p w14:paraId="13D94EE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公务接待费106.50万元，比上年减23..5万元，主要原因是：</w:t>
      </w:r>
      <w:r>
        <w:rPr>
          <w:rFonts w:hint="eastAsia" w:ascii="仿宋" w:hAnsi="仿宋" w:eastAsia="仿宋"/>
          <w:sz w:val="30"/>
          <w:szCs w:val="30"/>
        </w:rPr>
        <w:t>严格执行中央八项规定精神，坚决过紧日子。</w:t>
      </w:r>
    </w:p>
    <w:p w14:paraId="031F769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公务用车运行维护费9万元，比上年无增（减），主要原因是：历年安排。</w:t>
      </w:r>
    </w:p>
    <w:p w14:paraId="322DB40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 万元，较上年无变化。</w:t>
      </w:r>
    </w:p>
    <w:p w14:paraId="4ADA38BA">
      <w:pPr>
        <w:spacing w:line="560" w:lineRule="exact"/>
        <w:rPr>
          <w:rFonts w:ascii="黑体" w:hAnsi="黑体" w:eastAsia="黑体" w:cs="黑体"/>
          <w:sz w:val="32"/>
          <w:szCs w:val="32"/>
        </w:rPr>
      </w:pPr>
    </w:p>
    <w:p w14:paraId="2B714648">
      <w:pPr>
        <w:spacing w:line="560" w:lineRule="exact"/>
        <w:ind w:firstLine="1280" w:firstLineChars="400"/>
        <w:rPr>
          <w:rFonts w:ascii="黑体" w:hAnsi="黑体" w:eastAsia="黑体" w:cs="黑体"/>
          <w:sz w:val="32"/>
          <w:szCs w:val="32"/>
        </w:rPr>
      </w:pPr>
      <w:r>
        <w:rPr>
          <w:rFonts w:hint="eastAsia" w:ascii="黑体" w:hAnsi="黑体" w:eastAsia="黑体" w:cs="黑体"/>
          <w:sz w:val="32"/>
          <w:szCs w:val="32"/>
        </w:rPr>
        <w:t>第三部分 兴国县人民政府办公室2023年部门预算表</w:t>
      </w:r>
    </w:p>
    <w:p w14:paraId="2816BCCA">
      <w:pPr>
        <w:spacing w:line="560" w:lineRule="exact"/>
        <w:ind w:left="634" w:hanging="633" w:hangingChars="198"/>
        <w:rPr>
          <w:rFonts w:eastAsia="仿宋"/>
        </w:rPr>
      </w:pPr>
      <w:r>
        <w:rPr>
          <w:rFonts w:hint="eastAsia" w:ascii="仿宋" w:hAnsi="仿宋" w:eastAsia="仿宋" w:cs="仿宋"/>
          <w:sz w:val="32"/>
          <w:szCs w:val="32"/>
        </w:rPr>
        <w:t>一、《收支预算总表》（见附表）</w:t>
      </w:r>
    </w:p>
    <w:p w14:paraId="43B4267E">
      <w:pPr>
        <w:pStyle w:val="2"/>
        <w:rPr>
          <w:rFonts w:ascii="仿宋" w:hAnsi="仿宋" w:eastAsia="仿宋" w:cs="仿宋"/>
        </w:rPr>
      </w:pPr>
      <w:r>
        <w:rPr>
          <w:rFonts w:hint="eastAsia" w:ascii="仿宋" w:hAnsi="仿宋" w:eastAsia="仿宋" w:cs="仿宋"/>
        </w:rPr>
        <w:t>二、《部门收入总表》（见附表）</w:t>
      </w:r>
    </w:p>
    <w:p w14:paraId="28A607DE">
      <w:pPr>
        <w:spacing w:line="560" w:lineRule="exact"/>
        <w:rPr>
          <w:rFonts w:ascii="仿宋" w:hAnsi="仿宋" w:eastAsia="仿宋" w:cs="仿宋"/>
          <w:sz w:val="32"/>
          <w:szCs w:val="32"/>
        </w:rPr>
      </w:pPr>
      <w:r>
        <w:rPr>
          <w:rFonts w:hint="eastAsia" w:ascii="仿宋" w:hAnsi="仿宋" w:eastAsia="仿宋" w:cs="仿宋"/>
          <w:sz w:val="32"/>
          <w:szCs w:val="32"/>
        </w:rPr>
        <w:t>三、《部门支出总表》（见附表）</w:t>
      </w:r>
    </w:p>
    <w:p w14:paraId="303CFD5F">
      <w:pPr>
        <w:spacing w:line="560" w:lineRule="exact"/>
        <w:rPr>
          <w:rFonts w:ascii="仿宋" w:hAnsi="仿宋" w:eastAsia="仿宋" w:cs="仿宋"/>
          <w:sz w:val="32"/>
          <w:szCs w:val="32"/>
        </w:rPr>
      </w:pPr>
      <w:r>
        <w:rPr>
          <w:rFonts w:hint="eastAsia" w:ascii="仿宋" w:hAnsi="仿宋" w:eastAsia="仿宋" w:cs="仿宋"/>
          <w:sz w:val="32"/>
          <w:szCs w:val="32"/>
        </w:rPr>
        <w:t>四、《财政拨款收支总表》（见附表）</w:t>
      </w:r>
    </w:p>
    <w:p w14:paraId="4CB4F483">
      <w:pPr>
        <w:spacing w:line="560" w:lineRule="exact"/>
        <w:rPr>
          <w:rFonts w:ascii="仿宋" w:hAnsi="仿宋" w:eastAsia="仿宋" w:cs="仿宋"/>
          <w:sz w:val="32"/>
          <w:szCs w:val="32"/>
        </w:rPr>
      </w:pPr>
      <w:r>
        <w:rPr>
          <w:rFonts w:hint="eastAsia" w:ascii="仿宋" w:hAnsi="仿宋" w:eastAsia="仿宋" w:cs="仿宋"/>
          <w:sz w:val="32"/>
          <w:szCs w:val="32"/>
        </w:rPr>
        <w:t>五、《一般公共预算支出表》（见附表）</w:t>
      </w:r>
    </w:p>
    <w:p w14:paraId="00CE2067">
      <w:pPr>
        <w:spacing w:line="560" w:lineRule="exact"/>
      </w:pPr>
      <w:r>
        <w:rPr>
          <w:rFonts w:hint="eastAsia" w:ascii="仿宋" w:hAnsi="仿宋" w:eastAsia="仿宋" w:cs="仿宋"/>
          <w:sz w:val="32"/>
          <w:szCs w:val="32"/>
        </w:rPr>
        <w:t>六、《一般公共预算基本支出表》（见附表）</w:t>
      </w:r>
    </w:p>
    <w:p w14:paraId="12B94ED5">
      <w:pPr>
        <w:pStyle w:val="6"/>
        <w:ind w:firstLine="0" w:firstLineChars="0"/>
        <w:rPr>
          <w:rFonts w:ascii="仿宋" w:hAnsi="仿宋" w:eastAsia="仿宋" w:cs="仿宋"/>
        </w:rPr>
      </w:pPr>
      <w:r>
        <w:rPr>
          <w:rFonts w:hint="eastAsia" w:ascii="仿宋" w:hAnsi="仿宋" w:eastAsia="仿宋" w:cs="仿宋"/>
        </w:rPr>
        <w:t>七、《一般公共预算“三公”经费支出表》（见附表）</w:t>
      </w:r>
    </w:p>
    <w:p w14:paraId="527A4437">
      <w:pPr>
        <w:spacing w:line="560" w:lineRule="exact"/>
        <w:rPr>
          <w:rFonts w:ascii="仿宋" w:hAnsi="仿宋" w:eastAsia="仿宋" w:cs="仿宋"/>
          <w:sz w:val="32"/>
          <w:szCs w:val="32"/>
        </w:rPr>
      </w:pPr>
      <w:r>
        <w:rPr>
          <w:rFonts w:hint="eastAsia" w:ascii="仿宋" w:hAnsi="仿宋" w:eastAsia="仿宋" w:cs="仿宋"/>
          <w:sz w:val="32"/>
          <w:szCs w:val="32"/>
        </w:rPr>
        <w:t>八、《政府性基金预算支出表》（见附表）</w:t>
      </w:r>
    </w:p>
    <w:p w14:paraId="09098476">
      <w:pPr>
        <w:pStyle w:val="2"/>
        <w:numPr>
          <w:ilvl w:val="0"/>
          <w:numId w:val="2"/>
        </w:numPr>
        <w:rPr>
          <w:rFonts w:eastAsia="仿宋"/>
        </w:rPr>
      </w:pPr>
      <w:r>
        <w:rPr>
          <w:rFonts w:hint="eastAsia" w:eastAsia="仿宋"/>
        </w:rPr>
        <w:t>《国有资本经营预算支出表》</w:t>
      </w:r>
      <w:r>
        <w:rPr>
          <w:rFonts w:hint="eastAsia" w:ascii="仿宋" w:hAnsi="仿宋" w:eastAsia="仿宋" w:cs="仿宋"/>
        </w:rPr>
        <w:t>（见附表）</w:t>
      </w:r>
    </w:p>
    <w:p w14:paraId="5D3D743C">
      <w:pPr>
        <w:spacing w:line="560" w:lineRule="exact"/>
        <w:rPr>
          <w:rFonts w:ascii="仿宋" w:hAnsi="仿宋" w:eastAsia="仿宋" w:cs="仿宋"/>
          <w:sz w:val="32"/>
          <w:szCs w:val="32"/>
        </w:rPr>
      </w:pPr>
      <w:r>
        <w:rPr>
          <w:rFonts w:hint="eastAsia" w:ascii="仿宋" w:hAnsi="仿宋" w:eastAsia="仿宋" w:cs="仿宋"/>
          <w:sz w:val="32"/>
          <w:szCs w:val="32"/>
        </w:rPr>
        <w:t>十、《部门整体支出绩效目标表》</w:t>
      </w:r>
    </w:p>
    <w:p w14:paraId="5DF04911">
      <w:pPr>
        <w:jc w:val="left"/>
      </w:pPr>
      <w:r>
        <w:drawing>
          <wp:inline distT="0" distB="0" distL="114300" distR="114300">
            <wp:extent cx="5541645" cy="6046470"/>
            <wp:effectExtent l="0" t="0" r="1905" b="11430"/>
            <wp:docPr id="11" name="图片 11" descr="9.部门整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部门整体"/>
                    <pic:cNvPicPr>
                      <a:picLocks noChangeAspect="1"/>
                    </pic:cNvPicPr>
                  </pic:nvPicPr>
                  <pic:blipFill>
                    <a:blip r:embed="rId5"/>
                    <a:stretch>
                      <a:fillRect/>
                    </a:stretch>
                  </pic:blipFill>
                  <pic:spPr>
                    <a:xfrm>
                      <a:off x="0" y="0"/>
                      <a:ext cx="5541645" cy="6046470"/>
                    </a:xfrm>
                    <a:prstGeom prst="rect">
                      <a:avLst/>
                    </a:prstGeom>
                  </pic:spPr>
                </pic:pic>
              </a:graphicData>
            </a:graphic>
          </wp:inline>
        </w:drawing>
      </w:r>
    </w:p>
    <w:p w14:paraId="38126456">
      <w:pPr>
        <w:jc w:val="left"/>
        <w:rPr>
          <w:rFonts w:ascii="仿宋" w:hAnsi="仿宋" w:eastAsia="仿宋" w:cs="仿宋"/>
          <w:sz w:val="32"/>
          <w:szCs w:val="32"/>
        </w:rPr>
      </w:pPr>
    </w:p>
    <w:p w14:paraId="5DE4AFFD">
      <w:pPr>
        <w:jc w:val="left"/>
        <w:rPr>
          <w:rFonts w:ascii="仿宋" w:hAnsi="仿宋" w:eastAsia="仿宋" w:cs="仿宋"/>
          <w:sz w:val="32"/>
          <w:szCs w:val="32"/>
        </w:rPr>
      </w:pPr>
    </w:p>
    <w:p w14:paraId="4BC86F8B">
      <w:pPr>
        <w:jc w:val="left"/>
        <w:rPr>
          <w:rFonts w:ascii="仿宋" w:hAnsi="仿宋" w:eastAsia="仿宋" w:cs="仿宋"/>
          <w:sz w:val="32"/>
          <w:szCs w:val="32"/>
        </w:rPr>
      </w:pPr>
    </w:p>
    <w:p w14:paraId="6DCCA867">
      <w:pPr>
        <w:jc w:val="left"/>
        <w:rPr>
          <w:rFonts w:ascii="仿宋" w:hAnsi="仿宋" w:eastAsia="仿宋" w:cs="仿宋"/>
          <w:sz w:val="32"/>
          <w:szCs w:val="32"/>
        </w:rPr>
      </w:pPr>
    </w:p>
    <w:p w14:paraId="43389EEC">
      <w:pPr>
        <w:jc w:val="left"/>
        <w:rPr>
          <w:rFonts w:ascii="仿宋" w:hAnsi="仿宋" w:eastAsia="仿宋" w:cs="仿宋"/>
          <w:sz w:val="32"/>
          <w:szCs w:val="32"/>
        </w:rPr>
      </w:pPr>
    </w:p>
    <w:p w14:paraId="336B8FC6">
      <w:pPr>
        <w:jc w:val="left"/>
      </w:pPr>
      <w:r>
        <w:rPr>
          <w:rFonts w:hint="eastAsia" w:ascii="仿宋" w:hAnsi="仿宋" w:eastAsia="仿宋" w:cs="仿宋"/>
          <w:sz w:val="32"/>
          <w:szCs w:val="32"/>
        </w:rPr>
        <w:t>十一、《项目支出绩效目标表》</w:t>
      </w:r>
      <w:r>
        <w:rPr>
          <w:rFonts w:hint="eastAsia" w:ascii="仿宋" w:hAnsi="仿宋" w:eastAsia="仿宋" w:cs="仿宋"/>
          <w:sz w:val="32"/>
          <w:szCs w:val="32"/>
        </w:rPr>
        <w:drawing>
          <wp:inline distT="0" distB="0" distL="114300" distR="114300">
            <wp:extent cx="5163185" cy="6753860"/>
            <wp:effectExtent l="0" t="0" r="18415" b="8890"/>
            <wp:docPr id="12" name="图片 12" descr="10.项目支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0.项目支出"/>
                    <pic:cNvPicPr>
                      <a:picLocks noChangeAspect="1"/>
                    </pic:cNvPicPr>
                  </pic:nvPicPr>
                  <pic:blipFill>
                    <a:blip r:embed="rId6"/>
                    <a:stretch>
                      <a:fillRect/>
                    </a:stretch>
                  </pic:blipFill>
                  <pic:spPr>
                    <a:xfrm>
                      <a:off x="0" y="0"/>
                      <a:ext cx="5163185" cy="6753860"/>
                    </a:xfrm>
                    <a:prstGeom prst="rect">
                      <a:avLst/>
                    </a:prstGeom>
                  </pic:spPr>
                </pic:pic>
              </a:graphicData>
            </a:graphic>
          </wp:inline>
        </w:drawing>
      </w:r>
    </w:p>
    <w:p w14:paraId="18C3EC48">
      <w:pPr>
        <w:pStyle w:val="2"/>
      </w:pPr>
    </w:p>
    <w:p w14:paraId="20520C5F">
      <w:pPr>
        <w:pStyle w:val="2"/>
      </w:pPr>
    </w:p>
    <w:p w14:paraId="757990AF">
      <w:pPr>
        <w:pStyle w:val="2"/>
      </w:pPr>
    </w:p>
    <w:p w14:paraId="4F20FC85">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14:paraId="4F66795B">
      <w:pPr>
        <w:spacing w:line="560" w:lineRule="exact"/>
        <w:ind w:firstLine="604" w:firstLineChars="189"/>
        <w:jc w:val="center"/>
        <w:rPr>
          <w:rFonts w:ascii="仿宋" w:hAnsi="仿宋" w:eastAsia="仿宋" w:cs="仿宋"/>
          <w:sz w:val="32"/>
          <w:szCs w:val="32"/>
        </w:rPr>
      </w:pPr>
    </w:p>
    <w:p w14:paraId="5B578A92">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14:paraId="6DEE59E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14:paraId="715EEC8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099CFF5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2556447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0663D4D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3135834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5C6AEE9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14:paraId="14A7398F">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14:paraId="09383256">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14:paraId="1CB5DAEE">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14:paraId="504A197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14:paraId="3A86612A">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7FA4D27B">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24485FC2">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261DDAD1">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ACBDE2D">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14:paraId="626A7903">
      <w:pPr>
        <w:spacing w:line="56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（六）死亡抚恤：反映单位遗属人员生活补助。</w:t>
      </w:r>
    </w:p>
    <w:p w14:paraId="250A960F"/>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27DBB5-DB74-4E53-8F6A-86F441DE211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embedRegular r:id="rId2" w:fontKey="{54B94EB5-46E2-47E3-B088-D89B725A3B65}"/>
  </w:font>
  <w:font w:name="方正小标宋简体">
    <w:panose1 w:val="02000000000000000000"/>
    <w:charset w:val="86"/>
    <w:family w:val="auto"/>
    <w:pitch w:val="default"/>
    <w:sig w:usb0="00000001" w:usb1="08000000" w:usb2="00000000" w:usb3="00000000" w:csb0="00040000" w:csb1="00000000"/>
    <w:embedRegular r:id="rId3" w:fontKey="{6A2AA9F2-FDB1-431B-834C-893219CE1B7F}"/>
  </w:font>
  <w:font w:name="仿宋">
    <w:panose1 w:val="02010609060101010101"/>
    <w:charset w:val="86"/>
    <w:family w:val="modern"/>
    <w:pitch w:val="default"/>
    <w:sig w:usb0="800002BF" w:usb1="38CF7CFA" w:usb2="00000016" w:usb3="00000000" w:csb0="00040001" w:csb1="00000000"/>
    <w:embedRegular r:id="rId4" w:fontKey="{17BDD8A5-E250-4BA0-AE94-77ED9B2F6BFE}"/>
  </w:font>
  <w:font w:name="楷体">
    <w:panose1 w:val="02010609060101010101"/>
    <w:charset w:val="86"/>
    <w:family w:val="modern"/>
    <w:pitch w:val="default"/>
    <w:sig w:usb0="800002BF" w:usb1="38CF7CFA" w:usb2="00000016" w:usb3="00000000" w:csb0="00040001" w:csb1="00000000"/>
    <w:embedRegular r:id="rId5" w:fontKey="{9F19A600-4059-4A86-8F92-2966BE6EF4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A46BF">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07BD1D0">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407BD1D0">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5FE466C">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75FE466C">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63C39910"/>
    <w:multiLevelType w:val="singleLevel"/>
    <w:tmpl w:val="63C39910"/>
    <w:lvl w:ilvl="0" w:tentative="0">
      <w:start w:val="1"/>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xM2RmNGFhYmMzMGE2NTQ3MWFlYjQzZmZlMTkyZjkifQ=="/>
  </w:docVars>
  <w:rsids>
    <w:rsidRoot w:val="445E02C8"/>
    <w:rsid w:val="002A3C74"/>
    <w:rsid w:val="00443721"/>
    <w:rsid w:val="004E3956"/>
    <w:rsid w:val="007526E0"/>
    <w:rsid w:val="02FA148D"/>
    <w:rsid w:val="031F1CD9"/>
    <w:rsid w:val="04EE7A30"/>
    <w:rsid w:val="0B5B60DD"/>
    <w:rsid w:val="0B991DCE"/>
    <w:rsid w:val="124E024F"/>
    <w:rsid w:val="19F54631"/>
    <w:rsid w:val="1A722FA1"/>
    <w:rsid w:val="2B695BB3"/>
    <w:rsid w:val="326D79FF"/>
    <w:rsid w:val="37EC524A"/>
    <w:rsid w:val="3A4013F4"/>
    <w:rsid w:val="3CA73ED8"/>
    <w:rsid w:val="3F5F2902"/>
    <w:rsid w:val="3FFE2FA6"/>
    <w:rsid w:val="40C17CBA"/>
    <w:rsid w:val="40F43899"/>
    <w:rsid w:val="422846F9"/>
    <w:rsid w:val="42E10389"/>
    <w:rsid w:val="445E02C8"/>
    <w:rsid w:val="4530540F"/>
    <w:rsid w:val="495167C3"/>
    <w:rsid w:val="49A6332D"/>
    <w:rsid w:val="4D190657"/>
    <w:rsid w:val="4F455C74"/>
    <w:rsid w:val="50D43980"/>
    <w:rsid w:val="56B5078A"/>
    <w:rsid w:val="56D6425A"/>
    <w:rsid w:val="5B957669"/>
    <w:rsid w:val="61B942CF"/>
    <w:rsid w:val="625F06ED"/>
    <w:rsid w:val="66DA303A"/>
    <w:rsid w:val="6D6F517E"/>
    <w:rsid w:val="71724DA6"/>
    <w:rsid w:val="798412AA"/>
    <w:rsid w:val="7D0A03B5"/>
    <w:rsid w:val="7E1C6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tabs>
        <w:tab w:val="center" w:pos="4153"/>
        <w:tab w:val="right" w:pos="8306"/>
      </w:tabs>
      <w:snapToGrid w:val="0"/>
      <w:jc w:val="center"/>
    </w:pPr>
    <w:rPr>
      <w:sz w:val="18"/>
      <w:szCs w:val="18"/>
    </w:rPr>
  </w:style>
  <w:style w:type="paragraph" w:styleId="6">
    <w:name w:val="Body Text First Indent"/>
    <w:basedOn w:val="2"/>
    <w:qFormat/>
    <w:uiPriority w:val="99"/>
    <w:pPr>
      <w:ind w:firstLine="420" w:firstLineChars="100"/>
    </w:pPr>
  </w:style>
  <w:style w:type="character" w:customStyle="1" w:styleId="9">
    <w:name w:val="页眉 字符"/>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4181</Words>
  <Characters>4507</Characters>
  <Lines>36</Lines>
  <Paragraphs>10</Paragraphs>
  <TotalTime>1</TotalTime>
  <ScaleCrop>false</ScaleCrop>
  <LinksUpToDate>false</LinksUpToDate>
  <CharactersWithSpaces>4582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2024-06-03T03:45:00Z</dcterms:created>
  <dc:creator>巫媛</dc:creator>
  <cp:lastModifiedBy>WPS_1670148425</cp:lastModifiedBy>
  <dcterms:modified xsi:type="dcterms:W3CDTF">2024-10-08T03:51:59Z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21B8E9499F034D538D7AC53E6F4D32AC_13</vt:lpwstr>
  </property>
</Properties>
</file>