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cs="方正小标宋简体" w:asciiTheme="minorEastAsia" w:hAnsiTheme="minorEastAsia" w:eastAsiaTheme="minorEastAsia"/>
          <w:b/>
          <w:bCs/>
          <w:sz w:val="44"/>
          <w:szCs w:val="44"/>
        </w:rPr>
      </w:pPr>
    </w:p>
    <w:p>
      <w:pPr>
        <w:spacing w:line="560" w:lineRule="exact"/>
        <w:jc w:val="center"/>
        <w:rPr>
          <w:rFonts w:ascii="黑体" w:hAnsi="黑体" w:eastAsia="黑体" w:cs="黑体"/>
          <w:sz w:val="36"/>
          <w:szCs w:val="36"/>
        </w:rPr>
      </w:pPr>
      <w:r>
        <w:rPr>
          <w:rFonts w:hint="eastAsia" w:cs="方正小标宋简体" w:asciiTheme="minorEastAsia" w:hAnsiTheme="minorEastAsia" w:eastAsiaTheme="minorEastAsia"/>
          <w:b/>
          <w:bCs/>
          <w:sz w:val="44"/>
          <w:szCs w:val="44"/>
        </w:rPr>
        <w:t>兴国县乡村振兴局2023年</w:t>
      </w:r>
      <w:r>
        <w:rPr>
          <w:rFonts w:hint="eastAsia" w:cs="方正小标宋简体" w:asciiTheme="minorEastAsia" w:hAnsiTheme="minorEastAsia" w:eastAsiaTheme="minorEastAsia"/>
          <w:b/>
          <w:bCs/>
          <w:sz w:val="44"/>
          <w:szCs w:val="44"/>
          <w:lang w:val="en-US" w:eastAsia="zh-CN"/>
        </w:rPr>
        <w:t>部门</w:t>
      </w:r>
      <w:r>
        <w:rPr>
          <w:rFonts w:hint="eastAsia" w:cs="方正小标宋简体" w:asciiTheme="minorEastAsia" w:hAnsiTheme="minorEastAsia" w:eastAsiaTheme="minorEastAsia"/>
          <w:b/>
          <w:bCs/>
          <w:sz w:val="44"/>
          <w:szCs w:val="44"/>
        </w:rPr>
        <w:t>预算编制说明</w:t>
      </w: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兴国县乡村振兴局部门概况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第二部分兴国县乡村振兴局部门预算情况说明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第三部分兴国县乡村振兴局部门预算表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第一部分兴国县乡村振兴局部门概况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widowControl/>
        <w:spacing w:before="225" w:after="225" w:line="560" w:lineRule="atLeast"/>
        <w:ind w:firstLine="640"/>
        <w:jc w:val="left"/>
      </w:pPr>
      <w:r>
        <w:rPr>
          <w:rFonts w:hint="eastAsia" w:ascii="仿宋_GB2312" w:hAnsi="宋体" w:eastAsia="仿宋_GB2312" w:cs="宋体"/>
          <w:kern w:val="0"/>
          <w:sz w:val="32"/>
          <w:szCs w:val="32"/>
        </w:rPr>
        <w:t>兴国县乡村振兴局是主管全县乡村振兴工作的县政府组成部门（直属机构），是贯彻执行党和国家及省、市乡村振兴工作的方针、政策的职能部门。我局负责全县乡村振兴易地搬迁、社会帮扶、雨露计划</w:t>
      </w:r>
      <w:r>
        <w:rPr>
          <w:rFonts w:hint="eastAsia" w:ascii="仿宋_GB2312" w:hAnsi="宋体" w:eastAsia="仿宋_GB2312" w:cs="宋体"/>
          <w:kern w:val="0"/>
          <w:sz w:val="32"/>
          <w:szCs w:val="32"/>
          <w:lang w:eastAsia="zh-CN"/>
        </w:rPr>
        <w:t>、防返贫检测</w:t>
      </w:r>
      <w:r>
        <w:rPr>
          <w:rFonts w:hint="eastAsia" w:ascii="仿宋_GB2312" w:hAnsi="宋体" w:eastAsia="仿宋_GB2312" w:cs="宋体"/>
          <w:kern w:val="0"/>
          <w:sz w:val="32"/>
          <w:szCs w:val="32"/>
        </w:rPr>
        <w:t>等</w:t>
      </w:r>
      <w:bookmarkStart w:id="0" w:name="_GoBack"/>
      <w:bookmarkEnd w:id="0"/>
      <w:r>
        <w:rPr>
          <w:rFonts w:hint="eastAsia" w:ascii="仿宋_GB2312" w:hAnsi="宋体" w:eastAsia="仿宋_GB2312" w:cs="宋体"/>
          <w:kern w:val="0"/>
          <w:sz w:val="32"/>
          <w:szCs w:val="32"/>
          <w:lang w:eastAsia="zh-CN"/>
        </w:rPr>
        <w:t>巩固拓展脱贫攻坚成果同乡村振兴有效衔接</w:t>
      </w:r>
      <w:r>
        <w:rPr>
          <w:rFonts w:hint="eastAsia" w:ascii="仿宋_GB2312" w:hAnsi="宋体" w:eastAsia="仿宋_GB2312" w:cs="宋体"/>
          <w:kern w:val="0"/>
          <w:sz w:val="32"/>
          <w:szCs w:val="32"/>
        </w:rPr>
        <w:t>工作。</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sz w:val="32"/>
          <w:szCs w:val="32"/>
        </w:rPr>
      </w:pPr>
      <w:r>
        <w:rPr>
          <w:rFonts w:hint="eastAsia" w:ascii="仿宋" w:hAnsi="仿宋" w:eastAsia="仿宋" w:cs="仿宋"/>
          <w:sz w:val="32"/>
          <w:szCs w:val="32"/>
        </w:rPr>
        <w:t>2023年</w:t>
      </w:r>
      <w:r>
        <w:rPr>
          <w:rFonts w:hint="eastAsia" w:ascii="仿宋" w:hAnsi="仿宋" w:eastAsia="仿宋"/>
          <w:sz w:val="32"/>
          <w:szCs w:val="32"/>
        </w:rPr>
        <w:t>乡村振兴局部门共有预算单位</w:t>
      </w:r>
      <w:r>
        <w:rPr>
          <w:rFonts w:hint="eastAsia" w:ascii="仿宋" w:hAnsi="仿宋" w:eastAsia="仿宋"/>
          <w:kern w:val="0"/>
          <w:sz w:val="32"/>
          <w:szCs w:val="32"/>
        </w:rPr>
        <w:t>1</w:t>
      </w:r>
      <w:r>
        <w:rPr>
          <w:rFonts w:ascii="仿宋" w:hAnsi="仿宋" w:eastAsia="仿宋"/>
          <w:sz w:val="32"/>
          <w:szCs w:val="32"/>
        </w:rPr>
        <w:t>个，包括</w:t>
      </w:r>
      <w:r>
        <w:rPr>
          <w:rFonts w:hint="eastAsia" w:ascii="仿宋" w:hAnsi="仿宋" w:eastAsia="仿宋"/>
          <w:sz w:val="32"/>
          <w:szCs w:val="32"/>
        </w:rPr>
        <w:t>：兴国县乡村振兴局。</w:t>
      </w:r>
    </w:p>
    <w:p>
      <w:pPr>
        <w:spacing w:line="560" w:lineRule="exact"/>
        <w:ind w:firstLine="640" w:firstLineChars="200"/>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kern w:val="0"/>
          <w:sz w:val="32"/>
          <w:szCs w:val="32"/>
        </w:rPr>
        <w:t>37</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rPr>
        <w:t>9</w:t>
      </w:r>
      <w:r>
        <w:rPr>
          <w:rFonts w:ascii="仿宋" w:hAnsi="仿宋" w:eastAsia="仿宋"/>
          <w:sz w:val="32"/>
          <w:szCs w:val="32"/>
        </w:rPr>
        <w:t>人,全部补助事业编制人数</w:t>
      </w:r>
      <w:r>
        <w:rPr>
          <w:rFonts w:hint="eastAsia" w:ascii="仿宋" w:hAnsi="仿宋" w:eastAsia="仿宋"/>
          <w:sz w:val="32"/>
          <w:szCs w:val="32"/>
        </w:rPr>
        <w:t>2</w:t>
      </w:r>
      <w:r>
        <w:rPr>
          <w:rFonts w:hint="eastAsia" w:ascii="仿宋" w:hAnsi="仿宋" w:eastAsia="仿宋"/>
          <w:kern w:val="0"/>
          <w:sz w:val="32"/>
          <w:szCs w:val="32"/>
        </w:rPr>
        <w:t>8</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kern w:val="0"/>
          <w:sz w:val="32"/>
          <w:szCs w:val="32"/>
        </w:rPr>
        <w:t>30</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kern w:val="0"/>
          <w:sz w:val="32"/>
          <w:szCs w:val="32"/>
        </w:rPr>
        <w:t>30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kern w:val="0"/>
          <w:sz w:val="32"/>
          <w:szCs w:val="32"/>
        </w:rPr>
        <w:t>6</w:t>
      </w:r>
      <w:r>
        <w:rPr>
          <w:rFonts w:ascii="仿宋" w:hAnsi="仿宋" w:eastAsia="仿宋"/>
          <w:sz w:val="32"/>
          <w:szCs w:val="32"/>
        </w:rPr>
        <w:t>人,参照公务员管理的事业单位在职人数</w:t>
      </w:r>
      <w:r>
        <w:rPr>
          <w:rFonts w:hint="eastAsia" w:ascii="仿宋" w:hAnsi="仿宋" w:eastAsia="仿宋"/>
          <w:kern w:val="0"/>
          <w:sz w:val="32"/>
          <w:szCs w:val="32"/>
        </w:rPr>
        <w:t>6</w:t>
      </w:r>
      <w:r>
        <w:rPr>
          <w:rFonts w:ascii="仿宋" w:hAnsi="仿宋" w:eastAsia="仿宋"/>
          <w:sz w:val="32"/>
          <w:szCs w:val="32"/>
        </w:rPr>
        <w:t>人,全部补助事业在职人数</w:t>
      </w:r>
      <w:r>
        <w:rPr>
          <w:rFonts w:hint="eastAsia" w:ascii="仿宋" w:hAnsi="仿宋" w:eastAsia="仿宋"/>
          <w:kern w:val="0"/>
          <w:sz w:val="32"/>
          <w:szCs w:val="32"/>
        </w:rPr>
        <w:t>18</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退休人数小计</w:t>
      </w:r>
      <w:r>
        <w:rPr>
          <w:rFonts w:hint="eastAsia" w:ascii="仿宋" w:hAnsi="仿宋" w:eastAsia="仿宋"/>
          <w:kern w:val="0"/>
          <w:sz w:val="32"/>
          <w:szCs w:val="32"/>
        </w:rPr>
        <w:t>20</w:t>
      </w:r>
      <w:r>
        <w:rPr>
          <w:rFonts w:ascii="仿宋" w:hAnsi="仿宋" w:eastAsia="仿宋"/>
          <w:sz w:val="32"/>
          <w:szCs w:val="32"/>
        </w:rPr>
        <w:t>人,遗属人数</w:t>
      </w:r>
      <w:r>
        <w:rPr>
          <w:rFonts w:hint="eastAsia" w:ascii="仿宋" w:hAnsi="仿宋" w:eastAsia="仿宋"/>
          <w:sz w:val="32"/>
          <w:szCs w:val="32"/>
        </w:rPr>
        <w:t>1</w:t>
      </w:r>
      <w:r>
        <w:rPr>
          <w:rFonts w:ascii="仿宋" w:hAnsi="仿宋" w:eastAsia="仿宋"/>
          <w:sz w:val="32"/>
          <w:szCs w:val="32"/>
        </w:rPr>
        <w:t>人。</w:t>
      </w:r>
      <w:r>
        <w:fldChar w:fldCharType="end"/>
      </w: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兴国县乡村振兴局部门预算情况说明</w:t>
      </w:r>
    </w:p>
    <w:p>
      <w:pPr>
        <w:spacing w:line="560" w:lineRule="exact"/>
        <w:jc w:val="center"/>
        <w:rPr>
          <w:rFonts w:ascii="仿宋" w:hAnsi="仿宋" w:eastAsia="仿宋" w:cs="仿宋"/>
          <w:b/>
          <w:bCs/>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（一）收入预算情况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2023年</w:t>
      </w:r>
      <w:r>
        <w:rPr>
          <w:rFonts w:hint="eastAsia" w:ascii="仿宋" w:hAnsi="仿宋" w:eastAsia="仿宋" w:cs="仿宋"/>
          <w:sz w:val="30"/>
          <w:szCs w:val="30"/>
        </w:rPr>
        <w:t>本</w:t>
      </w:r>
      <w:r>
        <w:rPr>
          <w:rFonts w:hint="eastAsia" w:ascii="仿宋" w:hAnsi="仿宋" w:eastAsia="仿宋" w:cs="仿宋"/>
          <w:sz w:val="30"/>
          <w:szCs w:val="30"/>
          <w:lang w:val="en-US" w:eastAsia="zh-CN"/>
        </w:rPr>
        <w:t>单位</w:t>
      </w:r>
      <w:r>
        <w:rPr>
          <w:rFonts w:hint="eastAsia" w:ascii="仿宋" w:hAnsi="仿宋" w:eastAsia="仿宋" w:cs="仿宋"/>
          <w:sz w:val="30"/>
          <w:szCs w:val="30"/>
        </w:rPr>
        <w:t>收入预算总额</w:t>
      </w:r>
      <w:r>
        <w:rPr>
          <w:rFonts w:hint="eastAsia" w:ascii="仿宋" w:hAnsi="仿宋" w:eastAsia="仿宋" w:cs="仿宋"/>
          <w:sz w:val="32"/>
          <w:szCs w:val="32"/>
        </w:rPr>
        <w:t>27219.44</w:t>
      </w:r>
      <w:r>
        <w:rPr>
          <w:rFonts w:hint="eastAsia" w:ascii="仿宋" w:hAnsi="仿宋" w:eastAsia="仿宋" w:cs="仿宋"/>
          <w:sz w:val="30"/>
          <w:szCs w:val="30"/>
        </w:rPr>
        <w:t>万元，</w:t>
      </w:r>
      <w:r>
        <w:rPr>
          <w:rFonts w:hint="eastAsia" w:ascii="仿宋" w:hAnsi="仿宋" w:eastAsia="仿宋" w:cs="仿宋"/>
          <w:sz w:val="32"/>
          <w:szCs w:val="32"/>
        </w:rPr>
        <w:t>较上年预算安排增19</w:t>
      </w:r>
      <w:r>
        <w:rPr>
          <w:rFonts w:hint="eastAsia" w:ascii="仿宋" w:hAnsi="仿宋" w:eastAsia="仿宋" w:cs="仿宋"/>
          <w:sz w:val="32"/>
          <w:szCs w:val="32"/>
          <w:lang w:val="en-US" w:eastAsia="zh-CN"/>
        </w:rPr>
        <w:t>430.38</w:t>
      </w:r>
      <w:r>
        <w:rPr>
          <w:rFonts w:hint="eastAsia" w:ascii="仿宋" w:hAnsi="仿宋" w:eastAsia="仿宋" w:cs="仿宋"/>
          <w:sz w:val="32"/>
          <w:szCs w:val="32"/>
        </w:rPr>
        <w:t>万元，增2</w:t>
      </w:r>
      <w:r>
        <w:rPr>
          <w:rFonts w:hint="eastAsia" w:ascii="仿宋" w:hAnsi="仿宋" w:eastAsia="仿宋" w:cs="仿宋"/>
          <w:sz w:val="32"/>
          <w:szCs w:val="32"/>
          <w:lang w:val="en-US" w:eastAsia="zh-CN"/>
        </w:rPr>
        <w:t>49.46</w:t>
      </w:r>
      <w:r>
        <w:rPr>
          <w:rFonts w:hint="eastAsia" w:ascii="仿宋" w:hAnsi="仿宋" w:eastAsia="仿宋" w:cs="仿宋"/>
          <w:sz w:val="32"/>
          <w:szCs w:val="32"/>
        </w:rPr>
        <w:t>%。增减变化主要原因是：其他资金收入预计增多。</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宋体"/>
          <w:kern w:val="0"/>
          <w:sz w:val="32"/>
          <w:szCs w:val="32"/>
        </w:rPr>
      </w:pPr>
      <w:r>
        <w:rPr>
          <w:rFonts w:hint="eastAsia" w:ascii="仿宋" w:hAnsi="仿宋" w:eastAsia="仿宋" w:cs="仿宋"/>
          <w:sz w:val="30"/>
          <w:szCs w:val="30"/>
        </w:rPr>
        <w:t>具体为：</w:t>
      </w:r>
      <w:r>
        <w:rPr>
          <w:rFonts w:hint="eastAsia" w:ascii="仿宋_GB2312" w:hAnsi="宋体" w:eastAsia="仿宋_GB2312" w:cs="宋体"/>
          <w:kern w:val="0"/>
          <w:sz w:val="32"/>
          <w:szCs w:val="32"/>
        </w:rPr>
        <w:t>财政拨款收入4219.44万元，</w:t>
      </w:r>
      <w:r>
        <w:rPr>
          <w:rFonts w:hint="eastAsia" w:ascii="仿宋" w:hAnsi="仿宋" w:eastAsia="仿宋" w:cs="仿宋"/>
          <w:color w:val="auto"/>
          <w:spacing w:val="11"/>
          <w:sz w:val="30"/>
          <w:szCs w:val="30"/>
        </w:rPr>
        <w:t>较</w:t>
      </w:r>
      <w:r>
        <w:rPr>
          <w:rFonts w:hint="eastAsia" w:ascii="仿宋" w:hAnsi="仿宋" w:eastAsia="仿宋" w:cs="仿宋"/>
          <w:color w:val="auto"/>
          <w:spacing w:val="23"/>
          <w:sz w:val="30"/>
          <w:szCs w:val="30"/>
        </w:rPr>
        <w:t>上年预算安排增加</w:t>
      </w:r>
      <w:r>
        <w:rPr>
          <w:rFonts w:hint="eastAsia" w:ascii="仿宋" w:hAnsi="仿宋" w:eastAsia="仿宋" w:cs="仿宋"/>
          <w:color w:val="auto"/>
          <w:sz w:val="32"/>
          <w:szCs w:val="32"/>
          <w:u w:val="none"/>
          <w:lang w:val="en-US" w:eastAsia="zh-CN"/>
        </w:rPr>
        <w:t>97.33</w:t>
      </w:r>
      <w:r>
        <w:rPr>
          <w:rFonts w:hint="eastAsia" w:ascii="仿宋" w:hAnsi="仿宋" w:eastAsia="仿宋" w:cs="仿宋"/>
          <w:color w:val="auto"/>
          <w:spacing w:val="23"/>
          <w:sz w:val="30"/>
          <w:szCs w:val="30"/>
        </w:rPr>
        <w:t>万元</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其他收入23000万元，</w:t>
      </w:r>
      <w:r>
        <w:rPr>
          <w:rFonts w:hint="eastAsia" w:ascii="仿宋" w:hAnsi="仿宋" w:eastAsia="仿宋" w:cs="仿宋"/>
          <w:color w:val="auto"/>
          <w:spacing w:val="11"/>
          <w:sz w:val="30"/>
          <w:szCs w:val="30"/>
        </w:rPr>
        <w:t>较</w:t>
      </w:r>
      <w:r>
        <w:rPr>
          <w:rFonts w:hint="eastAsia" w:ascii="仿宋" w:hAnsi="仿宋" w:eastAsia="仿宋" w:cs="仿宋"/>
          <w:color w:val="auto"/>
          <w:spacing w:val="23"/>
          <w:sz w:val="30"/>
          <w:szCs w:val="30"/>
        </w:rPr>
        <w:t>上年预算安排增加</w:t>
      </w:r>
      <w:r>
        <w:rPr>
          <w:rFonts w:hint="eastAsia" w:ascii="仿宋" w:hAnsi="仿宋" w:eastAsia="仿宋" w:cs="仿宋"/>
          <w:color w:val="auto"/>
          <w:spacing w:val="23"/>
          <w:sz w:val="30"/>
          <w:szCs w:val="30"/>
          <w:lang w:val="en-US" w:eastAsia="zh-CN"/>
        </w:rPr>
        <w:t>19333.05</w:t>
      </w:r>
      <w:r>
        <w:rPr>
          <w:rFonts w:hint="eastAsia" w:ascii="仿宋" w:hAnsi="仿宋" w:eastAsia="仿宋" w:cs="仿宋"/>
          <w:color w:val="auto"/>
          <w:spacing w:val="23"/>
          <w:sz w:val="30"/>
          <w:szCs w:val="30"/>
        </w:rPr>
        <w:t>万元</w:t>
      </w:r>
      <w:r>
        <w:rPr>
          <w:rFonts w:hint="eastAsia" w:ascii="仿宋_GB2312" w:hAnsi="宋体" w:eastAsia="仿宋_GB2312" w:cs="宋体"/>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ascii="仿宋" w:hAnsi="仿宋" w:eastAsia="仿宋" w:cs="仿宋"/>
          <w:b/>
          <w:bCs/>
          <w:sz w:val="32"/>
          <w:szCs w:val="32"/>
        </w:rPr>
      </w:pPr>
      <w:r>
        <w:rPr>
          <w:rFonts w:hint="eastAsia" w:ascii="仿宋" w:hAnsi="仿宋" w:eastAsia="仿宋" w:cs="仿宋"/>
          <w:b/>
          <w:bCs/>
          <w:sz w:val="32"/>
          <w:szCs w:val="32"/>
        </w:rPr>
        <w:t>（二）支出预算情况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0"/>
          <w:szCs w:val="30"/>
        </w:rPr>
      </w:pPr>
      <w:r>
        <w:rPr>
          <w:rFonts w:hint="eastAsia" w:ascii="仿宋" w:hAnsi="仿宋" w:eastAsia="仿宋" w:cs="仿宋"/>
          <w:sz w:val="32"/>
          <w:szCs w:val="32"/>
        </w:rPr>
        <w:t>2023年</w:t>
      </w:r>
      <w:r>
        <w:rPr>
          <w:rFonts w:hint="eastAsia" w:ascii="仿宋" w:hAnsi="仿宋" w:eastAsia="仿宋" w:cs="仿宋"/>
          <w:sz w:val="30"/>
          <w:szCs w:val="30"/>
        </w:rPr>
        <w:t>本</w:t>
      </w:r>
      <w:r>
        <w:rPr>
          <w:rFonts w:hint="eastAsia" w:ascii="仿宋" w:hAnsi="仿宋" w:eastAsia="仿宋" w:cs="仿宋"/>
          <w:sz w:val="30"/>
          <w:szCs w:val="30"/>
          <w:lang w:val="en-US" w:eastAsia="zh-CN"/>
        </w:rPr>
        <w:t>单位</w:t>
      </w:r>
      <w:r>
        <w:rPr>
          <w:rFonts w:hint="eastAsia" w:ascii="仿宋" w:hAnsi="仿宋" w:eastAsia="仿宋" w:cs="仿宋"/>
          <w:sz w:val="30"/>
          <w:szCs w:val="30"/>
        </w:rPr>
        <w:t>支出预算总额</w:t>
      </w:r>
      <w:r>
        <w:rPr>
          <w:rFonts w:hint="eastAsia" w:ascii="仿宋" w:hAnsi="仿宋" w:eastAsia="仿宋" w:cs="仿宋"/>
          <w:sz w:val="32"/>
          <w:szCs w:val="32"/>
        </w:rPr>
        <w:t>27219.44</w:t>
      </w:r>
      <w:r>
        <w:rPr>
          <w:rFonts w:hint="eastAsia" w:ascii="仿宋" w:hAnsi="仿宋" w:eastAsia="仿宋" w:cs="仿宋"/>
          <w:sz w:val="30"/>
          <w:szCs w:val="30"/>
        </w:rPr>
        <w:t>万元，</w:t>
      </w:r>
      <w:r>
        <w:rPr>
          <w:rFonts w:hint="eastAsia" w:ascii="仿宋" w:hAnsi="仿宋" w:eastAsia="仿宋" w:cs="仿宋"/>
          <w:sz w:val="32"/>
          <w:szCs w:val="32"/>
        </w:rPr>
        <w:t>较上年预算安排增19</w:t>
      </w:r>
      <w:r>
        <w:rPr>
          <w:rFonts w:hint="eastAsia" w:ascii="仿宋" w:hAnsi="仿宋" w:eastAsia="仿宋" w:cs="仿宋"/>
          <w:sz w:val="32"/>
          <w:szCs w:val="32"/>
          <w:lang w:val="en-US" w:eastAsia="zh-CN"/>
        </w:rPr>
        <w:t>430.38</w:t>
      </w:r>
      <w:r>
        <w:rPr>
          <w:rFonts w:hint="eastAsia" w:ascii="仿宋" w:hAnsi="仿宋" w:eastAsia="仿宋" w:cs="仿宋"/>
          <w:sz w:val="32"/>
          <w:szCs w:val="32"/>
        </w:rPr>
        <w:t>万元，增2</w:t>
      </w:r>
      <w:r>
        <w:rPr>
          <w:rFonts w:hint="eastAsia" w:ascii="仿宋" w:hAnsi="仿宋" w:eastAsia="仿宋" w:cs="仿宋"/>
          <w:sz w:val="32"/>
          <w:szCs w:val="32"/>
          <w:lang w:val="en-US" w:eastAsia="zh-CN"/>
        </w:rPr>
        <w:t>49.46</w:t>
      </w:r>
      <w:r>
        <w:rPr>
          <w:rFonts w:hint="eastAsia" w:ascii="仿宋" w:hAnsi="仿宋" w:eastAsia="仿宋" w:cs="仿宋"/>
          <w:sz w:val="32"/>
          <w:szCs w:val="32"/>
        </w:rPr>
        <w:t>%。增减变化主要原因是：其他资金支出预计增多。</w:t>
      </w:r>
      <w:r>
        <w:rPr>
          <w:rFonts w:hint="eastAsia" w:ascii="仿宋" w:hAnsi="仿宋" w:eastAsia="仿宋" w:cs="仿宋"/>
          <w:sz w:val="30"/>
          <w:szCs w:val="30"/>
        </w:rPr>
        <w:t>具体为：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24"/>
          <w:szCs w:val="24"/>
        </w:rPr>
      </w:pPr>
      <w:r>
        <w:rPr>
          <w:rFonts w:hint="eastAsia" w:ascii="仿宋" w:hAnsi="仿宋" w:eastAsia="仿宋" w:cs="仿宋"/>
          <w:sz w:val="30"/>
          <w:szCs w:val="30"/>
        </w:rPr>
        <w:t>按支出项目类别及经济分类科目划分：基本支出</w:t>
      </w:r>
      <w:r>
        <w:rPr>
          <w:rFonts w:hint="eastAsia" w:ascii="仿宋" w:hAnsi="仿宋" w:eastAsia="仿宋" w:cs="仿宋"/>
          <w:sz w:val="32"/>
          <w:szCs w:val="32"/>
        </w:rPr>
        <w:t>428.44</w:t>
      </w:r>
      <w:r>
        <w:rPr>
          <w:rFonts w:hint="eastAsia" w:ascii="仿宋" w:hAnsi="仿宋" w:eastAsia="仿宋" w:cs="仿宋"/>
          <w:sz w:val="30"/>
          <w:szCs w:val="30"/>
        </w:rPr>
        <w:t>万元，</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113.33</w:t>
      </w:r>
      <w:r>
        <w:rPr>
          <w:rFonts w:hint="eastAsia" w:ascii="仿宋" w:hAnsi="仿宋" w:eastAsia="仿宋" w:cs="仿宋"/>
          <w:sz w:val="32"/>
          <w:szCs w:val="32"/>
        </w:rPr>
        <w:t>万元</w:t>
      </w:r>
      <w:r>
        <w:rPr>
          <w:rFonts w:hint="eastAsia" w:ascii="仿宋" w:hAnsi="仿宋" w:eastAsia="仿宋" w:cs="仿宋"/>
          <w:sz w:val="32"/>
          <w:szCs w:val="32"/>
          <w:lang w:val="en-US" w:eastAsia="zh-CN"/>
        </w:rPr>
        <w:t>,其中：</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389.79</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0"/>
          <w:szCs w:val="30"/>
          <w:lang w:val="en-US" w:eastAsia="zh-CN"/>
        </w:rPr>
        <w:t>32.53</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0"/>
          <w:szCs w:val="30"/>
          <w:lang w:val="en-US" w:eastAsia="zh-CN"/>
        </w:rPr>
        <w:t>2.12</w:t>
      </w:r>
      <w:r>
        <w:rPr>
          <w:rFonts w:hint="eastAsia" w:ascii="仿宋" w:hAnsi="仿宋" w:eastAsia="仿宋" w:cs="仿宋"/>
          <w:color w:val="auto"/>
          <w:sz w:val="30"/>
          <w:szCs w:val="30"/>
          <w:lang w:eastAsia="zh-CN"/>
        </w:rPr>
        <w:t xml:space="preserve">万元，资本性支出 </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lang w:eastAsia="zh-CN"/>
        </w:rPr>
        <w:t xml:space="preserve"> 万元。</w:t>
      </w:r>
      <w:r>
        <w:rPr>
          <w:rFonts w:hint="eastAsia" w:ascii="仿宋" w:hAnsi="仿宋" w:eastAsia="仿宋" w:cs="仿宋"/>
          <w:sz w:val="30"/>
          <w:szCs w:val="30"/>
        </w:rPr>
        <w:t>项目支出26791万元，</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19317.05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color w:val="auto"/>
          <w:sz w:val="30"/>
          <w:szCs w:val="30"/>
          <w:lang w:eastAsia="zh-CN"/>
        </w:rPr>
        <w:t xml:space="preserve">其中：农林水支出 </w:t>
      </w:r>
      <w:r>
        <w:rPr>
          <w:rFonts w:hint="eastAsia" w:ascii="仿宋" w:hAnsi="仿宋" w:eastAsia="仿宋" w:cs="仿宋"/>
          <w:color w:val="auto"/>
          <w:sz w:val="30"/>
          <w:szCs w:val="30"/>
          <w:lang w:val="en-US" w:eastAsia="zh-CN"/>
        </w:rPr>
        <w:t>3791</w:t>
      </w:r>
      <w:r>
        <w:rPr>
          <w:rFonts w:hint="eastAsia" w:ascii="仿宋" w:hAnsi="仿宋" w:eastAsia="仿宋" w:cs="仿宋"/>
          <w:color w:val="auto"/>
          <w:sz w:val="30"/>
          <w:szCs w:val="30"/>
          <w:lang w:eastAsia="zh-CN"/>
        </w:rPr>
        <w:t xml:space="preserve"> 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其他支出</w:t>
      </w:r>
      <w:r>
        <w:rPr>
          <w:rFonts w:hint="eastAsia" w:ascii="仿宋" w:hAnsi="仿宋" w:eastAsia="仿宋" w:cs="仿宋"/>
          <w:color w:val="auto"/>
          <w:sz w:val="30"/>
          <w:szCs w:val="30"/>
          <w:lang w:val="en-US" w:eastAsia="zh-CN"/>
        </w:rPr>
        <w:t>23000万元</w:t>
      </w:r>
      <w:r>
        <w:rPr>
          <w:rFonts w:hint="eastAsia" w:ascii="仿宋" w:hAnsi="仿宋" w:eastAsia="仿宋" w:cs="仿宋"/>
          <w:color w:val="auto"/>
          <w:sz w:val="30"/>
          <w:szCs w:val="30"/>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jc w:val="left"/>
        <w:textAlignment w:val="auto"/>
        <w:rPr>
          <w:rFonts w:ascii="仿宋" w:hAnsi="仿宋" w:eastAsia="仿宋" w:cs="仿宋"/>
          <w:sz w:val="24"/>
          <w:szCs w:val="24"/>
        </w:rPr>
      </w:pPr>
      <w:r>
        <w:rPr>
          <w:rFonts w:hint="eastAsia" w:ascii="仿宋" w:hAnsi="仿宋" w:eastAsia="仿宋" w:cs="仿宋"/>
          <w:sz w:val="30"/>
          <w:szCs w:val="30"/>
        </w:rPr>
        <w:t>按支出功能分类科目划分：</w:t>
      </w:r>
      <w:r>
        <w:rPr>
          <w:rFonts w:hint="eastAsia" w:ascii="仿宋_GB2312" w:hAnsi="宋体" w:eastAsia="仿宋_GB2312" w:cs="宋体"/>
          <w:kern w:val="0"/>
          <w:sz w:val="32"/>
          <w:szCs w:val="32"/>
        </w:rPr>
        <w:t>社会保障和就业支出42.59万元，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13.43</w:t>
      </w:r>
      <w:r>
        <w:rPr>
          <w:rFonts w:hint="eastAsia" w:ascii="仿宋" w:hAnsi="仿宋" w:eastAsia="仿宋" w:cs="仿宋"/>
          <w:color w:val="auto"/>
          <w:spacing w:val="5"/>
          <w:sz w:val="30"/>
          <w:szCs w:val="30"/>
        </w:rPr>
        <w:t>万元</w:t>
      </w:r>
      <w:r>
        <w:rPr>
          <w:rFonts w:hint="eastAsia" w:ascii="仿宋_GB2312" w:hAnsi="宋体" w:eastAsia="仿宋_GB2312" w:cs="宋体"/>
          <w:kern w:val="0"/>
          <w:sz w:val="32"/>
          <w:szCs w:val="32"/>
        </w:rPr>
        <w:t>；卫生健康支出38.3万元，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4.74</w:t>
      </w:r>
      <w:r>
        <w:rPr>
          <w:rFonts w:hint="eastAsia" w:ascii="仿宋" w:hAnsi="仿宋" w:eastAsia="仿宋" w:cs="仿宋"/>
          <w:color w:val="auto"/>
          <w:spacing w:val="5"/>
          <w:sz w:val="30"/>
          <w:szCs w:val="30"/>
        </w:rPr>
        <w:t>万元</w:t>
      </w:r>
      <w:r>
        <w:rPr>
          <w:rFonts w:hint="eastAsia" w:ascii="仿宋_GB2312" w:hAnsi="宋体" w:eastAsia="仿宋_GB2312" w:cs="宋体"/>
          <w:kern w:val="0"/>
          <w:sz w:val="32"/>
          <w:szCs w:val="32"/>
        </w:rPr>
        <w:t>；农林水支出4103.12万元，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76.31</w:t>
      </w:r>
      <w:r>
        <w:rPr>
          <w:rFonts w:hint="eastAsia" w:ascii="仿宋" w:hAnsi="仿宋" w:eastAsia="仿宋" w:cs="仿宋"/>
          <w:color w:val="auto"/>
          <w:spacing w:val="5"/>
          <w:sz w:val="30"/>
          <w:szCs w:val="30"/>
        </w:rPr>
        <w:t>万元</w:t>
      </w:r>
      <w:r>
        <w:rPr>
          <w:rFonts w:hint="eastAsia" w:ascii="仿宋_GB2312" w:hAnsi="宋体" w:eastAsia="仿宋_GB2312" w:cs="宋体"/>
          <w:kern w:val="0"/>
          <w:sz w:val="32"/>
          <w:szCs w:val="32"/>
        </w:rPr>
        <w:t>；住房保障支出35.42万元，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2.85</w:t>
      </w:r>
      <w:r>
        <w:rPr>
          <w:rFonts w:hint="eastAsia" w:ascii="仿宋" w:hAnsi="仿宋" w:eastAsia="仿宋" w:cs="仿宋"/>
          <w:color w:val="auto"/>
          <w:spacing w:val="5"/>
          <w:sz w:val="30"/>
          <w:szCs w:val="30"/>
        </w:rPr>
        <w:t>万元</w:t>
      </w:r>
      <w:r>
        <w:rPr>
          <w:rFonts w:hint="eastAsia" w:ascii="仿宋_GB2312" w:hAnsi="宋体" w:eastAsia="仿宋_GB2312" w:cs="宋体"/>
          <w:kern w:val="0"/>
          <w:sz w:val="32"/>
          <w:szCs w:val="32"/>
        </w:rPr>
        <w:t>；其他支出23000万元，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23"/>
          <w:sz w:val="30"/>
          <w:szCs w:val="30"/>
          <w:lang w:val="en-US" w:eastAsia="zh-CN"/>
        </w:rPr>
        <w:t>19333.05</w:t>
      </w:r>
      <w:r>
        <w:rPr>
          <w:rFonts w:hint="eastAsia" w:ascii="仿宋" w:hAnsi="仿宋" w:eastAsia="仿宋" w:cs="仿宋"/>
          <w:color w:val="auto"/>
          <w:spacing w:val="5"/>
          <w:sz w:val="30"/>
          <w:szCs w:val="30"/>
        </w:rPr>
        <w:t>万元</w:t>
      </w:r>
      <w:r>
        <w:rPr>
          <w:rFonts w:hint="eastAsia" w:ascii="仿宋_GB2312" w:hAnsi="宋体" w:eastAsia="仿宋_GB2312" w:cs="宋体"/>
          <w:kern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0"/>
          <w:szCs w:val="30"/>
        </w:rPr>
      </w:pPr>
      <w:r>
        <w:rPr>
          <w:rFonts w:hint="eastAsia" w:ascii="仿宋" w:hAnsi="仿宋" w:eastAsia="仿宋" w:cs="仿宋"/>
          <w:lang w:val="en-US"/>
        </w:rPr>
        <w:t>2023</w:t>
      </w:r>
      <w:r>
        <w:rPr>
          <w:rFonts w:hint="eastAsia" w:ascii="仿宋" w:hAnsi="仿宋" w:eastAsia="仿宋" w:cs="仿宋"/>
        </w:rPr>
        <w:t>年</w:t>
      </w:r>
      <w:r>
        <w:rPr>
          <w:rFonts w:hint="eastAsia" w:ascii="仿宋" w:hAnsi="仿宋" w:eastAsia="仿宋" w:cs="仿宋"/>
          <w:sz w:val="30"/>
          <w:szCs w:val="30"/>
        </w:rPr>
        <w:t>本部门财政拨款（补助）支出预算</w:t>
      </w:r>
      <w:r>
        <w:rPr>
          <w:rFonts w:hint="eastAsia" w:ascii="仿宋" w:hAnsi="仿宋" w:eastAsia="仿宋" w:cs="仿宋"/>
          <w:lang w:val="en-US"/>
        </w:rPr>
        <w:t>4219.44</w:t>
      </w:r>
      <w:r>
        <w:rPr>
          <w:rFonts w:hint="eastAsia" w:ascii="仿宋" w:hAnsi="仿宋" w:eastAsia="仿宋" w:cs="仿宋"/>
          <w:sz w:val="30"/>
          <w:szCs w:val="30"/>
        </w:rPr>
        <w:t>万元，占本年支出预算额的</w:t>
      </w:r>
      <w:r>
        <w:rPr>
          <w:rFonts w:hint="eastAsia" w:ascii="仿宋" w:hAnsi="仿宋" w:eastAsia="仿宋" w:cs="仿宋"/>
          <w:lang w:val="en-US"/>
        </w:rPr>
        <w:t>15.5</w:t>
      </w:r>
      <w:r>
        <w:rPr>
          <w:rFonts w:hint="eastAsia" w:ascii="仿宋" w:hAnsi="仿宋" w:eastAsia="仿宋" w:cs="仿宋"/>
          <w:sz w:val="30"/>
          <w:szCs w:val="30"/>
        </w:rPr>
        <w:t>%，</w:t>
      </w:r>
      <w:r>
        <w:rPr>
          <w:rFonts w:hint="eastAsia" w:ascii="仿宋" w:hAnsi="仿宋" w:eastAsia="仿宋" w:cs="仿宋"/>
        </w:rPr>
        <w:t>，较上年预算安排增</w:t>
      </w:r>
      <w:r>
        <w:rPr>
          <w:rFonts w:hint="eastAsia" w:ascii="仿宋" w:hAnsi="仿宋" w:eastAsia="仿宋" w:cs="仿宋"/>
          <w:lang w:val="en-US"/>
        </w:rPr>
        <w:t>97.33</w:t>
      </w:r>
      <w:r>
        <w:rPr>
          <w:rFonts w:hint="eastAsia" w:ascii="仿宋" w:hAnsi="仿宋" w:eastAsia="仿宋" w:cs="仿宋"/>
        </w:rPr>
        <w:t>万元，增</w:t>
      </w:r>
      <w:r>
        <w:rPr>
          <w:rFonts w:hint="eastAsia" w:ascii="仿宋" w:hAnsi="仿宋" w:eastAsia="仿宋" w:cs="仿宋"/>
          <w:lang w:val="en-US"/>
        </w:rPr>
        <w:t>2.36%</w:t>
      </w:r>
      <w:r>
        <w:rPr>
          <w:rFonts w:hint="eastAsia" w:ascii="仿宋" w:hAnsi="仿宋" w:eastAsia="仿宋" w:cs="仿宋"/>
        </w:rPr>
        <w:t>。增减变化主要原因是：</w:t>
      </w:r>
      <w:r>
        <w:rPr>
          <w:rFonts w:hint="eastAsia" w:ascii="仿宋" w:hAnsi="仿宋" w:eastAsia="仿宋" w:cs="仿宋"/>
          <w:lang w:val="en-US"/>
        </w:rPr>
        <w:t>人员较去年增多</w:t>
      </w:r>
      <w:r>
        <w:rPr>
          <w:rFonts w:hint="eastAsia" w:ascii="仿宋" w:hAnsi="仿宋" w:eastAsia="仿宋" w:cs="仿宋"/>
        </w:rPr>
        <w:t>。</w:t>
      </w:r>
      <w:r>
        <w:rPr>
          <w:rFonts w:hint="eastAsia" w:ascii="仿宋" w:hAnsi="仿宋" w:eastAsia="仿宋" w:cs="仿宋"/>
          <w:sz w:val="30"/>
          <w:szCs w:val="30"/>
        </w:rPr>
        <w:t>具体为：</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0"/>
          <w:szCs w:val="30"/>
          <w:lang w:val="en-US" w:eastAsia="zh-CN"/>
        </w:rPr>
        <w:t>428.44</w:t>
      </w:r>
      <w:r>
        <w:rPr>
          <w:rFonts w:hint="eastAsia" w:ascii="仿宋" w:hAnsi="仿宋" w:eastAsia="仿宋" w:cs="仿宋"/>
          <w:color w:val="auto"/>
          <w:sz w:val="30"/>
          <w:szCs w:val="30"/>
          <w:lang w:eastAsia="zh-CN"/>
        </w:rPr>
        <w:t>元，较上年</w:t>
      </w:r>
      <w:r>
        <w:rPr>
          <w:rFonts w:hint="eastAsia" w:ascii="仿宋" w:hAnsi="仿宋" w:eastAsia="仿宋" w:cs="仿宋"/>
          <w:color w:val="auto"/>
          <w:sz w:val="32"/>
          <w:szCs w:val="32"/>
        </w:rPr>
        <w:t>预算安排增</w:t>
      </w:r>
      <w:r>
        <w:rPr>
          <w:rFonts w:hint="eastAsia" w:ascii="仿宋" w:hAnsi="仿宋" w:eastAsia="仿宋" w:cs="仿宋"/>
          <w:color w:val="auto"/>
          <w:sz w:val="32"/>
          <w:szCs w:val="32"/>
          <w:lang w:val="en-US" w:eastAsia="zh-CN"/>
        </w:rPr>
        <w:t>113.33</w:t>
      </w:r>
      <w:r>
        <w:rPr>
          <w:rFonts w:hint="eastAsia" w:ascii="仿宋" w:hAnsi="仿宋" w:eastAsia="仿宋" w:cs="仿宋"/>
          <w:color w:val="auto"/>
          <w:sz w:val="32"/>
          <w:szCs w:val="32"/>
          <w:lang w:eastAsia="zh-CN"/>
        </w:rPr>
        <w:t>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389.79</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0"/>
          <w:szCs w:val="30"/>
          <w:lang w:val="en-US" w:eastAsia="zh-CN"/>
        </w:rPr>
        <w:t>32.53</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0"/>
          <w:szCs w:val="30"/>
          <w:lang w:val="en-US" w:eastAsia="zh-CN"/>
        </w:rPr>
        <w:t>2.12</w:t>
      </w:r>
      <w:r>
        <w:rPr>
          <w:rFonts w:hint="eastAsia" w:ascii="仿宋" w:hAnsi="仿宋" w:eastAsia="仿宋" w:cs="仿宋"/>
          <w:color w:val="auto"/>
          <w:sz w:val="30"/>
          <w:szCs w:val="30"/>
          <w:lang w:eastAsia="zh-CN"/>
        </w:rPr>
        <w:t xml:space="preserve">万元，资本性支出 </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lang w:eastAsia="zh-CN"/>
        </w:rPr>
        <w:t xml:space="preserve"> 万元。项目支出</w:t>
      </w:r>
      <w:r>
        <w:rPr>
          <w:rFonts w:hint="eastAsia" w:ascii="仿宋" w:hAnsi="仿宋" w:eastAsia="仿宋" w:cs="仿宋"/>
          <w:color w:val="auto"/>
          <w:sz w:val="30"/>
          <w:szCs w:val="30"/>
          <w:lang w:val="en-US" w:eastAsia="zh-CN"/>
        </w:rPr>
        <w:t>3791万元，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 xml:space="preserve">其中：农林水支出 </w:t>
      </w:r>
      <w:r>
        <w:rPr>
          <w:rFonts w:hint="eastAsia" w:ascii="仿宋" w:hAnsi="仿宋" w:eastAsia="仿宋" w:cs="仿宋"/>
          <w:color w:val="auto"/>
          <w:sz w:val="30"/>
          <w:szCs w:val="30"/>
          <w:lang w:val="en-US" w:eastAsia="zh-CN"/>
        </w:rPr>
        <w:t>3791</w:t>
      </w:r>
      <w:r>
        <w:rPr>
          <w:rFonts w:hint="eastAsia" w:ascii="仿宋" w:hAnsi="仿宋" w:eastAsia="仿宋" w:cs="仿宋"/>
          <w:color w:val="auto"/>
          <w:sz w:val="30"/>
          <w:szCs w:val="30"/>
          <w:lang w:eastAsia="zh-CN"/>
        </w:rPr>
        <w:t xml:space="preserve"> 万元。</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lang w:val="en-US" w:eastAsia="zh-CN"/>
        </w:rPr>
      </w:pPr>
      <w:r>
        <w:rPr>
          <w:rFonts w:hint="eastAsia" w:ascii="仿宋" w:hAnsi="仿宋" w:eastAsia="仿宋" w:cs="仿宋"/>
          <w:color w:val="auto"/>
          <w:sz w:val="30"/>
          <w:szCs w:val="30"/>
          <w:lang w:eastAsia="zh-CN"/>
        </w:rPr>
        <w:t xml:space="preserve">按支出功能分类科目划分：社会保障和就业支出 </w:t>
      </w:r>
      <w:r>
        <w:rPr>
          <w:rFonts w:hint="eastAsia" w:ascii="仿宋" w:hAnsi="仿宋" w:eastAsia="仿宋" w:cs="仿宋"/>
          <w:color w:val="auto"/>
          <w:sz w:val="30"/>
          <w:szCs w:val="30"/>
          <w:lang w:val="en-US" w:eastAsia="zh-CN"/>
        </w:rPr>
        <w:t>42.59</w:t>
      </w:r>
      <w:r>
        <w:rPr>
          <w:rFonts w:hint="eastAsia" w:ascii="仿宋" w:hAnsi="仿宋" w:eastAsia="仿宋" w:cs="仿宋"/>
          <w:color w:val="auto"/>
          <w:sz w:val="30"/>
          <w:szCs w:val="30"/>
          <w:lang w:eastAsia="zh-CN"/>
        </w:rPr>
        <w:t>万元,较上年预算安排增加</w:t>
      </w:r>
      <w:r>
        <w:rPr>
          <w:rFonts w:hint="eastAsia" w:ascii="仿宋" w:hAnsi="仿宋" w:eastAsia="仿宋" w:cs="仿宋"/>
          <w:color w:val="auto"/>
          <w:sz w:val="30"/>
          <w:szCs w:val="30"/>
          <w:lang w:val="en-US" w:eastAsia="zh-CN"/>
        </w:rPr>
        <w:t>13.43</w:t>
      </w:r>
      <w:r>
        <w:rPr>
          <w:rFonts w:hint="eastAsia" w:ascii="仿宋" w:hAnsi="仿宋" w:eastAsia="仿宋" w:cs="仿宋"/>
          <w:color w:val="auto"/>
          <w:sz w:val="30"/>
          <w:szCs w:val="30"/>
          <w:lang w:eastAsia="zh-CN"/>
        </w:rPr>
        <w:t xml:space="preserve">万元;卫生健康支出 </w:t>
      </w:r>
      <w:r>
        <w:rPr>
          <w:rFonts w:hint="eastAsia" w:ascii="仿宋" w:hAnsi="仿宋" w:eastAsia="仿宋" w:cs="仿宋"/>
          <w:color w:val="auto"/>
          <w:sz w:val="30"/>
          <w:szCs w:val="30"/>
          <w:lang w:val="en-US" w:eastAsia="zh-CN"/>
        </w:rPr>
        <w:t>38.3</w:t>
      </w:r>
      <w:r>
        <w:rPr>
          <w:rFonts w:hint="eastAsia" w:ascii="仿宋" w:hAnsi="仿宋" w:eastAsia="仿宋" w:cs="仿宋"/>
          <w:color w:val="auto"/>
          <w:sz w:val="30"/>
          <w:szCs w:val="30"/>
          <w:lang w:eastAsia="zh-CN"/>
        </w:rPr>
        <w:t xml:space="preserve"> 万元,较上年预算安排增加</w:t>
      </w:r>
      <w:r>
        <w:rPr>
          <w:rFonts w:hint="eastAsia" w:ascii="仿宋" w:hAnsi="仿宋" w:eastAsia="仿宋" w:cs="仿宋"/>
          <w:color w:val="auto"/>
          <w:sz w:val="30"/>
          <w:szCs w:val="30"/>
          <w:lang w:val="en-US" w:eastAsia="zh-CN"/>
        </w:rPr>
        <w:t>4.74</w:t>
      </w:r>
      <w:r>
        <w:rPr>
          <w:rFonts w:hint="eastAsia" w:ascii="仿宋" w:hAnsi="仿宋" w:eastAsia="仿宋" w:cs="仿宋"/>
          <w:color w:val="auto"/>
          <w:sz w:val="30"/>
          <w:szCs w:val="30"/>
          <w:lang w:eastAsia="zh-CN"/>
        </w:rPr>
        <w:t xml:space="preserve">万元;住房保障支出 </w:t>
      </w:r>
      <w:r>
        <w:rPr>
          <w:rFonts w:hint="eastAsia" w:ascii="仿宋" w:hAnsi="仿宋" w:eastAsia="仿宋" w:cs="仿宋"/>
          <w:color w:val="auto"/>
          <w:sz w:val="30"/>
          <w:szCs w:val="30"/>
          <w:lang w:val="en-US" w:eastAsia="zh-CN"/>
        </w:rPr>
        <w:t>35.42</w:t>
      </w:r>
      <w:r>
        <w:rPr>
          <w:rFonts w:hint="eastAsia" w:ascii="仿宋" w:hAnsi="仿宋" w:eastAsia="仿宋" w:cs="仿宋"/>
          <w:color w:val="auto"/>
          <w:sz w:val="30"/>
          <w:szCs w:val="30"/>
          <w:lang w:eastAsia="zh-CN"/>
        </w:rPr>
        <w:t xml:space="preserve"> 万元,较上年预算安排增加</w:t>
      </w:r>
      <w:r>
        <w:rPr>
          <w:rFonts w:hint="eastAsia" w:ascii="仿宋" w:hAnsi="仿宋" w:eastAsia="仿宋" w:cs="仿宋"/>
          <w:color w:val="auto"/>
          <w:sz w:val="30"/>
          <w:szCs w:val="30"/>
          <w:lang w:val="en-US" w:eastAsia="zh-CN"/>
        </w:rPr>
        <w:t>2.85</w:t>
      </w:r>
      <w:r>
        <w:rPr>
          <w:rFonts w:hint="eastAsia" w:ascii="仿宋" w:hAnsi="仿宋" w:eastAsia="仿宋" w:cs="仿宋"/>
          <w:color w:val="auto"/>
          <w:sz w:val="30"/>
          <w:szCs w:val="30"/>
          <w:lang w:eastAsia="zh-CN"/>
        </w:rPr>
        <w:t>万元;农林水支出</w:t>
      </w:r>
      <w:r>
        <w:rPr>
          <w:rFonts w:hint="eastAsia" w:ascii="仿宋" w:hAnsi="仿宋" w:eastAsia="仿宋" w:cs="仿宋"/>
          <w:color w:val="auto"/>
          <w:sz w:val="30"/>
          <w:szCs w:val="30"/>
          <w:lang w:val="en-US" w:eastAsia="zh-CN"/>
        </w:rPr>
        <w:t>4103.12</w:t>
      </w:r>
      <w:r>
        <w:rPr>
          <w:rFonts w:hint="eastAsia" w:ascii="仿宋" w:hAnsi="仿宋" w:eastAsia="仿宋" w:cs="仿宋"/>
          <w:color w:val="auto"/>
          <w:sz w:val="30"/>
          <w:szCs w:val="30"/>
          <w:lang w:eastAsia="zh-CN"/>
        </w:rPr>
        <w:t xml:space="preserve"> 万元,较上年预算安排增加</w:t>
      </w:r>
      <w:r>
        <w:rPr>
          <w:rFonts w:hint="eastAsia" w:ascii="仿宋" w:hAnsi="仿宋" w:eastAsia="仿宋" w:cs="仿宋"/>
          <w:color w:val="auto"/>
          <w:sz w:val="30"/>
          <w:szCs w:val="30"/>
          <w:lang w:val="en-US" w:eastAsia="zh-CN"/>
        </w:rPr>
        <w:t>76.31</w:t>
      </w:r>
      <w:r>
        <w:rPr>
          <w:rFonts w:hint="eastAsia" w:ascii="仿宋" w:hAnsi="仿宋" w:eastAsia="仿宋" w:cs="仿宋"/>
          <w:color w:val="auto"/>
          <w:sz w:val="30"/>
          <w:szCs w:val="30"/>
          <w:lang w:eastAsia="zh-CN"/>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无政府性基金预算拨款安排的支出。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2023年部门机关运行费预算</w:t>
      </w:r>
      <w:r>
        <w:rPr>
          <w:rFonts w:hint="eastAsia" w:ascii="仿宋" w:hAnsi="仿宋" w:eastAsia="仿宋" w:cs="仿宋"/>
          <w:sz w:val="32"/>
          <w:szCs w:val="32"/>
          <w:u w:val="single"/>
        </w:rPr>
        <w:t>323.53</w:t>
      </w:r>
      <w:r>
        <w:rPr>
          <w:rFonts w:hint="eastAsia" w:ascii="仿宋" w:hAnsi="仿宋" w:eastAsia="仿宋" w:cs="仿宋"/>
          <w:sz w:val="32"/>
          <w:szCs w:val="32"/>
        </w:rPr>
        <w:t>万元，比2022年(上一年度）预算增加</w:t>
      </w:r>
      <w:r>
        <w:rPr>
          <w:rFonts w:hint="eastAsia" w:ascii="仿宋" w:hAnsi="仿宋" w:eastAsia="仿宋" w:cs="仿宋"/>
          <w:sz w:val="32"/>
          <w:szCs w:val="32"/>
          <w:u w:val="single"/>
        </w:rPr>
        <w:t>106.63</w:t>
      </w:r>
      <w:r>
        <w:rPr>
          <w:rFonts w:hint="eastAsia" w:ascii="仿宋" w:hAnsi="仿宋" w:eastAsia="仿宋" w:cs="仿宋"/>
          <w:sz w:val="32"/>
          <w:szCs w:val="32"/>
        </w:rPr>
        <w:t>万元，增长49.16％。</w:t>
      </w:r>
      <w:r>
        <w:rPr>
          <w:rFonts w:hint="eastAsia" w:ascii="仿宋" w:hAnsi="仿宋" w:eastAsia="仿宋" w:cs="仿宋"/>
          <w:sz w:val="32"/>
          <w:szCs w:val="32"/>
          <w:lang w:val="en-US" w:eastAsia="zh-CN"/>
        </w:rPr>
        <w:t>增减变化主要原因是人员较去年有增加。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（六）政府采购情况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2023年部门所属各单位政府采购总额</w:t>
      </w:r>
      <w:r>
        <w:rPr>
          <w:rFonts w:hint="eastAsia" w:ascii="仿宋" w:hAnsi="仿宋" w:eastAsia="仿宋" w:cs="仿宋"/>
          <w:sz w:val="32"/>
          <w:szCs w:val="32"/>
          <w:u w:val="single"/>
        </w:rPr>
        <w:t xml:space="preserve">11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10</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0</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1</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截至2022年12月31日部门共有车辆</w:t>
      </w:r>
      <w:r>
        <w:rPr>
          <w:rFonts w:hint="eastAsia" w:ascii="仿宋" w:hAnsi="仿宋" w:eastAsia="仿宋" w:cs="仿宋"/>
          <w:sz w:val="32"/>
          <w:szCs w:val="32"/>
          <w:u w:val="single"/>
        </w:rPr>
        <w:t>0</w:t>
      </w:r>
      <w:r>
        <w:rPr>
          <w:rFonts w:hint="eastAsia" w:ascii="仿宋" w:hAnsi="仿宋" w:eastAsia="仿宋" w:cs="仿宋"/>
          <w:sz w:val="32"/>
          <w:szCs w:val="32"/>
        </w:rPr>
        <w:t>辆，其中：一般公务用车</w:t>
      </w:r>
      <w:r>
        <w:rPr>
          <w:rFonts w:hint="eastAsia" w:ascii="仿宋" w:hAnsi="仿宋" w:eastAsia="仿宋" w:cs="仿宋"/>
          <w:sz w:val="32"/>
          <w:szCs w:val="32"/>
          <w:u w:val="single"/>
        </w:rPr>
        <w:t>0</w:t>
      </w:r>
      <w:r>
        <w:rPr>
          <w:rFonts w:hint="eastAsia" w:ascii="仿宋" w:hAnsi="仿宋" w:eastAsia="仿宋" w:cs="仿宋"/>
          <w:sz w:val="32"/>
          <w:szCs w:val="32"/>
        </w:rPr>
        <w:t>辆、执法执勤用车</w:t>
      </w:r>
      <w:r>
        <w:rPr>
          <w:rFonts w:hint="eastAsia" w:ascii="仿宋" w:hAnsi="仿宋" w:eastAsia="仿宋" w:cs="仿宋"/>
          <w:sz w:val="32"/>
          <w:szCs w:val="32"/>
          <w:u w:val="single"/>
        </w:rPr>
        <w:t>0</w:t>
      </w:r>
      <w:r>
        <w:rPr>
          <w:rFonts w:hint="eastAsia" w:ascii="仿宋" w:hAnsi="仿宋" w:eastAsia="仿宋" w:cs="仿宋"/>
          <w:sz w:val="32"/>
          <w:szCs w:val="32"/>
        </w:rPr>
        <w:t>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2023年本部门预算安排购置车辆</w:t>
      </w:r>
      <w:r>
        <w:rPr>
          <w:rFonts w:hint="eastAsia" w:ascii="仿宋" w:hAnsi="仿宋" w:eastAsia="仿宋" w:cs="仿宋"/>
          <w:sz w:val="32"/>
          <w:szCs w:val="32"/>
          <w:u w:val="single"/>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2023年实行绩效目标管理的项目4个，涉及资金</w:t>
      </w:r>
      <w:r>
        <w:rPr>
          <w:rFonts w:hint="eastAsia" w:ascii="仿宋" w:hAnsi="仿宋" w:eastAsia="仿宋" w:cs="仿宋"/>
          <w:sz w:val="30"/>
          <w:szCs w:val="30"/>
        </w:rPr>
        <w:t>26791</w:t>
      </w:r>
      <w:r>
        <w:rPr>
          <w:rFonts w:hint="eastAsia" w:ascii="仿宋" w:hAnsi="仿宋" w:eastAsia="仿宋" w:cs="仿宋"/>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项目名称：衔接推进乡村振兴补助资金（县级配套）</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1.项目概述：用于巩固拓展脱贫攻坚成果同乡村振兴有效衔接，完善农村基础设施建设，补齐短板弱项，改善农户生产生活条件，大力推动农业产业发展，带动农户产业增收，提高农户收入；</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2.立项依据：巩固拓展脱贫攻坚成果与乡村振兴有效衔工作要求；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3.实施主体：各行业部门、各乡镇人民政府；</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4.实施周期：一年；</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5.年度预算安排：3450万</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6.年度绩效目标：达到上级巩固拓展脱贫攻坚成果与乡村振兴有效衔工作要求，顺利完成年度巩固拓展脱贫攻坚成果同乡村振兴工作有效衔接工作。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 w:hAnsi="仿宋" w:eastAsia="仿宋" w:cs="仿宋"/>
          <w:color w:val="auto"/>
          <w:sz w:val="32"/>
          <w:szCs w:val="32"/>
          <w:lang w:val="en-US" w:eastAsia="zh-CN"/>
        </w:rPr>
        <w:t>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firstLine="321" w:firstLineChars="100"/>
        <w:textAlignment w:val="auto"/>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2023年兴国县乡村振兴局部门“三公”经费一般公共预算安排27万元。其中：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因公出国（境）费0万元，比上年增（减）0万元，主</w:t>
      </w: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sz w:val="32"/>
          <w:szCs w:val="32"/>
        </w:rPr>
      </w:pPr>
      <w:r>
        <w:rPr>
          <w:rFonts w:hint="eastAsia" w:ascii="仿宋" w:hAnsi="仿宋" w:eastAsia="仿宋" w:cs="仿宋"/>
          <w:sz w:val="32"/>
          <w:szCs w:val="32"/>
        </w:rPr>
        <w:t>要原因是：无</w:t>
      </w:r>
      <w:r>
        <w:rPr>
          <w:rFonts w:hint="eastAsia" w:ascii="仿宋" w:hAnsi="仿宋" w:eastAsia="仿宋" w:cs="仿宋"/>
          <w:sz w:val="32"/>
          <w:szCs w:val="32"/>
          <w:lang w:eastAsia="zh-CN"/>
        </w:rPr>
        <w:t>安排</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公务接待费27万元，比上年减9万元，主要原因</w:t>
      </w:r>
      <w:r>
        <w:rPr>
          <w:rFonts w:hint="eastAsia" w:ascii="仿宋" w:hAnsi="仿宋" w:eastAsia="仿宋" w:cs="仿宋"/>
          <w:sz w:val="32"/>
          <w:szCs w:val="32"/>
          <w:lang w:eastAsia="zh-CN"/>
        </w:rPr>
        <w:t>：无安排</w:t>
      </w: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sz w:val="32"/>
          <w:szCs w:val="32"/>
        </w:rPr>
      </w:pPr>
      <w:r>
        <w:rPr>
          <w:rFonts w:hint="eastAsia" w:ascii="仿宋" w:hAnsi="仿宋" w:eastAsia="仿宋" w:cs="仿宋"/>
          <w:sz w:val="32"/>
          <w:szCs w:val="32"/>
        </w:rPr>
        <w:t>是：严格执行中央八项规定，勤俭节约，从严控制三公经费。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公务用车运行维护费0万元，比上年增（减）0万元，</w:t>
      </w: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sz w:val="32"/>
          <w:szCs w:val="32"/>
        </w:rPr>
      </w:pPr>
      <w:r>
        <w:rPr>
          <w:rFonts w:hint="eastAsia" w:ascii="仿宋" w:hAnsi="仿宋" w:eastAsia="仿宋" w:cs="仿宋"/>
          <w:sz w:val="32"/>
          <w:szCs w:val="32"/>
        </w:rPr>
        <w:t>主要原因是：无</w:t>
      </w:r>
      <w:r>
        <w:rPr>
          <w:rFonts w:hint="eastAsia" w:ascii="仿宋" w:hAnsi="仿宋" w:eastAsia="仿宋" w:cs="仿宋"/>
          <w:sz w:val="32"/>
          <w:szCs w:val="32"/>
          <w:lang w:eastAsia="zh-CN"/>
        </w:rPr>
        <w:t>安排</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公务用车购置费0万元，比上年增（减）0万元，主要</w:t>
      </w: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sz w:val="32"/>
          <w:szCs w:val="32"/>
        </w:rPr>
      </w:pPr>
      <w:r>
        <w:rPr>
          <w:rFonts w:hint="eastAsia" w:ascii="仿宋" w:hAnsi="仿宋" w:eastAsia="仿宋" w:cs="仿宋"/>
          <w:sz w:val="32"/>
          <w:szCs w:val="32"/>
        </w:rPr>
        <w:t>原因是：无</w:t>
      </w:r>
      <w:r>
        <w:rPr>
          <w:rFonts w:hint="eastAsia" w:ascii="仿宋" w:hAnsi="仿宋" w:eastAsia="仿宋" w:cs="仿宋"/>
          <w:sz w:val="32"/>
          <w:szCs w:val="32"/>
          <w:lang w:eastAsia="zh-CN"/>
        </w:rPr>
        <w:t>安排</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both"/>
        <w:rPr>
          <w:rFonts w:ascii="黑体" w:hAnsi="黑体" w:eastAsia="黑体" w:cs="黑体"/>
          <w:sz w:val="32"/>
          <w:szCs w:val="32"/>
        </w:rPr>
      </w:pPr>
    </w:p>
    <w:p>
      <w:pPr>
        <w:spacing w:line="560" w:lineRule="exact"/>
        <w:rPr>
          <w:rFonts w:ascii="黑体" w:hAnsi="黑体" w:eastAsia="黑体" w:cs="黑体"/>
          <w:sz w:val="32"/>
          <w:szCs w:val="32"/>
        </w:rPr>
      </w:pPr>
    </w:p>
    <w:p>
      <w:pPr>
        <w:pStyle w:val="2"/>
        <w:rPr>
          <w:rFonts w:ascii="黑体" w:hAnsi="黑体" w:eastAsia="黑体" w:cs="黑体"/>
          <w:sz w:val="32"/>
          <w:szCs w:val="32"/>
        </w:rPr>
      </w:pPr>
    </w:p>
    <w:p>
      <w:pPr>
        <w:pStyle w:val="2"/>
        <w:rPr>
          <w:rFonts w:ascii="黑体" w:hAnsi="黑体" w:eastAsia="黑体" w:cs="黑体"/>
          <w:sz w:val="32"/>
          <w:szCs w:val="32"/>
        </w:rPr>
      </w:pPr>
    </w:p>
    <w:p>
      <w:pPr>
        <w:pStyle w:val="2"/>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兴国县乡村振兴局2023年部门预算表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pStyle w:val="2"/>
      </w:pPr>
      <w:r>
        <w:rPr>
          <w:lang w:val="en-US" w:bidi="ar-SA"/>
        </w:rPr>
        <w:drawing>
          <wp:inline distT="0" distB="0" distL="114300" distR="114300">
            <wp:extent cx="5848350" cy="7258685"/>
            <wp:effectExtent l="0" t="0" r="0" b="1841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5848350" cy="725868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numPr>
          <w:ilvl w:val="0"/>
          <w:numId w:val="1"/>
        </w:numPr>
        <w:rPr>
          <w:rFonts w:ascii="仿宋" w:hAnsi="仿宋" w:eastAsia="仿宋" w:cs="仿宋"/>
        </w:rPr>
      </w:pPr>
      <w:r>
        <w:rPr>
          <w:rFonts w:hint="eastAsia" w:ascii="仿宋" w:hAnsi="仿宋" w:eastAsia="仿宋" w:cs="仿宋"/>
        </w:rPr>
        <w:t>《部门收入总表》</w:t>
      </w:r>
    </w:p>
    <w:p>
      <w:pPr>
        <w:pStyle w:val="2"/>
      </w:pPr>
      <w:r>
        <w:rPr>
          <w:lang w:val="en-US" w:bidi="ar-SA"/>
        </w:rPr>
        <w:drawing>
          <wp:inline distT="0" distB="0" distL="114300" distR="114300">
            <wp:extent cx="5605145" cy="4969510"/>
            <wp:effectExtent l="0" t="0" r="14605" b="254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5612654" cy="496951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rPr>
      </w:pPr>
    </w:p>
    <w:p>
      <w:pPr>
        <w:pStyle w:val="2"/>
      </w:pPr>
    </w:p>
    <w:p>
      <w:pPr>
        <w:pStyle w:val="2"/>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《部门支出总表》</w:t>
      </w:r>
    </w:p>
    <w:p>
      <w:pPr>
        <w:pStyle w:val="2"/>
      </w:pPr>
      <w:r>
        <w:rPr>
          <w:lang w:val="en-US" w:bidi="ar-SA"/>
        </w:rPr>
        <w:drawing>
          <wp:inline distT="0" distB="0" distL="114300" distR="114300">
            <wp:extent cx="5753100" cy="3721100"/>
            <wp:effectExtent l="0" t="0" r="0" b="1270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5760750" cy="3721100"/>
                    </a:xfrm>
                    <a:prstGeom prst="rect">
                      <a:avLst/>
                    </a:prstGeom>
                    <a:noFill/>
                    <a:ln>
                      <a:noFill/>
                    </a:ln>
                  </pic:spPr>
                </pic:pic>
              </a:graphicData>
            </a:graphic>
          </wp:inline>
        </w:drawing>
      </w:r>
    </w:p>
    <w:p>
      <w:pPr>
        <w:pStyle w:val="2"/>
        <w:rPr>
          <w:rFonts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《财政拨款收支总表》</w:t>
      </w:r>
    </w:p>
    <w:p>
      <w:pPr>
        <w:pStyle w:val="2"/>
      </w:pPr>
      <w:r>
        <w:rPr>
          <w:lang w:val="en-US" w:bidi="ar-SA"/>
        </w:rPr>
        <w:drawing>
          <wp:inline distT="0" distB="0" distL="114300" distR="114300">
            <wp:extent cx="5567680" cy="5882640"/>
            <wp:effectExtent l="19050" t="0" r="0"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8"/>
                    <a:stretch>
                      <a:fillRect/>
                    </a:stretch>
                  </pic:blipFill>
                  <pic:spPr>
                    <a:xfrm>
                      <a:off x="0" y="0"/>
                      <a:ext cx="5567395" cy="5882361"/>
                    </a:xfrm>
                    <a:prstGeom prst="rect">
                      <a:avLst/>
                    </a:prstGeom>
                    <a:noFill/>
                    <a:ln>
                      <a:noFill/>
                    </a:ln>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《一般公共预算支出表》</w:t>
      </w:r>
    </w:p>
    <w:p>
      <w:pPr>
        <w:pStyle w:val="2"/>
      </w:pPr>
      <w:r>
        <w:rPr>
          <w:lang w:val="en-US" w:bidi="ar-SA"/>
        </w:rPr>
        <w:drawing>
          <wp:inline distT="0" distB="0" distL="114300" distR="114300">
            <wp:extent cx="5589270" cy="4079875"/>
            <wp:effectExtent l="0" t="0" r="11430" b="1587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9"/>
                    <a:stretch>
                      <a:fillRect/>
                    </a:stretch>
                  </pic:blipFill>
                  <pic:spPr>
                    <a:xfrm>
                      <a:off x="0" y="0"/>
                      <a:ext cx="5594221" cy="4079875"/>
                    </a:xfrm>
                    <a:prstGeom prst="rect">
                      <a:avLst/>
                    </a:prstGeom>
                    <a:noFill/>
                    <a:ln>
                      <a:noFill/>
                    </a:ln>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《一般公共预算基本支出表》</w:t>
      </w:r>
    </w:p>
    <w:p>
      <w:pPr>
        <w:pStyle w:val="2"/>
      </w:pPr>
      <w:r>
        <w:rPr>
          <w:lang w:val="en-US" w:bidi="ar-SA"/>
        </w:rPr>
        <w:drawing>
          <wp:inline distT="0" distB="0" distL="114300" distR="114300">
            <wp:extent cx="5638165" cy="4445000"/>
            <wp:effectExtent l="0" t="0" r="635" b="1270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0"/>
                    <a:stretch>
                      <a:fillRect/>
                    </a:stretch>
                  </pic:blipFill>
                  <pic:spPr>
                    <a:xfrm>
                      <a:off x="0" y="0"/>
                      <a:ext cx="5635634" cy="4445000"/>
                    </a:xfrm>
                    <a:prstGeom prst="rect">
                      <a:avLst/>
                    </a:prstGeom>
                    <a:noFill/>
                    <a:ln>
                      <a:noFill/>
                    </a:ln>
                  </pic:spPr>
                </pic:pic>
              </a:graphicData>
            </a:graphic>
          </wp:inline>
        </w:drawing>
      </w: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《一般公共预算“三公”经费支出表》</w:t>
      </w:r>
    </w:p>
    <w:p>
      <w:pPr>
        <w:pStyle w:val="2"/>
      </w:pPr>
      <w:r>
        <w:rPr>
          <w:lang w:val="en-US" w:bidi="ar-SA"/>
        </w:rPr>
        <w:drawing>
          <wp:inline distT="0" distB="0" distL="114300" distR="114300">
            <wp:extent cx="5641975" cy="3242310"/>
            <wp:effectExtent l="0" t="0" r="15875" b="1524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1"/>
                    <a:stretch>
                      <a:fillRect/>
                    </a:stretch>
                  </pic:blipFill>
                  <pic:spPr>
                    <a:xfrm>
                      <a:off x="0" y="0"/>
                      <a:ext cx="5648163" cy="3242310"/>
                    </a:xfrm>
                    <a:prstGeom prst="rect">
                      <a:avLst/>
                    </a:prstGeom>
                    <a:noFill/>
                    <a:ln>
                      <a:noFill/>
                    </a:ln>
                  </pic:spPr>
                </pic:pic>
              </a:graphicData>
            </a:graphic>
          </wp:inline>
        </w:drawing>
      </w: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《政府性基金预算支出表》</w:t>
      </w:r>
    </w:p>
    <w:p>
      <w:pPr>
        <w:pStyle w:val="2"/>
      </w:pPr>
      <w:r>
        <w:rPr>
          <w:lang w:val="en-US" w:bidi="ar-SA"/>
        </w:rPr>
        <w:drawing>
          <wp:inline distT="0" distB="0" distL="114300" distR="114300">
            <wp:extent cx="5541645" cy="991870"/>
            <wp:effectExtent l="0" t="0" r="1905" b="17780"/>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2"/>
                    <a:stretch>
                      <a:fillRect/>
                    </a:stretch>
                  </pic:blipFill>
                  <pic:spPr>
                    <a:xfrm>
                      <a:off x="0" y="0"/>
                      <a:ext cx="5541645" cy="991870"/>
                    </a:xfrm>
                    <a:prstGeom prst="rect">
                      <a:avLst/>
                    </a:prstGeom>
                    <a:noFill/>
                    <a:ln>
                      <a:noFill/>
                    </a:ln>
                  </pic:spPr>
                </pic:pic>
              </a:graphicData>
            </a:graphic>
          </wp:inline>
        </w:drawing>
      </w: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sz w:val="32"/>
          <w:szCs w:val="32"/>
        </w:rPr>
        <w:t>》</w:t>
      </w:r>
    </w:p>
    <w:p>
      <w:pPr>
        <w:pStyle w:val="2"/>
      </w:pPr>
      <w:r>
        <w:drawing>
          <wp:anchor distT="0" distB="0" distL="114300" distR="114300" simplePos="0" relativeHeight="251659264" behindDoc="1" locked="0" layoutInCell="1" allowOverlap="1">
            <wp:simplePos x="0" y="0"/>
            <wp:positionH relativeFrom="column">
              <wp:posOffset>-367665</wp:posOffset>
            </wp:positionH>
            <wp:positionV relativeFrom="paragraph">
              <wp:posOffset>130175</wp:posOffset>
            </wp:positionV>
            <wp:extent cx="6183630" cy="1141730"/>
            <wp:effectExtent l="0" t="0" r="7620" b="127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6183630" cy="1141730"/>
                    </a:xfrm>
                    <a:prstGeom prst="rect">
                      <a:avLst/>
                    </a:prstGeom>
                    <a:noFill/>
                    <a:ln w="9525">
                      <a:noFill/>
                    </a:ln>
                  </pic:spPr>
                </pic:pic>
              </a:graphicData>
            </a:graphic>
          </wp:anchor>
        </w:drawing>
      </w:r>
    </w:p>
    <w:p>
      <w:pPr>
        <w:pStyle w:val="2"/>
        <w:rPr>
          <w:rFonts w:eastAsia="仿宋"/>
        </w:rPr>
      </w:pPr>
    </w:p>
    <w:p>
      <w:pPr>
        <w:pStyle w:val="2"/>
        <w:rPr>
          <w:rFonts w:eastAsia="仿宋"/>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《部门整体支出绩效目标表》</w:t>
      </w:r>
    </w:p>
    <w:p>
      <w:pPr>
        <w:pStyle w:val="2"/>
        <w:rPr>
          <w:rFonts w:eastAsia="仿宋"/>
        </w:rPr>
      </w:pPr>
    </w:p>
    <w:p>
      <w:pPr>
        <w:pStyle w:val="2"/>
        <w:rPr>
          <w:rFonts w:eastAsia="仿宋"/>
        </w:rPr>
      </w:pPr>
      <w:r>
        <w:rPr>
          <w:lang w:val="en-US" w:bidi="ar-SA"/>
        </w:rPr>
        <w:drawing>
          <wp:inline distT="0" distB="0" distL="114300" distR="114300">
            <wp:extent cx="5543550" cy="5718175"/>
            <wp:effectExtent l="0" t="0" r="0" b="15875"/>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14"/>
                    <a:stretch>
                      <a:fillRect/>
                    </a:stretch>
                  </pic:blipFill>
                  <pic:spPr>
                    <a:xfrm>
                      <a:off x="0" y="0"/>
                      <a:ext cx="5543550" cy="5718175"/>
                    </a:xfrm>
                    <a:prstGeom prst="rect">
                      <a:avLst/>
                    </a:prstGeom>
                    <a:noFill/>
                    <a:ln>
                      <a:noFill/>
                    </a:ln>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numPr>
          <w:ilvl w:val="0"/>
          <w:numId w:val="0"/>
        </w:numPr>
        <w:spacing w:line="560" w:lineRule="exact"/>
        <w:rPr>
          <w:rFonts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2"/>
      </w:pPr>
      <w:r>
        <w:rPr>
          <w:lang w:val="en-US" w:bidi="ar-SA"/>
        </w:rPr>
        <w:drawing>
          <wp:inline distT="0" distB="0" distL="114300" distR="114300">
            <wp:extent cx="5542915" cy="7638415"/>
            <wp:effectExtent l="0" t="0" r="635" b="635"/>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15"/>
                    <a:stretch>
                      <a:fillRect/>
                    </a:stretch>
                  </pic:blipFill>
                  <pic:spPr>
                    <a:xfrm>
                      <a:off x="0" y="0"/>
                      <a:ext cx="5542915" cy="7638415"/>
                    </a:xfrm>
                    <a:prstGeom prst="rect">
                      <a:avLst/>
                    </a:prstGeom>
                    <a:noFill/>
                    <a:ln>
                      <a:noFill/>
                    </a:ln>
                  </pic:spPr>
                </pic:pic>
              </a:graphicData>
            </a:graphic>
          </wp:inline>
        </w:drawing>
      </w:r>
    </w:p>
    <w:p>
      <w:pPr>
        <w:spacing w:line="560" w:lineRule="exact"/>
        <w:jc w:val="both"/>
        <w:rPr>
          <w:rFonts w:hint="eastAsia"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sz w:val="32"/>
          <w:szCs w:val="32"/>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C591BF-2F01-4325-9272-27E420190FB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E0FDE171-F30C-47DF-8787-2240EA5308AD}"/>
  </w:font>
  <w:font w:name="仿宋_GB2312">
    <w:altName w:val="仿宋"/>
    <w:panose1 w:val="02010609030101010101"/>
    <w:charset w:val="86"/>
    <w:family w:val="modern"/>
    <w:pitch w:val="default"/>
    <w:sig w:usb0="00000000" w:usb1="00000000" w:usb2="00000000" w:usb3="00000000" w:csb0="00040000" w:csb1="00000000"/>
    <w:embedRegular r:id="rId3" w:fontKey="{7131406B-4C43-4941-9193-1A366A77CE63}"/>
  </w:font>
  <w:font w:name="方正小标宋简体">
    <w:panose1 w:val="02000000000000000000"/>
    <w:charset w:val="86"/>
    <w:family w:val="auto"/>
    <w:pitch w:val="default"/>
    <w:sig w:usb0="00000001" w:usb1="08000000" w:usb2="00000000" w:usb3="00000000" w:csb0="00040000" w:csb1="00000000"/>
    <w:embedRegular r:id="rId4" w:fontKey="{39BF7FFB-9760-406C-820F-9741602ED64B}"/>
  </w:font>
  <w:font w:name="仿宋">
    <w:panose1 w:val="02010609060101010101"/>
    <w:charset w:val="86"/>
    <w:family w:val="modern"/>
    <w:pitch w:val="default"/>
    <w:sig w:usb0="800002BF" w:usb1="38CF7CFA" w:usb2="00000016" w:usb3="00000000" w:csb0="00040001" w:csb1="00000000"/>
    <w:embedRegular r:id="rId5" w:fontKey="{6A8A6CCB-59B9-463A-896B-7705F5783663}"/>
  </w:font>
  <w:font w:name="楷体">
    <w:panose1 w:val="02010609060101010101"/>
    <w:charset w:val="86"/>
    <w:family w:val="modern"/>
    <w:pitch w:val="default"/>
    <w:sig w:usb0="800002BF" w:usb1="38CF7CFA" w:usb2="00000016" w:usb3="00000000" w:csb0="00040001" w:csb1="00000000"/>
    <w:embedRegular r:id="rId6" w:fontKey="{595CC596-179E-45BB-B6E2-A6730CADC2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pPr>
                  <w:pStyle w:val="4"/>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mUxM2RmNGFhYmMzMGE2NTQ3MWFlYjQzZmZlMTkyZjkifQ=="/>
  </w:docVars>
  <w:rsids>
    <w:rsidRoot w:val="445E02C8"/>
    <w:rsid w:val="001C74C1"/>
    <w:rsid w:val="003B788B"/>
    <w:rsid w:val="003C29C9"/>
    <w:rsid w:val="004218AC"/>
    <w:rsid w:val="00477F3A"/>
    <w:rsid w:val="004D1CB0"/>
    <w:rsid w:val="00564165"/>
    <w:rsid w:val="00BE3532"/>
    <w:rsid w:val="00F63C8F"/>
    <w:rsid w:val="011C3C4A"/>
    <w:rsid w:val="02337D11"/>
    <w:rsid w:val="04EE7A30"/>
    <w:rsid w:val="056F72B2"/>
    <w:rsid w:val="06335C0D"/>
    <w:rsid w:val="068F4938"/>
    <w:rsid w:val="092100FC"/>
    <w:rsid w:val="0A1977EC"/>
    <w:rsid w:val="0A963A7D"/>
    <w:rsid w:val="0B5F1CE5"/>
    <w:rsid w:val="0BF55336"/>
    <w:rsid w:val="0C4A582F"/>
    <w:rsid w:val="0CC70236"/>
    <w:rsid w:val="0CE86392"/>
    <w:rsid w:val="0DAA2777"/>
    <w:rsid w:val="0EC92B9A"/>
    <w:rsid w:val="0FE354B8"/>
    <w:rsid w:val="123D05FD"/>
    <w:rsid w:val="12D1629D"/>
    <w:rsid w:val="13546E6F"/>
    <w:rsid w:val="165D480E"/>
    <w:rsid w:val="16EA49EA"/>
    <w:rsid w:val="17A77C97"/>
    <w:rsid w:val="189E5A91"/>
    <w:rsid w:val="18A63807"/>
    <w:rsid w:val="18EF2A4A"/>
    <w:rsid w:val="1921046B"/>
    <w:rsid w:val="198565DC"/>
    <w:rsid w:val="1B154000"/>
    <w:rsid w:val="1CDF4824"/>
    <w:rsid w:val="1CF74B10"/>
    <w:rsid w:val="1F71690D"/>
    <w:rsid w:val="1FF22B62"/>
    <w:rsid w:val="21787096"/>
    <w:rsid w:val="218553D9"/>
    <w:rsid w:val="25B015CA"/>
    <w:rsid w:val="26AD77E2"/>
    <w:rsid w:val="27233601"/>
    <w:rsid w:val="27F654BA"/>
    <w:rsid w:val="28863294"/>
    <w:rsid w:val="28BC4C6B"/>
    <w:rsid w:val="28D43B14"/>
    <w:rsid w:val="2A832D34"/>
    <w:rsid w:val="2C375E76"/>
    <w:rsid w:val="2CFD0062"/>
    <w:rsid w:val="2D0436A7"/>
    <w:rsid w:val="2DD41AF8"/>
    <w:rsid w:val="2DF96664"/>
    <w:rsid w:val="2F1C3757"/>
    <w:rsid w:val="2F7B047E"/>
    <w:rsid w:val="30605B35"/>
    <w:rsid w:val="312042C9"/>
    <w:rsid w:val="322E7A29"/>
    <w:rsid w:val="326D79FF"/>
    <w:rsid w:val="32922615"/>
    <w:rsid w:val="355E774D"/>
    <w:rsid w:val="37F92805"/>
    <w:rsid w:val="393873DF"/>
    <w:rsid w:val="3A4013F4"/>
    <w:rsid w:val="3A4904EF"/>
    <w:rsid w:val="3AB24F6F"/>
    <w:rsid w:val="3C4D7395"/>
    <w:rsid w:val="3D075A70"/>
    <w:rsid w:val="3D1902A5"/>
    <w:rsid w:val="3E416D36"/>
    <w:rsid w:val="3EA323C2"/>
    <w:rsid w:val="3F5F2902"/>
    <w:rsid w:val="3F992927"/>
    <w:rsid w:val="3FFE2FA6"/>
    <w:rsid w:val="421F028A"/>
    <w:rsid w:val="426D634C"/>
    <w:rsid w:val="42F61457"/>
    <w:rsid w:val="445E02C8"/>
    <w:rsid w:val="44C70C50"/>
    <w:rsid w:val="44E45235"/>
    <w:rsid w:val="45C75D73"/>
    <w:rsid w:val="45E619CA"/>
    <w:rsid w:val="47525B10"/>
    <w:rsid w:val="48C902DE"/>
    <w:rsid w:val="492560A0"/>
    <w:rsid w:val="493E3711"/>
    <w:rsid w:val="4A6F0787"/>
    <w:rsid w:val="4D0A4683"/>
    <w:rsid w:val="4DDA6CEC"/>
    <w:rsid w:val="4ECB579D"/>
    <w:rsid w:val="4FA15887"/>
    <w:rsid w:val="502F4C40"/>
    <w:rsid w:val="532A5B93"/>
    <w:rsid w:val="53D53D51"/>
    <w:rsid w:val="546F5B4E"/>
    <w:rsid w:val="554F08FC"/>
    <w:rsid w:val="558C48E3"/>
    <w:rsid w:val="55A439DB"/>
    <w:rsid w:val="58540B6C"/>
    <w:rsid w:val="5A206C99"/>
    <w:rsid w:val="5B7F290B"/>
    <w:rsid w:val="603C0DF6"/>
    <w:rsid w:val="61065BD7"/>
    <w:rsid w:val="61734700"/>
    <w:rsid w:val="62FC765F"/>
    <w:rsid w:val="633C256B"/>
    <w:rsid w:val="63786B90"/>
    <w:rsid w:val="638210D3"/>
    <w:rsid w:val="663C1A0D"/>
    <w:rsid w:val="66DA0060"/>
    <w:rsid w:val="674D2988"/>
    <w:rsid w:val="67F26828"/>
    <w:rsid w:val="68577F92"/>
    <w:rsid w:val="691B0000"/>
    <w:rsid w:val="69BF392A"/>
    <w:rsid w:val="69E075ED"/>
    <w:rsid w:val="6AAD2EDA"/>
    <w:rsid w:val="6ACB6A82"/>
    <w:rsid w:val="6B8C67FD"/>
    <w:rsid w:val="6C805E8C"/>
    <w:rsid w:val="6E7F325A"/>
    <w:rsid w:val="700417EE"/>
    <w:rsid w:val="701B2694"/>
    <w:rsid w:val="71724DA6"/>
    <w:rsid w:val="72682CFD"/>
    <w:rsid w:val="742239A8"/>
    <w:rsid w:val="756572F6"/>
    <w:rsid w:val="76C9109B"/>
    <w:rsid w:val="77BA6C36"/>
    <w:rsid w:val="788D1AF6"/>
    <w:rsid w:val="7A455DD8"/>
    <w:rsid w:val="7AC55DCB"/>
    <w:rsid w:val="7B6A62A6"/>
    <w:rsid w:val="7CA44F76"/>
    <w:rsid w:val="7F3A4D70"/>
    <w:rsid w:val="7F7469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7"/>
    <w:qFormat/>
    <w:uiPriority w:val="0"/>
    <w:rPr>
      <w:sz w:val="18"/>
      <w:szCs w:val="18"/>
    </w:rPr>
  </w:style>
  <w:style w:type="paragraph" w:styleId="4">
    <w:name w:val="footer"/>
    <w:basedOn w:val="1"/>
    <w:unhideWhenUsed/>
    <w:qFormat/>
    <w:uiPriority w:val="0"/>
    <w:pPr>
      <w:tabs>
        <w:tab w:val="center" w:pos="4153"/>
        <w:tab w:val="right" w:pos="8306"/>
      </w:tabs>
      <w:snapToGrid w:val="0"/>
      <w:jc w:val="left"/>
    </w:pPr>
    <w:rPr>
      <w:sz w:val="18"/>
      <w:szCs w:val="18"/>
    </w:rPr>
  </w:style>
  <w:style w:type="character" w:customStyle="1" w:styleId="7">
    <w:name w:val="批注框文本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emf"/><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Win7w.Com</Company>
  <Pages>17</Pages>
  <Words>2994</Words>
  <Characters>3316</Characters>
  <Lines>8</Lines>
  <Paragraphs>7</Paragraphs>
  <TotalTime>4</TotalTime>
  <ScaleCrop>false</ScaleCrop>
  <LinksUpToDate>false</LinksUpToDate>
  <CharactersWithSpaces>3337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2024-06-18T02:55:41Z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BA2713DCE84B4582893C4370940220BA</vt:lpwstr>
  </property>
</Properties>
</file>