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38B" w:rsidRDefault="00CE2F28">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bCs/>
          <w:color w:val="000000"/>
          <w:sz w:val="44"/>
          <w:szCs w:val="44"/>
        </w:rPr>
        <w:t xml:space="preserve"> </w:t>
      </w:r>
      <w:r>
        <w:rPr>
          <w:rFonts w:ascii="方正小标宋简体" w:eastAsia="方正小标宋简体" w:hAnsi="方正小标宋简体" w:cs="方正小标宋简体"/>
          <w:bCs/>
          <w:color w:val="FF0000"/>
          <w:sz w:val="44"/>
          <w:szCs w:val="44"/>
        </w:rPr>
        <w:t xml:space="preserve"> </w:t>
      </w:r>
      <w:r>
        <w:rPr>
          <w:rFonts w:ascii="方正小标宋简体" w:eastAsia="方正小标宋简体" w:hAnsi="方正小标宋简体" w:cs="方正小标宋简体" w:hint="eastAsia"/>
          <w:bCs/>
          <w:sz w:val="44"/>
          <w:szCs w:val="44"/>
        </w:rPr>
        <w:t>兴国县司法局</w:t>
      </w:r>
      <w:r>
        <w:rPr>
          <w:rFonts w:ascii="方正小标宋简体" w:eastAsia="方正小标宋简体" w:hAnsi="方正小标宋简体" w:cs="方正小标宋简体"/>
          <w:bCs/>
          <w:color w:val="000000"/>
          <w:sz w:val="44"/>
          <w:szCs w:val="44"/>
        </w:rPr>
        <w:t>2023</w:t>
      </w:r>
      <w:r>
        <w:rPr>
          <w:rFonts w:ascii="方正小标宋简体" w:eastAsia="方正小标宋简体" w:hAnsi="方正小标宋简体" w:cs="方正小标宋简体" w:hint="eastAsia"/>
          <w:bCs/>
          <w:color w:val="000000"/>
          <w:sz w:val="44"/>
          <w:szCs w:val="44"/>
        </w:rPr>
        <w:t>年部门预算</w:t>
      </w:r>
    </w:p>
    <w:p w:rsidR="00B9538B" w:rsidRDefault="00CE2F28">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编制说明</w:t>
      </w:r>
    </w:p>
    <w:p w:rsidR="00B9538B" w:rsidRDefault="00B9538B">
      <w:pPr>
        <w:spacing w:line="560" w:lineRule="exact"/>
        <w:jc w:val="center"/>
        <w:rPr>
          <w:rFonts w:ascii="黑体" w:eastAsia="黑体" w:hAnsi="黑体" w:cs="黑体"/>
          <w:sz w:val="36"/>
          <w:szCs w:val="36"/>
        </w:rPr>
      </w:pPr>
    </w:p>
    <w:p w:rsidR="00B9538B" w:rsidRDefault="00CE2F28">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sz w:val="32"/>
          <w:szCs w:val="32"/>
        </w:rPr>
        <w:t xml:space="preserve">  </w:t>
      </w:r>
      <w:r>
        <w:rPr>
          <w:rFonts w:ascii="黑体" w:eastAsia="黑体" w:hAnsi="黑体" w:cs="黑体" w:hint="eastAsia"/>
          <w:sz w:val="32"/>
          <w:szCs w:val="32"/>
        </w:rPr>
        <w:t>录</w:t>
      </w:r>
    </w:p>
    <w:p w:rsidR="00B9538B" w:rsidRDefault="00B9538B">
      <w:pPr>
        <w:spacing w:line="560" w:lineRule="exact"/>
        <w:jc w:val="center"/>
        <w:rPr>
          <w:rFonts w:ascii="黑体" w:eastAsia="黑体" w:hAnsi="黑体" w:cs="黑体"/>
          <w:sz w:val="32"/>
          <w:szCs w:val="32"/>
        </w:rPr>
      </w:pPr>
    </w:p>
    <w:p w:rsidR="00B9538B" w:rsidRDefault="00CE2F28">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兴国县司法局部门概况</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一、部门主要职责</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二、部门基本情况</w:t>
      </w:r>
    </w:p>
    <w:p w:rsidR="00B9538B" w:rsidRDefault="00CE2F28">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兴国县司法局部门预算情况说明</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sz w:val="32"/>
          <w:szCs w:val="32"/>
        </w:rPr>
        <w:t>2023</w:t>
      </w:r>
      <w:r>
        <w:rPr>
          <w:rFonts w:ascii="仿宋" w:eastAsia="仿宋" w:hAnsi="仿宋" w:cs="仿宋" w:hint="eastAsia"/>
          <w:sz w:val="32"/>
          <w:szCs w:val="32"/>
        </w:rPr>
        <w:t>年部门预算收支情况说明</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2023</w:t>
      </w:r>
      <w:r>
        <w:rPr>
          <w:rFonts w:ascii="仿宋" w:eastAsia="仿宋" w:hAnsi="仿宋" w:cs="仿宋" w:hint="eastAsia"/>
          <w:sz w:val="32"/>
          <w:szCs w:val="32"/>
        </w:rPr>
        <w:t>年“三公”经费预算情况说明</w:t>
      </w:r>
    </w:p>
    <w:p w:rsidR="00B9538B" w:rsidRDefault="00CE2F28">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兴国县司法局部门预算表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B9538B" w:rsidRDefault="00CE2F28">
      <w:pPr>
        <w:spacing w:line="560" w:lineRule="exact"/>
        <w:ind w:leftChars="284" w:left="634" w:hangingChars="12" w:hanging="38"/>
      </w:pPr>
      <w:r>
        <w:rPr>
          <w:rFonts w:ascii="仿宋" w:eastAsia="仿宋" w:hAnsi="仿宋" w:cs="仿宋" w:hint="eastAsia"/>
          <w:sz w:val="32"/>
          <w:szCs w:val="32"/>
        </w:rPr>
        <w:t>九、《国有资本经营预算支出表》</w:t>
      </w:r>
    </w:p>
    <w:p w:rsidR="00B9538B" w:rsidRDefault="00CE2F28">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十、《部门整体支出绩效目标表》</w:t>
      </w:r>
    </w:p>
    <w:p w:rsidR="00B9538B" w:rsidRDefault="00CE2F28" w:rsidP="00EB6458">
      <w:pPr>
        <w:spacing w:line="560" w:lineRule="exact"/>
        <w:ind w:leftChars="5" w:left="10" w:firstLineChars="194" w:firstLine="621"/>
        <w:rPr>
          <w:rFonts w:ascii="仿宋" w:eastAsia="仿宋" w:hAnsi="仿宋" w:cs="仿宋"/>
          <w:sz w:val="32"/>
          <w:szCs w:val="32"/>
        </w:rPr>
      </w:pPr>
      <w:r>
        <w:rPr>
          <w:rFonts w:ascii="仿宋" w:eastAsia="仿宋" w:hAnsi="仿宋" w:cs="仿宋" w:hint="eastAsia"/>
          <w:sz w:val="32"/>
          <w:szCs w:val="32"/>
        </w:rPr>
        <w:t>十一、《项目支出绩效目标表》</w:t>
      </w:r>
    </w:p>
    <w:p w:rsidR="00B9538B" w:rsidRDefault="00CE2F28">
      <w:pPr>
        <w:spacing w:line="560" w:lineRule="exact"/>
        <w:ind w:leftChars="5" w:left="10" w:firstLineChars="194" w:firstLine="623"/>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b/>
          <w:bCs/>
          <w:sz w:val="32"/>
          <w:szCs w:val="32"/>
        </w:rPr>
        <w:t xml:space="preserve"> </w:t>
      </w:r>
      <w:r>
        <w:rPr>
          <w:rFonts w:ascii="仿宋" w:eastAsia="仿宋" w:hAnsi="仿宋" w:cs="仿宋" w:hint="eastAsia"/>
          <w:b/>
          <w:bCs/>
          <w:sz w:val="32"/>
          <w:szCs w:val="32"/>
        </w:rPr>
        <w:t>名词解释</w:t>
      </w:r>
    </w:p>
    <w:p w:rsidR="00B9538B" w:rsidRDefault="00B9538B">
      <w:pPr>
        <w:spacing w:line="560" w:lineRule="exact"/>
        <w:jc w:val="center"/>
        <w:rPr>
          <w:rFonts w:ascii="仿宋" w:eastAsia="仿宋" w:hAnsi="仿宋" w:cs="仿宋"/>
          <w:b/>
          <w:bCs/>
          <w:sz w:val="32"/>
          <w:szCs w:val="32"/>
        </w:rPr>
      </w:pPr>
    </w:p>
    <w:p w:rsidR="00B9538B" w:rsidRDefault="00CE2F28">
      <w:pPr>
        <w:spacing w:line="560" w:lineRule="exact"/>
        <w:jc w:val="center"/>
        <w:rPr>
          <w:rFonts w:ascii="仿宋" w:eastAsia="仿宋" w:hAnsi="仿宋" w:cs="仿宋"/>
          <w:b/>
          <w:bCs/>
          <w:sz w:val="32"/>
          <w:szCs w:val="32"/>
        </w:rPr>
      </w:pPr>
      <w:r>
        <w:rPr>
          <w:rFonts w:ascii="黑体" w:eastAsia="黑体" w:hAnsi="黑体" w:cs="黑体" w:hint="eastAsia"/>
          <w:sz w:val="32"/>
          <w:szCs w:val="32"/>
        </w:rPr>
        <w:t>第一部分</w:t>
      </w:r>
      <w:r>
        <w:rPr>
          <w:rFonts w:ascii="黑体" w:eastAsia="黑体" w:hAnsi="黑体" w:cs="黑体"/>
          <w:sz w:val="32"/>
          <w:szCs w:val="32"/>
        </w:rPr>
        <w:t xml:space="preserve"> </w:t>
      </w:r>
      <w:r>
        <w:rPr>
          <w:rFonts w:ascii="黑体" w:eastAsia="黑体" w:hAnsi="黑体" w:cs="黑体" w:hint="eastAsia"/>
          <w:sz w:val="32"/>
          <w:szCs w:val="32"/>
        </w:rPr>
        <w:t>兴国县司法局部门概况</w:t>
      </w:r>
    </w:p>
    <w:p w:rsidR="00B9538B" w:rsidRDefault="00CE2F28">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一、部门主要职责</w:t>
      </w:r>
    </w:p>
    <w:p w:rsidR="00B9538B" w:rsidRDefault="00CE2F28">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司法局是主管全县司法行政工作的县政府组成部门（直属机构），主要职责是：</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仿宋"/>
          <w:color w:val="000000"/>
          <w:sz w:val="32"/>
          <w:szCs w:val="32"/>
        </w:rPr>
        <w:t>1</w:t>
      </w:r>
      <w:r>
        <w:rPr>
          <w:rFonts w:ascii="仿宋" w:eastAsia="仿宋" w:hAnsi="仿宋" w:cs="仿宋" w:hint="eastAsia"/>
          <w:color w:val="000000"/>
          <w:sz w:val="32"/>
          <w:szCs w:val="32"/>
        </w:rPr>
        <w:t>、</w:t>
      </w:r>
      <w:r>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2</w:t>
      </w:r>
      <w:r>
        <w:rPr>
          <w:rFonts w:ascii="仿宋" w:eastAsia="仿宋" w:hAnsi="仿宋" w:cs="楷体_GB2312" w:hint="eastAsia"/>
          <w:sz w:val="32"/>
          <w:szCs w:val="32"/>
        </w:rPr>
        <w:t>、</w:t>
      </w:r>
      <w:r>
        <w:rPr>
          <w:rFonts w:ascii="仿宋" w:eastAsia="仿宋" w:hAnsi="仿宋" w:cs="仿宋_GB2312" w:hint="eastAsia"/>
          <w:sz w:val="32"/>
          <w:szCs w:val="32"/>
        </w:rPr>
        <w:t>承担县政府规范性文件和县政府各部门规范性文件备案审查工作。</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3</w:t>
      </w:r>
      <w:r>
        <w:rPr>
          <w:rFonts w:ascii="仿宋" w:eastAsia="仿宋" w:hAnsi="仿宋" w:cs="楷体_GB2312" w:hint="eastAsia"/>
          <w:sz w:val="32"/>
          <w:szCs w:val="32"/>
        </w:rPr>
        <w:t>、</w:t>
      </w:r>
      <w:r>
        <w:rPr>
          <w:rFonts w:ascii="仿宋" w:eastAsia="仿宋" w:hAnsi="仿宋" w:cs="仿宋_GB2312" w:hint="eastAsia"/>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4</w:t>
      </w:r>
      <w:r>
        <w:rPr>
          <w:rFonts w:ascii="仿宋" w:eastAsia="仿宋" w:hAnsi="仿宋" w:cs="楷体_GB2312" w:hint="eastAsia"/>
          <w:sz w:val="32"/>
          <w:szCs w:val="32"/>
        </w:rPr>
        <w:t>、</w:t>
      </w:r>
      <w:r>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5</w:t>
      </w:r>
      <w:r>
        <w:rPr>
          <w:rFonts w:ascii="仿宋" w:eastAsia="仿宋" w:hAnsi="仿宋" w:cs="楷体_GB2312" w:hint="eastAsia"/>
          <w:sz w:val="32"/>
          <w:szCs w:val="32"/>
        </w:rPr>
        <w:t>、</w:t>
      </w:r>
      <w:r>
        <w:rPr>
          <w:rFonts w:ascii="仿宋" w:eastAsia="仿宋" w:hAnsi="仿宋" w:cs="仿宋_GB2312" w:hint="eastAsia"/>
          <w:sz w:val="32"/>
          <w:szCs w:val="32"/>
        </w:rPr>
        <w:t>指导、管理社区矫正工作。指导刑满释放人员帮教安置工作。</w:t>
      </w:r>
    </w:p>
    <w:p w:rsidR="00B9538B" w:rsidRDefault="00CE2F28">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6</w:t>
      </w:r>
      <w:r>
        <w:rPr>
          <w:rFonts w:ascii="仿宋" w:eastAsia="仿宋" w:hAnsi="仿宋" w:cs="楷体_GB2312" w:hint="eastAsia"/>
          <w:sz w:val="32"/>
          <w:szCs w:val="32"/>
        </w:rPr>
        <w:t>、</w:t>
      </w:r>
      <w:r>
        <w:rPr>
          <w:rFonts w:ascii="仿宋" w:eastAsia="仿宋" w:hAnsi="仿宋" w:cs="仿宋_GB2312" w:hint="eastAsia"/>
          <w:sz w:val="32"/>
          <w:szCs w:val="32"/>
        </w:rPr>
        <w:t>负责拟订公共法律服务体系建设规划并指导实施，</w:t>
      </w:r>
      <w:r>
        <w:rPr>
          <w:rFonts w:ascii="仿宋" w:eastAsia="仿宋" w:hAnsi="仿宋" w:cs="仿宋_GB2312" w:hint="eastAsia"/>
          <w:sz w:val="32"/>
          <w:szCs w:val="32"/>
        </w:rPr>
        <w:lastRenderedPageBreak/>
        <w:t>统筹和布局基层法律服务资源。指导、监督律师、法律援助、司法鉴定、公证和基层法律服务管理工作。管理、指导全县医患纠纷调处工作。组织开展法治对外合作交流。</w:t>
      </w:r>
    </w:p>
    <w:p w:rsidR="00B9538B" w:rsidRDefault="00CE2F28">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7</w:t>
      </w:r>
      <w:r>
        <w:rPr>
          <w:rFonts w:ascii="仿宋" w:eastAsia="仿宋" w:hAnsi="仿宋" w:cs="楷体_GB2312" w:hint="eastAsia"/>
          <w:sz w:val="32"/>
          <w:szCs w:val="32"/>
        </w:rPr>
        <w:t>、</w:t>
      </w:r>
      <w:r>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B9538B" w:rsidRDefault="00CE2F28">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8</w:t>
      </w:r>
      <w:r>
        <w:rPr>
          <w:rFonts w:ascii="仿宋" w:eastAsia="仿宋" w:hAnsi="仿宋" w:cs="楷体_GB2312" w:hint="eastAsia"/>
          <w:sz w:val="32"/>
          <w:szCs w:val="32"/>
        </w:rPr>
        <w:t>、</w:t>
      </w:r>
      <w:r>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B9538B" w:rsidRDefault="00CE2F28">
      <w:pPr>
        <w:spacing w:line="540" w:lineRule="exact"/>
        <w:ind w:firstLineChars="200" w:firstLine="640"/>
        <w:rPr>
          <w:rFonts w:ascii="仿宋" w:eastAsia="仿宋" w:hAnsi="仿宋"/>
          <w:sz w:val="32"/>
          <w:szCs w:val="32"/>
        </w:rPr>
      </w:pPr>
      <w:r>
        <w:rPr>
          <w:rFonts w:ascii="仿宋" w:eastAsia="仿宋" w:hAnsi="仿宋" w:cs="楷体_GB2312"/>
          <w:sz w:val="32"/>
          <w:szCs w:val="32"/>
        </w:rPr>
        <w:t>9</w:t>
      </w:r>
      <w:r>
        <w:rPr>
          <w:rFonts w:ascii="仿宋" w:eastAsia="仿宋" w:hAnsi="仿宋" w:cs="楷体_GB2312" w:hint="eastAsia"/>
          <w:sz w:val="32"/>
          <w:szCs w:val="32"/>
        </w:rPr>
        <w:t>、</w:t>
      </w:r>
      <w:r>
        <w:rPr>
          <w:rFonts w:ascii="仿宋" w:eastAsia="仿宋" w:hAnsi="仿宋" w:cs="仿宋_GB2312" w:hint="eastAsia"/>
          <w:sz w:val="32"/>
          <w:szCs w:val="32"/>
        </w:rPr>
        <w:t>完成县委、县政府和县委依法治县委员会交办的其它工作任务。</w:t>
      </w:r>
    </w:p>
    <w:p w:rsidR="00B9538B" w:rsidRDefault="00CE2F28">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二、部门基本情况</w:t>
      </w:r>
    </w:p>
    <w:p w:rsidR="00B9538B" w:rsidRDefault="00CE2F28">
      <w:pPr>
        <w:spacing w:line="540" w:lineRule="exact"/>
        <w:ind w:firstLineChars="200" w:firstLine="640"/>
        <w:rPr>
          <w:rFonts w:ascii="仿宋" w:eastAsia="仿宋" w:hAnsi="仿宋" w:cs="仿宋_GB2312"/>
          <w:sz w:val="32"/>
          <w:szCs w:val="32"/>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hint="eastAsia"/>
          <w:sz w:val="32"/>
          <w:szCs w:val="32"/>
        </w:rPr>
        <w:t>兴国县司法局共有预算单位</w:t>
      </w:r>
      <w:r>
        <w:rPr>
          <w:rFonts w:ascii="仿宋" w:eastAsia="仿宋" w:hAnsi="仿宋"/>
          <w:kern w:val="0"/>
          <w:sz w:val="32"/>
          <w:szCs w:val="32"/>
        </w:rPr>
        <w:t>1</w:t>
      </w:r>
      <w:r>
        <w:rPr>
          <w:rFonts w:ascii="仿宋" w:eastAsia="仿宋" w:hAnsi="仿宋" w:hint="eastAsia"/>
          <w:sz w:val="32"/>
          <w:szCs w:val="32"/>
        </w:rPr>
        <w:t>个，包括：兴国县司法局、兴国县行政复议中心、江西省兴国县公证处。</w:t>
      </w:r>
    </w:p>
    <w:p w:rsidR="00B9538B" w:rsidRDefault="004F4F70">
      <w:pPr>
        <w:spacing w:line="560" w:lineRule="exact"/>
        <w:ind w:firstLineChars="200" w:firstLine="640"/>
        <w:rPr>
          <w:rFonts w:ascii="仿宋" w:eastAsia="仿宋" w:hAnsi="仿宋" w:cs="仿宋"/>
          <w:color w:val="FF0000"/>
          <w:sz w:val="24"/>
          <w:szCs w:val="24"/>
        </w:rPr>
      </w:pP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${page400644146.ds532982397_REP_JX_BAS_AGENCY_INFO_ZYFRS_S_BZRSXJ}</w:instrText>
      </w:r>
      <w:r>
        <w:rPr>
          <w:rFonts w:ascii="仿宋" w:eastAsia="仿宋" w:hAnsi="仿宋"/>
          <w:sz w:val="32"/>
          <w:szCs w:val="32"/>
        </w:rPr>
        <w:fldChar w:fldCharType="separate"/>
      </w:r>
      <w:r w:rsidR="00CE2F28">
        <w:rPr>
          <w:rFonts w:ascii="仿宋" w:eastAsia="仿宋" w:hAnsi="仿宋" w:hint="eastAsia"/>
          <w:sz w:val="32"/>
          <w:szCs w:val="32"/>
        </w:rPr>
        <w:t>编制人数小计</w:t>
      </w:r>
      <w:r w:rsidR="00CE2F28">
        <w:rPr>
          <w:rFonts w:ascii="仿宋" w:eastAsia="仿宋" w:hAnsi="仿宋"/>
          <w:kern w:val="0"/>
          <w:sz w:val="32"/>
          <w:szCs w:val="32"/>
        </w:rPr>
        <w:t>7</w:t>
      </w:r>
      <w:r w:rsidR="00CE2F28">
        <w:rPr>
          <w:rFonts w:ascii="仿宋" w:eastAsia="仿宋" w:hAnsi="仿宋" w:hint="eastAsia"/>
          <w:kern w:val="0"/>
          <w:sz w:val="32"/>
          <w:szCs w:val="32"/>
        </w:rPr>
        <w:t>2</w:t>
      </w:r>
      <w:r w:rsidR="00CE2F28">
        <w:rPr>
          <w:rFonts w:ascii="仿宋" w:eastAsia="仿宋" w:hAnsi="仿宋" w:hint="eastAsia"/>
          <w:sz w:val="32"/>
          <w:szCs w:val="32"/>
        </w:rPr>
        <w:t>人</w:t>
      </w:r>
      <w:r w:rsidR="00CE2F28">
        <w:rPr>
          <w:rFonts w:ascii="仿宋" w:eastAsia="仿宋" w:hAnsi="仿宋"/>
          <w:sz w:val="32"/>
          <w:szCs w:val="32"/>
        </w:rPr>
        <w:t>,</w:t>
      </w:r>
      <w:r>
        <w:rPr>
          <w:rFonts w:ascii="仿宋" w:eastAsia="仿宋" w:hAnsi="仿宋"/>
          <w:sz w:val="32"/>
          <w:szCs w:val="32"/>
        </w:rPr>
        <w:fldChar w:fldCharType="end"/>
      </w:r>
      <w:r w:rsidR="00CE2F28">
        <w:rPr>
          <w:rFonts w:ascii="仿宋" w:eastAsia="仿宋" w:hAnsi="仿宋" w:hint="eastAsia"/>
          <w:sz w:val="32"/>
          <w:szCs w:val="32"/>
        </w:rPr>
        <w:t>其中：</w:t>
      </w: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${page400644146.ds532982397_REP_JX_BAS_AGENCY_INFO_ZYFRS_S_BZRSMX}</w:instrText>
      </w:r>
      <w:r>
        <w:rPr>
          <w:rFonts w:ascii="仿宋" w:eastAsia="仿宋" w:hAnsi="仿宋"/>
          <w:sz w:val="32"/>
          <w:szCs w:val="32"/>
        </w:rPr>
        <w:fldChar w:fldCharType="separate"/>
      </w:r>
      <w:r w:rsidR="00CE2F28">
        <w:rPr>
          <w:rFonts w:ascii="仿宋" w:eastAsia="仿宋" w:hAnsi="仿宋" w:hint="eastAsia"/>
          <w:sz w:val="32"/>
          <w:szCs w:val="32"/>
        </w:rPr>
        <w:t>行政编制人数</w:t>
      </w:r>
      <w:r w:rsidR="00CE2F28">
        <w:rPr>
          <w:rFonts w:ascii="仿宋" w:eastAsia="仿宋" w:hAnsi="仿宋"/>
          <w:kern w:val="0"/>
          <w:sz w:val="32"/>
          <w:szCs w:val="32"/>
        </w:rPr>
        <w:t>59</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参照公务员管理的事业编制人数</w:t>
      </w:r>
      <w:r w:rsidR="00CE2F28">
        <w:rPr>
          <w:rFonts w:ascii="仿宋" w:eastAsia="仿宋" w:hAnsi="仿宋"/>
          <w:kern w:val="0"/>
          <w:sz w:val="32"/>
          <w:szCs w:val="32"/>
        </w:rPr>
        <w:t>0</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全部补助事业编制人数</w:t>
      </w:r>
      <w:r w:rsidR="00CE2F28">
        <w:rPr>
          <w:rFonts w:ascii="仿宋" w:eastAsia="仿宋" w:hAnsi="仿宋"/>
          <w:kern w:val="0"/>
          <w:sz w:val="32"/>
          <w:szCs w:val="32"/>
        </w:rPr>
        <w:t>12</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自收自支编制人数</w:t>
      </w:r>
      <w:r w:rsidR="00CE2F28">
        <w:rPr>
          <w:rFonts w:ascii="仿宋" w:eastAsia="仿宋" w:hAnsi="仿宋"/>
          <w:kern w:val="0"/>
          <w:sz w:val="32"/>
          <w:szCs w:val="32"/>
        </w:rPr>
        <w:t>0</w:t>
      </w:r>
      <w:r w:rsidR="00CE2F28">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${page400644146.ds532982397_REP_JX_BAS_AGENCY_INFO_ZYFRS_S_SYRSXJ}</w:instrText>
      </w:r>
      <w:r>
        <w:rPr>
          <w:rFonts w:ascii="仿宋" w:eastAsia="仿宋" w:hAnsi="仿宋"/>
          <w:sz w:val="32"/>
          <w:szCs w:val="32"/>
        </w:rPr>
        <w:fldChar w:fldCharType="separate"/>
      </w:r>
      <w:r w:rsidR="00CE2F28">
        <w:rPr>
          <w:rFonts w:ascii="仿宋" w:eastAsia="仿宋" w:hAnsi="仿宋" w:hint="eastAsia"/>
          <w:sz w:val="32"/>
          <w:szCs w:val="32"/>
        </w:rPr>
        <w:t>实有人数小计</w:t>
      </w:r>
      <w:r w:rsidR="00CE2F28">
        <w:rPr>
          <w:rFonts w:ascii="仿宋" w:eastAsia="仿宋" w:hAnsi="仿宋"/>
          <w:kern w:val="0"/>
          <w:sz w:val="32"/>
          <w:szCs w:val="32"/>
        </w:rPr>
        <w:t>60</w:t>
      </w:r>
      <w:r w:rsidR="00CE2F28">
        <w:rPr>
          <w:rFonts w:ascii="仿宋" w:eastAsia="仿宋" w:hAnsi="仿宋" w:hint="eastAsia"/>
          <w:sz w:val="32"/>
          <w:szCs w:val="32"/>
        </w:rPr>
        <w:t>人</w:t>
      </w:r>
      <w:r w:rsidR="00CE2F28">
        <w:rPr>
          <w:rFonts w:ascii="仿宋" w:eastAsia="仿宋" w:hAnsi="仿宋"/>
          <w:sz w:val="32"/>
          <w:szCs w:val="32"/>
        </w:rPr>
        <w:t>,</w:t>
      </w:r>
      <w:r>
        <w:rPr>
          <w:rFonts w:ascii="仿宋" w:eastAsia="仿宋" w:hAnsi="仿宋"/>
          <w:sz w:val="32"/>
          <w:szCs w:val="32"/>
        </w:rPr>
        <w:fldChar w:fldCharType="end"/>
      </w:r>
      <w:r w:rsidR="00CE2F28">
        <w:rPr>
          <w:rFonts w:ascii="仿宋" w:eastAsia="仿宋" w:hAnsi="仿宋" w:hint="eastAsia"/>
          <w:sz w:val="32"/>
          <w:szCs w:val="32"/>
        </w:rPr>
        <w:t>其中：</w:t>
      </w: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${page400644146.ds532982397_REP_JX_BAS_AGENCY_INFO_ZYFRS_S_ZZRSXJ}</w:instrText>
      </w:r>
      <w:r>
        <w:rPr>
          <w:rFonts w:ascii="仿宋" w:eastAsia="仿宋" w:hAnsi="仿宋"/>
          <w:sz w:val="32"/>
          <w:szCs w:val="32"/>
        </w:rPr>
        <w:fldChar w:fldCharType="separate"/>
      </w:r>
      <w:r w:rsidR="00CE2F28">
        <w:rPr>
          <w:rFonts w:ascii="仿宋" w:eastAsia="仿宋" w:hAnsi="仿宋" w:hint="eastAsia"/>
          <w:sz w:val="32"/>
          <w:szCs w:val="32"/>
        </w:rPr>
        <w:t>在职人数小计</w:t>
      </w:r>
      <w:r w:rsidR="00CE2F28">
        <w:rPr>
          <w:rFonts w:ascii="仿宋" w:eastAsia="仿宋" w:hAnsi="仿宋"/>
          <w:kern w:val="0"/>
          <w:sz w:val="32"/>
          <w:szCs w:val="32"/>
        </w:rPr>
        <w:t>60</w:t>
      </w:r>
      <w:r w:rsidR="00CE2F28">
        <w:rPr>
          <w:rFonts w:ascii="仿宋" w:eastAsia="仿宋" w:hAnsi="仿宋" w:hint="eastAsia"/>
          <w:sz w:val="32"/>
          <w:szCs w:val="32"/>
        </w:rPr>
        <w:t>人</w:t>
      </w:r>
      <w:r w:rsidR="00CE2F28">
        <w:rPr>
          <w:rFonts w:ascii="仿宋" w:eastAsia="仿宋" w:hAnsi="仿宋"/>
          <w:sz w:val="32"/>
          <w:szCs w:val="32"/>
        </w:rPr>
        <w:t>,</w:t>
      </w:r>
      <w:r>
        <w:rPr>
          <w:rFonts w:ascii="仿宋" w:eastAsia="仿宋" w:hAnsi="仿宋"/>
          <w:sz w:val="32"/>
          <w:szCs w:val="32"/>
        </w:rPr>
        <w:fldChar w:fldCharType="end"/>
      </w: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${page400644146.ds532982397_REP_JX_BAS_AGENCY_INFO_ZYFRS_S_ZZRSMX}</w:instrText>
      </w:r>
      <w:r>
        <w:rPr>
          <w:rFonts w:ascii="仿宋" w:eastAsia="仿宋" w:hAnsi="仿宋"/>
          <w:sz w:val="32"/>
          <w:szCs w:val="32"/>
        </w:rPr>
        <w:fldChar w:fldCharType="separate"/>
      </w:r>
      <w:r w:rsidR="00CE2F28">
        <w:rPr>
          <w:rFonts w:ascii="仿宋" w:eastAsia="仿宋" w:hAnsi="仿宋" w:hint="eastAsia"/>
          <w:sz w:val="32"/>
          <w:szCs w:val="32"/>
        </w:rPr>
        <w:t>行政在职人数</w:t>
      </w:r>
      <w:r w:rsidR="00CE2F28">
        <w:rPr>
          <w:rFonts w:ascii="仿宋" w:eastAsia="仿宋" w:hAnsi="仿宋"/>
          <w:kern w:val="0"/>
          <w:sz w:val="32"/>
          <w:szCs w:val="32"/>
        </w:rPr>
        <w:t>53</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参照公务员管理的事业单位在职人数</w:t>
      </w:r>
      <w:r w:rsidR="00CE2F28">
        <w:rPr>
          <w:rFonts w:ascii="仿宋" w:eastAsia="仿宋" w:hAnsi="仿宋"/>
          <w:kern w:val="0"/>
          <w:sz w:val="32"/>
          <w:szCs w:val="32"/>
        </w:rPr>
        <w:t>0</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全部补助事业在职人数</w:t>
      </w:r>
      <w:r w:rsidR="00CE2F28">
        <w:rPr>
          <w:rFonts w:ascii="仿宋" w:eastAsia="仿宋" w:hAnsi="仿宋"/>
          <w:kern w:val="0"/>
          <w:sz w:val="32"/>
          <w:szCs w:val="32"/>
        </w:rPr>
        <w:t>7</w:t>
      </w:r>
      <w:r w:rsidR="00CE2F28">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sidR="00CE2F28">
        <w:rPr>
          <w:rFonts w:ascii="仿宋" w:eastAsia="仿宋" w:hAnsi="仿宋"/>
          <w:sz w:val="32"/>
          <w:szCs w:val="32"/>
        </w:rPr>
        <w:instrText>MERGEFIELD ${page400644146.ds532982397_REP_JX_BAS_AGENCY_INFO_ZYFRS_S_QTRSMX}</w:instrText>
      </w:r>
      <w:r>
        <w:rPr>
          <w:rFonts w:ascii="仿宋" w:eastAsia="仿宋" w:hAnsi="仿宋"/>
          <w:sz w:val="32"/>
          <w:szCs w:val="32"/>
        </w:rPr>
        <w:fldChar w:fldCharType="separate"/>
      </w:r>
      <w:r w:rsidR="00CE2F28">
        <w:rPr>
          <w:rFonts w:ascii="仿宋" w:eastAsia="仿宋" w:hAnsi="仿宋" w:hint="eastAsia"/>
          <w:sz w:val="32"/>
          <w:szCs w:val="32"/>
        </w:rPr>
        <w:t>离休人数小计</w:t>
      </w:r>
      <w:r w:rsidR="00CE2F28">
        <w:rPr>
          <w:rFonts w:ascii="仿宋" w:eastAsia="仿宋" w:hAnsi="仿宋"/>
          <w:kern w:val="0"/>
          <w:sz w:val="32"/>
          <w:szCs w:val="32"/>
        </w:rPr>
        <w:t>0</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退休人数小计</w:t>
      </w:r>
      <w:r w:rsidR="00CE2F28">
        <w:rPr>
          <w:rFonts w:ascii="仿宋" w:eastAsia="仿宋" w:hAnsi="仿宋"/>
          <w:kern w:val="0"/>
          <w:sz w:val="32"/>
          <w:szCs w:val="32"/>
        </w:rPr>
        <w:t>25</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退职人员</w:t>
      </w:r>
      <w:r w:rsidR="00CE2F28">
        <w:rPr>
          <w:rFonts w:ascii="仿宋" w:eastAsia="仿宋" w:hAnsi="仿宋"/>
          <w:kern w:val="0"/>
          <w:sz w:val="32"/>
          <w:szCs w:val="32"/>
        </w:rPr>
        <w:t>0</w:t>
      </w:r>
      <w:r w:rsidR="00CE2F28">
        <w:rPr>
          <w:rFonts w:ascii="仿宋" w:eastAsia="仿宋" w:hAnsi="仿宋" w:hint="eastAsia"/>
          <w:sz w:val="32"/>
          <w:szCs w:val="32"/>
        </w:rPr>
        <w:t>人</w:t>
      </w:r>
      <w:r w:rsidR="00CE2F28">
        <w:rPr>
          <w:rFonts w:ascii="仿宋" w:eastAsia="仿宋" w:hAnsi="仿宋"/>
          <w:sz w:val="32"/>
          <w:szCs w:val="32"/>
        </w:rPr>
        <w:t>,</w:t>
      </w:r>
      <w:r w:rsidR="00CE2F28">
        <w:rPr>
          <w:rFonts w:ascii="仿宋" w:eastAsia="仿宋" w:hAnsi="仿宋" w:hint="eastAsia"/>
          <w:sz w:val="32"/>
          <w:szCs w:val="32"/>
        </w:rPr>
        <w:t>遗属人数</w:t>
      </w:r>
      <w:r w:rsidR="00CE2F28">
        <w:rPr>
          <w:rFonts w:ascii="仿宋" w:eastAsia="仿宋" w:hAnsi="仿宋"/>
          <w:kern w:val="0"/>
          <w:sz w:val="32"/>
          <w:szCs w:val="32"/>
        </w:rPr>
        <w:t>11</w:t>
      </w:r>
      <w:r w:rsidR="00CE2F28">
        <w:rPr>
          <w:rFonts w:ascii="仿宋" w:eastAsia="仿宋" w:hAnsi="仿宋" w:hint="eastAsia"/>
          <w:sz w:val="32"/>
          <w:szCs w:val="32"/>
        </w:rPr>
        <w:t>人。</w:t>
      </w:r>
      <w:r>
        <w:rPr>
          <w:rFonts w:ascii="仿宋" w:eastAsia="仿宋" w:hAnsi="仿宋"/>
          <w:sz w:val="32"/>
          <w:szCs w:val="32"/>
        </w:rPr>
        <w:fldChar w:fldCharType="end"/>
      </w:r>
    </w:p>
    <w:p w:rsidR="00B9538B" w:rsidRDefault="00B9538B">
      <w:pPr>
        <w:spacing w:line="560" w:lineRule="exact"/>
        <w:rPr>
          <w:rFonts w:ascii="仿宋" w:eastAsia="仿宋" w:hAnsi="仿宋" w:cs="仿宋"/>
          <w:sz w:val="32"/>
          <w:szCs w:val="32"/>
        </w:rPr>
      </w:pPr>
    </w:p>
    <w:p w:rsidR="00B9538B" w:rsidRDefault="00CE2F28">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sz w:val="32"/>
          <w:szCs w:val="32"/>
        </w:rPr>
        <w:t xml:space="preserve"> </w:t>
      </w:r>
      <w:r>
        <w:rPr>
          <w:rFonts w:ascii="黑体" w:eastAsia="黑体" w:hAnsi="黑体" w:cs="黑体" w:hint="eastAsia"/>
          <w:sz w:val="32"/>
          <w:szCs w:val="32"/>
        </w:rPr>
        <w:t>兴国县司法局部门预算情况说明</w:t>
      </w:r>
    </w:p>
    <w:p w:rsidR="00B9538B" w:rsidRDefault="00B9538B">
      <w:pPr>
        <w:spacing w:line="560" w:lineRule="exact"/>
        <w:jc w:val="center"/>
        <w:rPr>
          <w:rFonts w:ascii="仿宋" w:eastAsia="仿宋" w:hAnsi="仿宋" w:cs="仿宋"/>
          <w:b/>
          <w:bCs/>
          <w:sz w:val="32"/>
          <w:szCs w:val="32"/>
        </w:rPr>
      </w:pPr>
    </w:p>
    <w:p w:rsidR="00B9538B" w:rsidRDefault="00CE2F28">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一、</w:t>
      </w:r>
      <w:r>
        <w:rPr>
          <w:rFonts w:ascii="楷体" w:eastAsia="楷体" w:hAnsi="楷体" w:cs="楷体"/>
          <w:b/>
          <w:bCs/>
          <w:sz w:val="32"/>
          <w:szCs w:val="32"/>
        </w:rPr>
        <w:t>2023</w:t>
      </w:r>
      <w:r>
        <w:rPr>
          <w:rFonts w:ascii="楷体" w:eastAsia="楷体" w:hAnsi="楷体" w:cs="楷体" w:hint="eastAsia"/>
          <w:b/>
          <w:bCs/>
          <w:sz w:val="32"/>
          <w:szCs w:val="32"/>
        </w:rPr>
        <w:t>年部门预算收支情况说明</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B9538B" w:rsidRDefault="00CE2F28">
      <w:pPr>
        <w:spacing w:line="560" w:lineRule="exact"/>
        <w:ind w:firstLineChars="200" w:firstLine="640"/>
        <w:rPr>
          <w:rFonts w:ascii="仿宋" w:eastAsia="仿宋" w:hAnsi="仿宋" w:cs="仿宋"/>
          <w:sz w:val="30"/>
          <w:szCs w:val="30"/>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本部门收入预算总额</w:t>
      </w:r>
      <w:r w:rsidRPr="005334CF">
        <w:rPr>
          <w:rFonts w:ascii="仿宋" w:eastAsia="仿宋" w:hAnsi="仿宋" w:cs="仿宋"/>
          <w:sz w:val="32"/>
          <w:szCs w:val="32"/>
        </w:rPr>
        <w:t>1487.2</w:t>
      </w:r>
      <w:r w:rsidR="005334CF">
        <w:rPr>
          <w:rFonts w:ascii="仿宋" w:eastAsia="仿宋" w:hAnsi="仿宋" w:cs="仿宋"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较上年预算安排增</w:t>
      </w:r>
      <w:r>
        <w:rPr>
          <w:rFonts w:ascii="仿宋" w:eastAsia="仿宋" w:hAnsi="仿宋" w:cs="仿宋"/>
          <w:sz w:val="32"/>
          <w:szCs w:val="32"/>
        </w:rPr>
        <w:t>93.26</w:t>
      </w:r>
      <w:r>
        <w:rPr>
          <w:rFonts w:ascii="仿宋" w:eastAsia="仿宋" w:hAnsi="仿宋" w:cs="仿宋" w:hint="eastAsia"/>
          <w:sz w:val="32"/>
          <w:szCs w:val="32"/>
        </w:rPr>
        <w:t>万元，增</w:t>
      </w:r>
      <w:r>
        <w:rPr>
          <w:rFonts w:ascii="仿宋" w:eastAsia="仿宋" w:hAnsi="仿宋" w:cs="仿宋"/>
          <w:sz w:val="32"/>
          <w:szCs w:val="32"/>
        </w:rPr>
        <w:t>6.69%</w:t>
      </w:r>
      <w:r>
        <w:rPr>
          <w:rFonts w:ascii="仿宋" w:eastAsia="仿宋" w:hAnsi="仿宋" w:cs="仿宋" w:hint="eastAsia"/>
          <w:sz w:val="32"/>
          <w:szCs w:val="32"/>
        </w:rPr>
        <w:t>。增减变化主要原因是：工作任务增加。</w:t>
      </w:r>
      <w:r>
        <w:rPr>
          <w:rFonts w:ascii="仿宋" w:eastAsia="仿宋" w:hAnsi="仿宋" w:cs="仿宋" w:hint="eastAsia"/>
          <w:sz w:val="30"/>
          <w:szCs w:val="30"/>
        </w:rPr>
        <w:t>具体为：</w:t>
      </w:r>
    </w:p>
    <w:p w:rsidR="00B9538B" w:rsidRDefault="00CE2F28">
      <w:pPr>
        <w:spacing w:line="600" w:lineRule="exact"/>
        <w:ind w:firstLineChars="200" w:firstLine="644"/>
        <w:rPr>
          <w:rFonts w:ascii="仿宋" w:eastAsia="仿宋" w:hAnsi="仿宋" w:cs="仿宋"/>
          <w:sz w:val="32"/>
          <w:szCs w:val="32"/>
        </w:rPr>
      </w:pPr>
      <w:r>
        <w:rPr>
          <w:rFonts w:ascii="仿宋" w:eastAsia="仿宋" w:hAnsi="仿宋" w:cs="仿宋" w:hint="eastAsia"/>
          <w:spacing w:val="11"/>
          <w:sz w:val="30"/>
          <w:szCs w:val="30"/>
        </w:rPr>
        <w:t>财政拨款收入</w:t>
      </w:r>
      <w:r>
        <w:rPr>
          <w:rFonts w:ascii="仿宋" w:eastAsia="仿宋" w:hAnsi="仿宋" w:cs="仿宋"/>
          <w:sz w:val="32"/>
          <w:szCs w:val="32"/>
        </w:rPr>
        <w:t>1156.56</w:t>
      </w:r>
      <w:r>
        <w:rPr>
          <w:rFonts w:ascii="仿宋" w:eastAsia="仿宋" w:hAnsi="仿宋" w:cs="仿宋" w:hint="eastAsia"/>
          <w:spacing w:val="11"/>
          <w:sz w:val="30"/>
          <w:szCs w:val="30"/>
        </w:rPr>
        <w:t>万元,较</w:t>
      </w:r>
      <w:r>
        <w:rPr>
          <w:rFonts w:ascii="仿宋" w:eastAsia="仿宋" w:hAnsi="仿宋" w:cs="仿宋" w:hint="eastAsia"/>
          <w:spacing w:val="23"/>
          <w:sz w:val="30"/>
          <w:szCs w:val="30"/>
        </w:rPr>
        <w:t>上年预算安排增加235.64万元;政府性基金预算收入收入</w:t>
      </w:r>
      <w:r>
        <w:rPr>
          <w:rFonts w:ascii="仿宋" w:eastAsia="仿宋" w:hAnsi="仿宋" w:cs="仿宋" w:hint="eastAsia"/>
          <w:sz w:val="32"/>
          <w:szCs w:val="32"/>
        </w:rPr>
        <w:t>0</w:t>
      </w:r>
      <w:r>
        <w:rPr>
          <w:rFonts w:ascii="仿宋" w:eastAsia="仿宋" w:hAnsi="仿宋" w:cs="仿宋" w:hint="eastAsia"/>
          <w:spacing w:val="28"/>
          <w:sz w:val="30"/>
          <w:szCs w:val="30"/>
        </w:rPr>
        <w:t>万元,较年预算安排</w:t>
      </w:r>
      <w:r>
        <w:rPr>
          <w:rFonts w:ascii="仿宋" w:eastAsia="仿宋" w:hAnsi="仿宋" w:cs="仿宋" w:hint="eastAsia"/>
          <w:spacing w:val="23"/>
          <w:sz w:val="30"/>
          <w:szCs w:val="30"/>
        </w:rPr>
        <w:t>增加（减少）</w:t>
      </w:r>
      <w:r>
        <w:rPr>
          <w:rFonts w:ascii="仿宋" w:eastAsia="仿宋" w:hAnsi="仿宋" w:cs="仿宋" w:hint="eastAsia"/>
          <w:spacing w:val="-89"/>
          <w:sz w:val="30"/>
          <w:szCs w:val="30"/>
        </w:rPr>
        <w:t>0</w:t>
      </w:r>
      <w:r>
        <w:rPr>
          <w:rFonts w:ascii="仿宋" w:eastAsia="仿宋" w:hAnsi="仿宋" w:cs="仿宋" w:hint="eastAsia"/>
          <w:spacing w:val="28"/>
          <w:sz w:val="30"/>
          <w:szCs w:val="30"/>
        </w:rPr>
        <w:t>万元;</w:t>
      </w:r>
      <w:r>
        <w:rPr>
          <w:rFonts w:ascii="仿宋" w:eastAsia="仿宋" w:hAnsi="仿宋" w:cs="仿宋" w:hint="eastAsia"/>
          <w:spacing w:val="23"/>
          <w:sz w:val="30"/>
          <w:szCs w:val="30"/>
        </w:rPr>
        <w:t>教育收费资金收入</w:t>
      </w:r>
      <w:r>
        <w:rPr>
          <w:rFonts w:ascii="仿宋" w:eastAsia="仿宋" w:hAnsi="仿宋" w:cs="仿宋" w:hint="eastAsia"/>
          <w:sz w:val="32"/>
          <w:szCs w:val="32"/>
        </w:rPr>
        <w:t>0</w:t>
      </w:r>
      <w:r>
        <w:rPr>
          <w:rFonts w:ascii="仿宋" w:eastAsia="仿宋" w:hAnsi="仿宋" w:cs="仿宋" w:hint="eastAsia"/>
          <w:spacing w:val="28"/>
          <w:sz w:val="30"/>
          <w:szCs w:val="30"/>
        </w:rPr>
        <w:t>万元,较年预算安排</w:t>
      </w:r>
      <w:r>
        <w:rPr>
          <w:rFonts w:ascii="仿宋" w:eastAsia="仿宋" w:hAnsi="仿宋" w:cs="仿宋" w:hint="eastAsia"/>
          <w:spacing w:val="23"/>
          <w:sz w:val="30"/>
          <w:szCs w:val="30"/>
        </w:rPr>
        <w:t>增加（减少）</w:t>
      </w:r>
      <w:r>
        <w:rPr>
          <w:rFonts w:ascii="仿宋" w:eastAsia="仿宋" w:hAnsi="仿宋" w:cs="仿宋" w:hint="eastAsia"/>
          <w:sz w:val="32"/>
          <w:szCs w:val="32"/>
        </w:rPr>
        <w:t xml:space="preserve"> 0</w:t>
      </w:r>
      <w:r>
        <w:rPr>
          <w:rFonts w:ascii="仿宋" w:eastAsia="仿宋" w:hAnsi="仿宋" w:cs="仿宋" w:hint="eastAsia"/>
          <w:spacing w:val="28"/>
          <w:sz w:val="30"/>
          <w:szCs w:val="30"/>
        </w:rPr>
        <w:t>万元;事业收入</w:t>
      </w:r>
      <w:r>
        <w:rPr>
          <w:rFonts w:ascii="仿宋" w:eastAsia="仿宋" w:hAnsi="仿宋" w:cs="仿宋" w:hint="eastAsia"/>
          <w:sz w:val="32"/>
          <w:szCs w:val="32"/>
        </w:rPr>
        <w:t>0</w:t>
      </w:r>
      <w:r>
        <w:rPr>
          <w:rFonts w:ascii="仿宋" w:eastAsia="仿宋" w:hAnsi="仿宋" w:cs="仿宋" w:hint="eastAsia"/>
          <w:spacing w:val="7"/>
          <w:sz w:val="30"/>
          <w:szCs w:val="30"/>
        </w:rPr>
        <w:t>万元,较上年预算安排增加（减少）</w:t>
      </w:r>
      <w:r>
        <w:rPr>
          <w:rFonts w:ascii="仿宋" w:eastAsia="仿宋" w:hAnsi="仿宋" w:cs="仿宋" w:hint="eastAsia"/>
          <w:sz w:val="32"/>
          <w:szCs w:val="32"/>
        </w:rPr>
        <w:t>0</w:t>
      </w:r>
      <w:r>
        <w:rPr>
          <w:rFonts w:ascii="仿宋" w:eastAsia="仿宋" w:hAnsi="仿宋" w:cs="仿宋" w:hint="eastAsia"/>
          <w:spacing w:val="7"/>
          <w:sz w:val="30"/>
          <w:szCs w:val="30"/>
        </w:rPr>
        <w:t>万元;上级补助</w:t>
      </w:r>
      <w:r>
        <w:rPr>
          <w:rFonts w:ascii="仿宋" w:eastAsia="仿宋" w:hAnsi="仿宋" w:cs="仿宋" w:hint="eastAsia"/>
          <w:spacing w:val="8"/>
          <w:sz w:val="30"/>
          <w:szCs w:val="30"/>
        </w:rPr>
        <w:t>收入</w:t>
      </w:r>
      <w:r>
        <w:rPr>
          <w:rFonts w:ascii="仿宋" w:eastAsia="仿宋" w:hAnsi="仿宋" w:cs="仿宋" w:hint="eastAsia"/>
          <w:spacing w:val="-148"/>
          <w:sz w:val="30"/>
          <w:szCs w:val="30"/>
        </w:rPr>
        <w:t xml:space="preserve">0  </w:t>
      </w:r>
      <w:r>
        <w:rPr>
          <w:rFonts w:ascii="仿宋" w:eastAsia="仿宋" w:hAnsi="仿宋" w:cs="仿宋" w:hint="eastAsia"/>
          <w:spacing w:val="8"/>
          <w:sz w:val="30"/>
          <w:szCs w:val="30"/>
        </w:rPr>
        <w:t xml:space="preserve"> 万元,较上年预算安排增加（减少）</w:t>
      </w:r>
      <w:r>
        <w:rPr>
          <w:rFonts w:ascii="仿宋" w:eastAsia="仿宋" w:hAnsi="仿宋" w:cs="仿宋" w:hint="eastAsia"/>
          <w:sz w:val="32"/>
          <w:szCs w:val="32"/>
        </w:rPr>
        <w:t>0</w:t>
      </w:r>
      <w:r>
        <w:rPr>
          <w:rFonts w:ascii="仿宋" w:eastAsia="仿宋" w:hAnsi="仿宋" w:cs="仿宋" w:hint="eastAsia"/>
          <w:spacing w:val="8"/>
          <w:sz w:val="30"/>
          <w:szCs w:val="30"/>
        </w:rPr>
        <w:t>万元；</w:t>
      </w:r>
      <w:r>
        <w:rPr>
          <w:rFonts w:ascii="仿宋" w:eastAsia="仿宋" w:hAnsi="仿宋" w:cs="仿宋" w:hint="eastAsia"/>
          <w:spacing w:val="18"/>
          <w:sz w:val="30"/>
          <w:szCs w:val="30"/>
        </w:rPr>
        <w:t>其他收入</w:t>
      </w:r>
      <w:r>
        <w:rPr>
          <w:rFonts w:ascii="仿宋" w:eastAsia="仿宋" w:hAnsi="仿宋" w:cs="仿宋" w:hint="eastAsia"/>
          <w:sz w:val="32"/>
          <w:szCs w:val="32"/>
        </w:rPr>
        <w:t>330.64</w:t>
      </w:r>
      <w:r>
        <w:rPr>
          <w:rFonts w:ascii="仿宋" w:eastAsia="仿宋" w:hAnsi="仿宋" w:cs="仿宋" w:hint="eastAsia"/>
          <w:spacing w:val="18"/>
          <w:sz w:val="30"/>
          <w:szCs w:val="30"/>
        </w:rPr>
        <w:t>万元，较上年预算安排增加130.64</w:t>
      </w:r>
      <w:r>
        <w:rPr>
          <w:rFonts w:ascii="仿宋" w:eastAsia="仿宋" w:hAnsi="仿宋" w:cs="仿宋" w:hint="eastAsia"/>
          <w:spacing w:val="7"/>
          <w:sz w:val="30"/>
          <w:szCs w:val="30"/>
        </w:rPr>
        <w:t>万元</w:t>
      </w:r>
      <w:r>
        <w:rPr>
          <w:rFonts w:ascii="仿宋" w:eastAsia="仿宋" w:hAnsi="仿宋" w:cs="仿宋" w:hint="eastAsia"/>
          <w:spacing w:val="4"/>
          <w:sz w:val="30"/>
          <w:szCs w:val="30"/>
        </w:rPr>
        <w:t>；</w:t>
      </w:r>
      <w:r>
        <w:rPr>
          <w:rFonts w:ascii="仿宋" w:eastAsia="仿宋" w:hAnsi="仿宋" w:cs="仿宋" w:hint="eastAsia"/>
          <w:spacing w:val="11"/>
          <w:sz w:val="30"/>
          <w:szCs w:val="30"/>
        </w:rPr>
        <w:t>财政拨款结余结转0万元，较上年预算安排减少273.02万元。</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B9538B" w:rsidRDefault="00CE2F28">
      <w:pPr>
        <w:spacing w:line="560" w:lineRule="exact"/>
        <w:ind w:firstLineChars="200" w:firstLine="640"/>
        <w:rPr>
          <w:rFonts w:ascii="仿宋" w:eastAsia="仿宋" w:hAnsi="仿宋" w:cs="仿宋"/>
          <w:sz w:val="30"/>
          <w:szCs w:val="30"/>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本部门支出预算总额</w:t>
      </w:r>
      <w:r w:rsidRPr="005C3533">
        <w:rPr>
          <w:rFonts w:ascii="仿宋" w:eastAsia="仿宋" w:hAnsi="仿宋" w:cs="仿宋"/>
          <w:sz w:val="32"/>
          <w:szCs w:val="32"/>
        </w:rPr>
        <w:t>1487.2</w:t>
      </w:r>
      <w:r w:rsidR="005C3533">
        <w:rPr>
          <w:rFonts w:ascii="仿宋" w:eastAsia="仿宋" w:hAnsi="仿宋" w:cs="仿宋"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较上年预算安排增</w:t>
      </w:r>
      <w:r>
        <w:rPr>
          <w:rFonts w:ascii="仿宋" w:eastAsia="仿宋" w:hAnsi="仿宋" w:cs="仿宋"/>
          <w:sz w:val="32"/>
          <w:szCs w:val="32"/>
        </w:rPr>
        <w:t>93.26</w:t>
      </w:r>
      <w:r>
        <w:rPr>
          <w:rFonts w:ascii="仿宋" w:eastAsia="仿宋" w:hAnsi="仿宋" w:cs="仿宋" w:hint="eastAsia"/>
          <w:sz w:val="32"/>
          <w:szCs w:val="32"/>
        </w:rPr>
        <w:t>万元，增</w:t>
      </w:r>
      <w:r>
        <w:rPr>
          <w:rFonts w:ascii="仿宋" w:eastAsia="仿宋" w:hAnsi="仿宋" w:cs="仿宋"/>
          <w:sz w:val="32"/>
          <w:szCs w:val="32"/>
        </w:rPr>
        <w:t>6.69%</w:t>
      </w:r>
      <w:r>
        <w:rPr>
          <w:rFonts w:ascii="仿宋" w:eastAsia="仿宋" w:hAnsi="仿宋" w:cs="仿宋" w:hint="eastAsia"/>
          <w:sz w:val="32"/>
          <w:szCs w:val="32"/>
        </w:rPr>
        <w:t>。增减变化主要原因是：工作任务增加。</w:t>
      </w:r>
      <w:r>
        <w:rPr>
          <w:rFonts w:ascii="仿宋" w:eastAsia="仿宋" w:hAnsi="仿宋" w:cs="仿宋" w:hint="eastAsia"/>
          <w:sz w:val="30"/>
          <w:szCs w:val="30"/>
        </w:rPr>
        <w:t>具体为：</w:t>
      </w:r>
    </w:p>
    <w:p w:rsidR="00B9538B" w:rsidRDefault="00CE2F28">
      <w:pPr>
        <w:spacing w:line="560" w:lineRule="exact"/>
        <w:ind w:firstLineChars="200" w:firstLine="600"/>
        <w:rPr>
          <w:rFonts w:ascii="宋体" w:eastAsia="仿宋_GB2312" w:hAnsi="宋体" w:cs="仿宋_GB2312"/>
          <w:sz w:val="32"/>
          <w:szCs w:val="32"/>
        </w:rPr>
      </w:pPr>
      <w:r>
        <w:rPr>
          <w:rFonts w:ascii="仿宋" w:eastAsia="仿宋" w:hAnsi="仿宋" w:cs="仿宋" w:hint="eastAsia"/>
          <w:sz w:val="30"/>
          <w:szCs w:val="30"/>
        </w:rPr>
        <w:t>按支出项目类别及经济分类科目划分：基本支出</w:t>
      </w:r>
      <w:r>
        <w:rPr>
          <w:rFonts w:ascii="宋体" w:eastAsia="仿宋_GB2312" w:hAnsi="宋体" w:cs="仿宋_GB2312"/>
          <w:sz w:val="32"/>
          <w:szCs w:val="32"/>
        </w:rPr>
        <w:t>1013.2</w:t>
      </w:r>
      <w:r w:rsidR="00F2544A">
        <w:rPr>
          <w:rFonts w:ascii="宋体" w:eastAsia="仿宋_GB2312" w:hAnsi="宋体" w:cs="仿宋_GB2312"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较上年预算安排减</w:t>
      </w:r>
      <w:r>
        <w:rPr>
          <w:rFonts w:ascii="仿宋" w:eastAsia="仿宋" w:hAnsi="仿宋" w:cs="仿宋"/>
          <w:sz w:val="32"/>
          <w:szCs w:val="32"/>
        </w:rPr>
        <w:t>105.9</w:t>
      </w:r>
      <w:r>
        <w:rPr>
          <w:rFonts w:ascii="仿宋" w:eastAsia="仿宋" w:hAnsi="仿宋" w:cs="仿宋" w:hint="eastAsia"/>
          <w:sz w:val="32"/>
          <w:szCs w:val="32"/>
        </w:rPr>
        <w:t>0万元，</w:t>
      </w:r>
      <w:r>
        <w:rPr>
          <w:rFonts w:ascii="仿宋" w:eastAsia="仿宋" w:hAnsi="仿宋" w:cs="仿宋" w:hint="eastAsia"/>
          <w:sz w:val="30"/>
          <w:szCs w:val="30"/>
        </w:rPr>
        <w:t>其中：</w:t>
      </w:r>
      <w:r>
        <w:rPr>
          <w:rFonts w:ascii="宋体" w:eastAsia="仿宋_GB2312" w:hAnsi="宋体" w:cs="仿宋_GB2312" w:hint="eastAsia"/>
          <w:sz w:val="32"/>
          <w:szCs w:val="32"/>
        </w:rPr>
        <w:t>工资福利支出</w:t>
      </w:r>
      <w:r>
        <w:rPr>
          <w:rFonts w:ascii="宋体" w:eastAsia="仿宋_GB2312" w:hAnsi="宋体" w:cs="仿宋_GB2312"/>
          <w:sz w:val="32"/>
          <w:szCs w:val="32"/>
        </w:rPr>
        <w:t>873.</w:t>
      </w:r>
      <w:r w:rsidR="00F2544A">
        <w:rPr>
          <w:rFonts w:ascii="宋体" w:eastAsia="仿宋_GB2312" w:hAnsi="宋体" w:cs="仿宋_GB2312" w:hint="eastAsia"/>
          <w:sz w:val="32"/>
          <w:szCs w:val="32"/>
        </w:rPr>
        <w:t>69</w:t>
      </w:r>
      <w:r>
        <w:rPr>
          <w:rFonts w:ascii="宋体" w:eastAsia="仿宋_GB2312" w:hAnsi="宋体" w:cs="仿宋_GB2312" w:hint="eastAsia"/>
          <w:sz w:val="32"/>
          <w:szCs w:val="32"/>
        </w:rPr>
        <w:t>万元、商品和服务支出</w:t>
      </w:r>
      <w:r>
        <w:rPr>
          <w:rFonts w:ascii="宋体" w:eastAsia="仿宋_GB2312" w:hAnsi="宋体" w:cs="仿宋_GB2312"/>
          <w:sz w:val="32"/>
          <w:szCs w:val="32"/>
        </w:rPr>
        <w:t>127.87</w:t>
      </w:r>
      <w:r>
        <w:rPr>
          <w:rFonts w:ascii="宋体" w:eastAsia="仿宋_GB2312" w:hAnsi="宋体" w:cs="仿宋_GB2312" w:hint="eastAsia"/>
          <w:sz w:val="32"/>
          <w:szCs w:val="32"/>
        </w:rPr>
        <w:t>万、对个人和家庭的补助支出</w:t>
      </w:r>
      <w:r>
        <w:rPr>
          <w:rFonts w:ascii="宋体" w:eastAsia="仿宋_GB2312" w:hAnsi="宋体" w:cs="仿宋_GB2312"/>
          <w:sz w:val="32"/>
          <w:szCs w:val="32"/>
        </w:rPr>
        <w:t>11.64</w:t>
      </w:r>
      <w:r>
        <w:rPr>
          <w:rFonts w:ascii="宋体" w:eastAsia="仿宋_GB2312" w:hAnsi="宋体" w:cs="仿宋_GB2312" w:hint="eastAsia"/>
          <w:sz w:val="32"/>
          <w:szCs w:val="32"/>
        </w:rPr>
        <w:t>万元</w:t>
      </w:r>
      <w:r>
        <w:rPr>
          <w:rFonts w:ascii="仿宋" w:eastAsia="仿宋" w:hAnsi="仿宋" w:cs="仿宋" w:hint="eastAsia"/>
          <w:sz w:val="30"/>
          <w:szCs w:val="30"/>
        </w:rPr>
        <w:t>、资本性支出</w:t>
      </w:r>
      <w:r>
        <w:rPr>
          <w:rFonts w:ascii="仿宋" w:eastAsia="仿宋" w:hAnsi="仿宋" w:cs="仿宋" w:hint="eastAsia"/>
          <w:sz w:val="32"/>
          <w:szCs w:val="32"/>
        </w:rPr>
        <w:t>0</w:t>
      </w:r>
      <w:r>
        <w:rPr>
          <w:rFonts w:ascii="仿宋" w:eastAsia="仿宋" w:hAnsi="仿宋" w:cs="仿宋" w:hint="eastAsia"/>
          <w:sz w:val="30"/>
          <w:szCs w:val="30"/>
        </w:rPr>
        <w:t>万元。项目支出</w:t>
      </w:r>
      <w:r>
        <w:rPr>
          <w:rFonts w:ascii="仿宋" w:eastAsia="仿宋" w:hAnsi="仿宋" w:cs="仿宋" w:hint="eastAsia"/>
          <w:sz w:val="32"/>
          <w:szCs w:val="32"/>
        </w:rPr>
        <w:t>474</w:t>
      </w:r>
      <w:r>
        <w:rPr>
          <w:rFonts w:ascii="仿宋" w:eastAsia="仿宋" w:hAnsi="仿宋" w:cs="仿宋" w:hint="eastAsia"/>
          <w:sz w:val="30"/>
          <w:szCs w:val="30"/>
        </w:rPr>
        <w:t>万元，</w:t>
      </w:r>
      <w:r>
        <w:rPr>
          <w:rFonts w:ascii="仿宋" w:eastAsia="仿宋" w:hAnsi="仿宋" w:cs="仿宋" w:hint="eastAsia"/>
          <w:sz w:val="32"/>
          <w:szCs w:val="32"/>
        </w:rPr>
        <w:t>较上年预算安排增</w:t>
      </w:r>
      <w:r>
        <w:rPr>
          <w:rFonts w:ascii="仿宋" w:eastAsia="仿宋" w:hAnsi="仿宋" w:cs="仿宋"/>
          <w:sz w:val="32"/>
          <w:szCs w:val="32"/>
        </w:rPr>
        <w:t>199.16</w:t>
      </w:r>
      <w:r>
        <w:rPr>
          <w:rFonts w:ascii="仿宋" w:eastAsia="仿宋" w:hAnsi="仿宋" w:cs="仿宋" w:hint="eastAsia"/>
          <w:sz w:val="32"/>
          <w:szCs w:val="32"/>
        </w:rPr>
        <w:t>万元，</w:t>
      </w:r>
      <w:r>
        <w:rPr>
          <w:rFonts w:ascii="仿宋" w:eastAsia="仿宋" w:hAnsi="仿宋" w:cs="仿宋" w:hint="eastAsia"/>
          <w:sz w:val="30"/>
          <w:szCs w:val="30"/>
        </w:rPr>
        <w:t>其中：工资福利支出</w:t>
      </w:r>
      <w:r>
        <w:rPr>
          <w:rFonts w:ascii="仿宋" w:eastAsia="仿宋" w:hAnsi="仿宋" w:cs="仿宋" w:hint="eastAsia"/>
          <w:sz w:val="32"/>
          <w:szCs w:val="32"/>
        </w:rPr>
        <w:t>0</w:t>
      </w:r>
      <w:r>
        <w:rPr>
          <w:rFonts w:ascii="仿宋" w:eastAsia="仿宋" w:hAnsi="仿宋" w:cs="仿宋" w:hint="eastAsia"/>
          <w:sz w:val="30"/>
          <w:szCs w:val="30"/>
        </w:rPr>
        <w:t>万元，商品和服务支出</w:t>
      </w:r>
      <w:r>
        <w:rPr>
          <w:rFonts w:ascii="宋体" w:eastAsia="仿宋_GB2312" w:hAnsi="宋体" w:cs="仿宋_GB2312"/>
          <w:sz w:val="32"/>
          <w:szCs w:val="32"/>
        </w:rPr>
        <w:t>474</w:t>
      </w:r>
      <w:r>
        <w:rPr>
          <w:rFonts w:ascii="仿宋" w:eastAsia="仿宋" w:hAnsi="仿宋" w:cs="仿宋" w:hint="eastAsia"/>
          <w:sz w:val="30"/>
          <w:szCs w:val="30"/>
        </w:rPr>
        <w:t>万元，对个人和家庭的补助</w:t>
      </w:r>
      <w:r>
        <w:rPr>
          <w:rFonts w:ascii="仿宋" w:eastAsia="仿宋" w:hAnsi="仿宋" w:cs="仿宋" w:hint="eastAsia"/>
          <w:sz w:val="32"/>
          <w:szCs w:val="32"/>
        </w:rPr>
        <w:t>0</w:t>
      </w:r>
      <w:r>
        <w:rPr>
          <w:rFonts w:ascii="仿宋" w:eastAsia="仿宋" w:hAnsi="仿宋" w:cs="仿宋" w:hint="eastAsia"/>
          <w:sz w:val="30"/>
          <w:szCs w:val="30"/>
        </w:rPr>
        <w:t>万元，资本性支出</w:t>
      </w:r>
      <w:r>
        <w:rPr>
          <w:rFonts w:ascii="仿宋" w:eastAsia="仿宋" w:hAnsi="仿宋" w:cs="仿宋" w:hint="eastAsia"/>
          <w:sz w:val="32"/>
          <w:szCs w:val="32"/>
        </w:rPr>
        <w:t>0</w:t>
      </w:r>
      <w:r>
        <w:rPr>
          <w:rFonts w:ascii="仿宋" w:eastAsia="仿宋" w:hAnsi="仿宋" w:cs="仿宋" w:hint="eastAsia"/>
          <w:sz w:val="30"/>
          <w:szCs w:val="30"/>
        </w:rPr>
        <w:t>万元，其他相关支出</w:t>
      </w:r>
      <w:r>
        <w:rPr>
          <w:rFonts w:ascii="仿宋" w:eastAsia="仿宋" w:hAnsi="仿宋" w:cs="仿宋" w:hint="eastAsia"/>
          <w:sz w:val="32"/>
          <w:szCs w:val="32"/>
        </w:rPr>
        <w:t>0</w:t>
      </w:r>
      <w:r>
        <w:rPr>
          <w:rFonts w:ascii="仿宋" w:eastAsia="仿宋" w:hAnsi="仿宋" w:cs="仿宋" w:hint="eastAsia"/>
          <w:sz w:val="30"/>
          <w:szCs w:val="30"/>
        </w:rPr>
        <w:t>万元。</w:t>
      </w:r>
    </w:p>
    <w:p w:rsidR="00B9538B" w:rsidRDefault="00B9538B">
      <w:pPr>
        <w:pStyle w:val="a0"/>
        <w:ind w:firstLine="320"/>
        <w:rPr>
          <w:lang w:val="en-US"/>
        </w:rPr>
      </w:pPr>
    </w:p>
    <w:p w:rsidR="00B9538B" w:rsidRDefault="00CE2F28">
      <w:pPr>
        <w:spacing w:line="560" w:lineRule="exact"/>
        <w:ind w:firstLineChars="200" w:firstLine="600"/>
        <w:rPr>
          <w:rFonts w:ascii="仿宋" w:eastAsia="仿宋" w:hAnsi="仿宋" w:cs="仿宋"/>
          <w:sz w:val="32"/>
          <w:szCs w:val="32"/>
        </w:rPr>
      </w:pPr>
      <w:r>
        <w:rPr>
          <w:rFonts w:ascii="仿宋" w:eastAsia="仿宋" w:hAnsi="仿宋" w:cs="仿宋" w:hint="eastAsia"/>
          <w:sz w:val="30"/>
          <w:szCs w:val="30"/>
        </w:rPr>
        <w:t>按支出功能分类科目划分：</w:t>
      </w:r>
      <w:r>
        <w:rPr>
          <w:rFonts w:ascii="宋体" w:eastAsia="仿宋_GB2312" w:hAnsi="宋体" w:cs="仿宋_GB2312" w:hint="eastAsia"/>
          <w:sz w:val="32"/>
          <w:szCs w:val="32"/>
        </w:rPr>
        <w:t>公共安全支出</w:t>
      </w:r>
      <w:bookmarkStart w:id="0" w:name="_GoBack"/>
      <w:r w:rsidRPr="00AC40B7">
        <w:rPr>
          <w:rFonts w:ascii="宋体" w:eastAsia="仿宋_GB2312" w:hAnsi="宋体" w:cs="仿宋_GB2312"/>
          <w:sz w:val="32"/>
          <w:szCs w:val="32"/>
        </w:rPr>
        <w:t>1049.6</w:t>
      </w:r>
      <w:r w:rsidRPr="00AC40B7">
        <w:rPr>
          <w:rFonts w:ascii="宋体" w:eastAsia="仿宋_GB2312" w:hAnsi="宋体" w:cs="仿宋_GB2312" w:hint="eastAsia"/>
          <w:sz w:val="32"/>
          <w:szCs w:val="32"/>
        </w:rPr>
        <w:t>3</w:t>
      </w:r>
      <w:bookmarkEnd w:id="0"/>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19.64</w:t>
      </w:r>
      <w:r>
        <w:rPr>
          <w:rFonts w:ascii="仿宋" w:eastAsia="仿宋" w:hAnsi="仿宋" w:cs="仿宋" w:hint="eastAsia"/>
          <w:sz w:val="32"/>
          <w:szCs w:val="32"/>
        </w:rPr>
        <w:t>万元</w:t>
      </w:r>
      <w:r>
        <w:rPr>
          <w:rFonts w:ascii="宋体" w:eastAsia="仿宋_GB2312" w:hAnsi="宋体" w:cs="仿宋_GB2312" w:hint="eastAsia"/>
          <w:sz w:val="32"/>
          <w:szCs w:val="32"/>
        </w:rPr>
        <w:t>；社会保障和就业支出</w:t>
      </w:r>
      <w:r>
        <w:rPr>
          <w:rFonts w:ascii="宋体" w:eastAsia="仿宋_GB2312" w:hAnsi="宋体" w:cs="仿宋_GB2312"/>
          <w:sz w:val="32"/>
          <w:szCs w:val="32"/>
        </w:rPr>
        <w:t>99.83</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42.75</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_GB2312" w:eastAsia="仿宋_GB2312" w:hAnsi="黑体" w:cs="黑体" w:hint="eastAsia"/>
          <w:sz w:val="32"/>
          <w:szCs w:val="32"/>
        </w:rPr>
        <w:t>卫生健康支出</w:t>
      </w:r>
      <w:r>
        <w:rPr>
          <w:rFonts w:ascii="仿宋_GB2312" w:eastAsia="仿宋_GB2312" w:hAnsi="黑体" w:cs="黑体"/>
          <w:sz w:val="32"/>
          <w:szCs w:val="32"/>
        </w:rPr>
        <w:t>66.89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12.81</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 w:eastAsia="仿宋" w:hAnsi="仿宋" w:cs="仿宋" w:hint="eastAsia"/>
          <w:sz w:val="32"/>
          <w:szCs w:val="32"/>
        </w:rPr>
        <w:t>住房保障支出</w:t>
      </w:r>
      <w:r>
        <w:rPr>
          <w:rFonts w:ascii="仿宋" w:eastAsia="仿宋" w:hAnsi="仿宋" w:cs="仿宋"/>
          <w:sz w:val="32"/>
          <w:szCs w:val="32"/>
        </w:rPr>
        <w:t>70.85</w:t>
      </w:r>
      <w:r>
        <w:rPr>
          <w:rFonts w:ascii="仿宋" w:eastAsia="仿宋" w:hAnsi="仿宋" w:cs="仿宋" w:hint="eastAsia"/>
          <w:sz w:val="32"/>
          <w:szCs w:val="32"/>
        </w:rPr>
        <w:t>万元，较上年预算安排增</w:t>
      </w:r>
      <w:r>
        <w:rPr>
          <w:rFonts w:ascii="仿宋" w:eastAsia="仿宋" w:hAnsi="仿宋" w:cs="仿宋"/>
          <w:sz w:val="32"/>
          <w:szCs w:val="32"/>
        </w:rPr>
        <w:t>18.06</w:t>
      </w:r>
      <w:r>
        <w:rPr>
          <w:rFonts w:ascii="仿宋" w:eastAsia="仿宋" w:hAnsi="仿宋" w:cs="仿宋" w:hint="eastAsia"/>
          <w:sz w:val="32"/>
          <w:szCs w:val="32"/>
        </w:rPr>
        <w:t>万元；其他支出</w:t>
      </w:r>
      <w:r>
        <w:rPr>
          <w:rFonts w:ascii="仿宋" w:eastAsia="仿宋" w:hAnsi="仿宋" w:cs="仿宋"/>
          <w:sz w:val="32"/>
          <w:szCs w:val="32"/>
        </w:rPr>
        <w:t>200</w:t>
      </w:r>
      <w:r>
        <w:rPr>
          <w:rFonts w:ascii="仿宋" w:eastAsia="仿宋" w:hAnsi="仿宋" w:cs="仿宋" w:hint="eastAsia"/>
          <w:sz w:val="32"/>
          <w:szCs w:val="32"/>
        </w:rPr>
        <w:t>万元，较上年预算安排增</w:t>
      </w:r>
      <w:r>
        <w:rPr>
          <w:rFonts w:ascii="仿宋" w:eastAsia="仿宋" w:hAnsi="仿宋" w:cs="仿宋"/>
          <w:sz w:val="32"/>
          <w:szCs w:val="32"/>
        </w:rPr>
        <w:t>0</w:t>
      </w:r>
      <w:r>
        <w:rPr>
          <w:rFonts w:ascii="仿宋" w:eastAsia="仿宋" w:hAnsi="仿宋" w:cs="仿宋" w:hint="eastAsia"/>
          <w:sz w:val="32"/>
          <w:szCs w:val="32"/>
        </w:rPr>
        <w:t>万元。</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B9538B" w:rsidRDefault="00CE2F28">
      <w:pPr>
        <w:pStyle w:val="a4"/>
        <w:ind w:firstLineChars="200" w:firstLine="640"/>
        <w:rPr>
          <w:rFonts w:ascii="仿宋" w:eastAsia="仿宋" w:hAnsi="仿宋" w:cs="仿宋"/>
          <w:sz w:val="30"/>
          <w:szCs w:val="30"/>
        </w:rPr>
      </w:pPr>
      <w:r>
        <w:rPr>
          <w:rFonts w:ascii="仿宋" w:eastAsia="仿宋" w:hAnsi="仿宋" w:cs="仿宋"/>
          <w:lang w:val="en-US"/>
        </w:rPr>
        <w:t>2023</w:t>
      </w:r>
      <w:r>
        <w:rPr>
          <w:rFonts w:ascii="仿宋" w:eastAsia="仿宋" w:hAnsi="仿宋" w:cs="仿宋" w:hint="eastAsia"/>
        </w:rPr>
        <w:t>年</w:t>
      </w:r>
      <w:r>
        <w:rPr>
          <w:rFonts w:ascii="仿宋" w:eastAsia="仿宋" w:hAnsi="仿宋" w:cs="仿宋" w:hint="eastAsia"/>
          <w:sz w:val="30"/>
          <w:szCs w:val="30"/>
        </w:rPr>
        <w:t>本部门财政拨款（补助）支出预算</w:t>
      </w:r>
      <w:r>
        <w:rPr>
          <w:rFonts w:ascii="宋体" w:hAnsi="宋体"/>
        </w:rPr>
        <w:t>1156.56</w:t>
      </w:r>
      <w:r>
        <w:rPr>
          <w:rFonts w:ascii="仿宋" w:eastAsia="仿宋" w:hAnsi="仿宋" w:cs="仿宋" w:hint="eastAsia"/>
          <w:sz w:val="30"/>
          <w:szCs w:val="30"/>
        </w:rPr>
        <w:t>万元，占本年支出预算额的</w:t>
      </w:r>
      <w:r>
        <w:rPr>
          <w:rFonts w:ascii="宋体" w:hAnsi="宋体"/>
        </w:rPr>
        <w:t>77.77</w:t>
      </w:r>
      <w:r>
        <w:rPr>
          <w:rFonts w:ascii="仿宋" w:eastAsia="仿宋" w:hAnsi="仿宋" w:cs="仿宋"/>
          <w:sz w:val="30"/>
          <w:szCs w:val="30"/>
        </w:rPr>
        <w:t>%</w:t>
      </w:r>
      <w:r>
        <w:rPr>
          <w:rFonts w:ascii="仿宋" w:eastAsia="仿宋" w:hAnsi="仿宋" w:cs="仿宋" w:hint="eastAsia"/>
          <w:sz w:val="30"/>
          <w:szCs w:val="30"/>
        </w:rPr>
        <w:t>，</w:t>
      </w:r>
      <w:r>
        <w:rPr>
          <w:rFonts w:ascii="仿宋" w:eastAsia="仿宋" w:hAnsi="仿宋" w:cs="仿宋" w:hint="eastAsia"/>
        </w:rPr>
        <w:t>较上年预算安排增</w:t>
      </w:r>
      <w:r>
        <w:rPr>
          <w:rFonts w:ascii="仿宋" w:eastAsia="仿宋" w:hAnsi="仿宋" w:cs="仿宋"/>
        </w:rPr>
        <w:t>235.64</w:t>
      </w:r>
      <w:r>
        <w:rPr>
          <w:rFonts w:ascii="仿宋" w:eastAsia="仿宋" w:hAnsi="仿宋" w:cs="仿宋" w:hint="eastAsia"/>
        </w:rPr>
        <w:t>万元，增</w:t>
      </w:r>
      <w:r>
        <w:rPr>
          <w:rFonts w:ascii="仿宋" w:eastAsia="仿宋" w:hAnsi="仿宋" w:cs="仿宋"/>
        </w:rPr>
        <w:t>25.59</w:t>
      </w:r>
      <w:r>
        <w:rPr>
          <w:rFonts w:ascii="仿宋" w:eastAsia="仿宋" w:hAnsi="仿宋" w:cs="仿宋"/>
          <w:lang w:val="en-US"/>
        </w:rPr>
        <w:t>%</w:t>
      </w:r>
      <w:r>
        <w:rPr>
          <w:rFonts w:ascii="仿宋" w:eastAsia="仿宋" w:hAnsi="仿宋" w:cs="仿宋" w:hint="eastAsia"/>
        </w:rPr>
        <w:t>。增减变化主要原因是：工作任务增加。</w:t>
      </w:r>
      <w:r>
        <w:rPr>
          <w:rFonts w:ascii="仿宋" w:eastAsia="仿宋" w:hAnsi="仿宋" w:cs="仿宋" w:hint="eastAsia"/>
          <w:sz w:val="30"/>
          <w:szCs w:val="30"/>
        </w:rPr>
        <w:t>具体为：</w:t>
      </w:r>
    </w:p>
    <w:p w:rsidR="00B9538B" w:rsidRDefault="00CE2F28">
      <w:pPr>
        <w:spacing w:line="560" w:lineRule="exact"/>
        <w:ind w:firstLineChars="200" w:firstLine="600"/>
        <w:rPr>
          <w:rFonts w:ascii="仿宋" w:eastAsia="仿宋" w:hAnsi="仿宋" w:cs="仿宋"/>
          <w:sz w:val="30"/>
          <w:szCs w:val="30"/>
        </w:rPr>
      </w:pPr>
      <w:r>
        <w:rPr>
          <w:rFonts w:ascii="仿宋" w:eastAsia="仿宋" w:hAnsi="仿宋" w:cs="仿宋" w:hint="eastAsia"/>
          <w:sz w:val="30"/>
          <w:szCs w:val="30"/>
        </w:rPr>
        <w:t>按支出项目类别及经济分类科目划分：基本支出</w:t>
      </w:r>
      <w:r>
        <w:rPr>
          <w:rFonts w:ascii="仿宋" w:eastAsia="仿宋" w:hAnsi="仿宋" w:cs="仿宋"/>
          <w:sz w:val="30"/>
          <w:szCs w:val="30"/>
        </w:rPr>
        <w:t>882.56</w:t>
      </w:r>
      <w:r>
        <w:rPr>
          <w:rFonts w:ascii="仿宋" w:eastAsia="仿宋" w:hAnsi="仿宋" w:cs="仿宋" w:hint="eastAsia"/>
          <w:sz w:val="30"/>
          <w:szCs w:val="30"/>
        </w:rPr>
        <w:t>万元，较上年预算安排增</w:t>
      </w:r>
      <w:r>
        <w:rPr>
          <w:rFonts w:ascii="仿宋" w:eastAsia="仿宋" w:hAnsi="仿宋" w:cs="仿宋"/>
          <w:sz w:val="30"/>
          <w:szCs w:val="30"/>
        </w:rPr>
        <w:t>236.48</w:t>
      </w:r>
      <w:r>
        <w:rPr>
          <w:rFonts w:ascii="仿宋" w:eastAsia="仿宋" w:hAnsi="仿宋" w:cs="仿宋" w:hint="eastAsia"/>
          <w:sz w:val="30"/>
          <w:szCs w:val="30"/>
        </w:rPr>
        <w:t>万元，其中：工资福利支出</w:t>
      </w:r>
      <w:r>
        <w:rPr>
          <w:rFonts w:ascii="仿宋" w:eastAsia="仿宋" w:hAnsi="仿宋" w:cs="仿宋"/>
          <w:sz w:val="30"/>
          <w:szCs w:val="30"/>
        </w:rPr>
        <w:t>743.05</w:t>
      </w:r>
      <w:r>
        <w:rPr>
          <w:rFonts w:ascii="仿宋" w:eastAsia="仿宋" w:hAnsi="仿宋" w:cs="仿宋" w:hint="eastAsia"/>
          <w:sz w:val="30"/>
          <w:szCs w:val="30"/>
        </w:rPr>
        <w:t>万元、商品和服务支出</w:t>
      </w:r>
      <w:r>
        <w:rPr>
          <w:rFonts w:ascii="仿宋" w:eastAsia="仿宋" w:hAnsi="仿宋" w:cs="仿宋"/>
          <w:sz w:val="30"/>
          <w:szCs w:val="30"/>
        </w:rPr>
        <w:t>127.87</w:t>
      </w:r>
      <w:r>
        <w:rPr>
          <w:rFonts w:ascii="仿宋" w:eastAsia="仿宋" w:hAnsi="仿宋" w:cs="仿宋" w:hint="eastAsia"/>
          <w:sz w:val="30"/>
          <w:szCs w:val="30"/>
        </w:rPr>
        <w:t>万元、对个人和家庭的补助支出</w:t>
      </w:r>
      <w:r>
        <w:rPr>
          <w:rFonts w:ascii="仿宋" w:eastAsia="仿宋" w:hAnsi="仿宋" w:cs="仿宋"/>
          <w:sz w:val="30"/>
          <w:szCs w:val="30"/>
        </w:rPr>
        <w:t>11.64</w:t>
      </w:r>
      <w:r>
        <w:rPr>
          <w:rFonts w:ascii="仿宋" w:eastAsia="仿宋" w:hAnsi="仿宋" w:cs="仿宋" w:hint="eastAsia"/>
          <w:sz w:val="30"/>
          <w:szCs w:val="30"/>
        </w:rPr>
        <w:t>万元、资本性支出0万元。项目支出</w:t>
      </w:r>
      <w:r>
        <w:rPr>
          <w:rFonts w:ascii="仿宋" w:eastAsia="仿宋" w:hAnsi="仿宋" w:cs="仿宋"/>
          <w:sz w:val="30"/>
          <w:szCs w:val="30"/>
        </w:rPr>
        <w:t>274</w:t>
      </w:r>
      <w:r>
        <w:rPr>
          <w:rFonts w:ascii="仿宋" w:eastAsia="仿宋" w:hAnsi="仿宋" w:cs="仿宋" w:hint="eastAsia"/>
          <w:sz w:val="30"/>
          <w:szCs w:val="30"/>
        </w:rPr>
        <w:t>万元，较上年预算安排减</w:t>
      </w:r>
      <w:r>
        <w:rPr>
          <w:rFonts w:ascii="仿宋" w:eastAsia="仿宋" w:hAnsi="仿宋" w:cs="仿宋"/>
          <w:sz w:val="30"/>
          <w:szCs w:val="30"/>
        </w:rPr>
        <w:t>0.84</w:t>
      </w:r>
      <w:r>
        <w:rPr>
          <w:rFonts w:ascii="仿宋" w:eastAsia="仿宋" w:hAnsi="仿宋" w:cs="仿宋" w:hint="eastAsia"/>
          <w:sz w:val="30"/>
          <w:szCs w:val="30"/>
        </w:rPr>
        <w:t>万元，其中：工资福利支出0万元，商品和服务支出274万元，对个人和家庭的补助0万元，资本性支出0万元，其他相关支出0万元。</w:t>
      </w:r>
    </w:p>
    <w:p w:rsidR="00B9538B" w:rsidRDefault="00CE2F28">
      <w:pPr>
        <w:spacing w:line="560" w:lineRule="exact"/>
        <w:ind w:firstLineChars="200" w:firstLine="600"/>
        <w:rPr>
          <w:rFonts w:ascii="仿宋" w:eastAsia="仿宋" w:hAnsi="仿宋" w:cs="仿宋"/>
          <w:color w:val="000000"/>
          <w:sz w:val="32"/>
          <w:szCs w:val="32"/>
        </w:rPr>
      </w:pPr>
      <w:r>
        <w:rPr>
          <w:rFonts w:ascii="仿宋" w:eastAsia="仿宋" w:hAnsi="仿宋" w:cs="仿宋" w:hint="eastAsia"/>
          <w:sz w:val="30"/>
          <w:szCs w:val="30"/>
        </w:rPr>
        <w:t>按支出功能分类科目划分：</w:t>
      </w:r>
      <w:r>
        <w:rPr>
          <w:rFonts w:ascii="宋体" w:eastAsia="仿宋_GB2312" w:hAnsi="宋体" w:cs="仿宋_GB2312" w:hint="eastAsia"/>
          <w:sz w:val="32"/>
          <w:szCs w:val="32"/>
        </w:rPr>
        <w:t>公共安全支出</w:t>
      </w:r>
      <w:r>
        <w:rPr>
          <w:rFonts w:ascii="宋体" w:eastAsia="仿宋_GB2312" w:hAnsi="宋体" w:cs="仿宋_GB2312"/>
          <w:sz w:val="32"/>
          <w:szCs w:val="32"/>
        </w:rPr>
        <w:t>918.99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158.4</w:t>
      </w:r>
      <w:r>
        <w:rPr>
          <w:rFonts w:ascii="仿宋" w:eastAsia="仿宋" w:hAnsi="仿宋" w:cs="仿宋" w:hint="eastAsia"/>
          <w:sz w:val="32"/>
          <w:szCs w:val="32"/>
        </w:rPr>
        <w:t>2万元</w:t>
      </w:r>
      <w:r>
        <w:rPr>
          <w:rFonts w:ascii="宋体" w:eastAsia="仿宋_GB2312" w:hAnsi="宋体" w:cs="仿宋_GB2312" w:hint="eastAsia"/>
          <w:sz w:val="32"/>
          <w:szCs w:val="32"/>
        </w:rPr>
        <w:t>；社会保障和就业支出</w:t>
      </w:r>
      <w:r>
        <w:rPr>
          <w:rFonts w:ascii="宋体" w:eastAsia="仿宋_GB2312" w:hAnsi="宋体" w:cs="仿宋_GB2312"/>
          <w:sz w:val="32"/>
          <w:szCs w:val="32"/>
        </w:rPr>
        <w:t>99.83</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42.75</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_GB2312" w:eastAsia="仿宋_GB2312" w:hAnsi="黑体" w:cs="黑体" w:hint="eastAsia"/>
          <w:sz w:val="32"/>
          <w:szCs w:val="32"/>
        </w:rPr>
        <w:t>卫生健康支出</w:t>
      </w:r>
      <w:r>
        <w:rPr>
          <w:rFonts w:ascii="仿宋_GB2312" w:eastAsia="仿宋_GB2312" w:hAnsi="黑体" w:cs="黑体"/>
          <w:sz w:val="32"/>
          <w:szCs w:val="32"/>
        </w:rPr>
        <w:t>66.89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16.41</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 w:eastAsia="仿宋" w:hAnsi="仿宋" w:cs="仿宋" w:hint="eastAsia"/>
          <w:sz w:val="32"/>
          <w:szCs w:val="32"/>
        </w:rPr>
        <w:t>住房保障支出</w:t>
      </w:r>
      <w:r>
        <w:rPr>
          <w:rFonts w:ascii="仿宋" w:eastAsia="仿宋" w:hAnsi="仿宋" w:cs="仿宋"/>
          <w:sz w:val="32"/>
          <w:szCs w:val="32"/>
        </w:rPr>
        <w:t>70.85</w:t>
      </w:r>
      <w:r>
        <w:rPr>
          <w:rFonts w:ascii="仿宋" w:eastAsia="仿宋" w:hAnsi="仿宋" w:cs="仿宋" w:hint="eastAsia"/>
          <w:sz w:val="32"/>
          <w:szCs w:val="32"/>
        </w:rPr>
        <w:t>万元，较上年预算安排增</w:t>
      </w:r>
      <w:r>
        <w:rPr>
          <w:rFonts w:ascii="仿宋" w:eastAsia="仿宋" w:hAnsi="仿宋" w:cs="仿宋"/>
          <w:sz w:val="32"/>
          <w:szCs w:val="32"/>
        </w:rPr>
        <w:t>18.06</w:t>
      </w:r>
      <w:r>
        <w:rPr>
          <w:rFonts w:ascii="仿宋" w:eastAsia="仿宋" w:hAnsi="仿宋" w:cs="仿宋" w:hint="eastAsia"/>
          <w:sz w:val="32"/>
          <w:szCs w:val="32"/>
        </w:rPr>
        <w:t>万元</w:t>
      </w:r>
      <w:r>
        <w:rPr>
          <w:rFonts w:ascii="仿宋" w:eastAsia="仿宋" w:hAnsi="仿宋" w:cs="仿宋" w:hint="eastAsia"/>
          <w:color w:val="000000"/>
          <w:sz w:val="32"/>
          <w:szCs w:val="32"/>
        </w:rPr>
        <w:t>；其他支出0万元，</w:t>
      </w:r>
      <w:r>
        <w:rPr>
          <w:rFonts w:ascii="仿宋" w:eastAsia="仿宋" w:hAnsi="仿宋" w:cs="仿宋" w:hint="eastAsia"/>
          <w:sz w:val="32"/>
          <w:szCs w:val="32"/>
        </w:rPr>
        <w:t>较上年预算安排增0万元</w:t>
      </w:r>
      <w:r>
        <w:rPr>
          <w:rFonts w:ascii="仿宋" w:eastAsia="仿宋" w:hAnsi="仿宋" w:cs="仿宋" w:hint="eastAsia"/>
          <w:color w:val="000000"/>
          <w:sz w:val="32"/>
          <w:szCs w:val="32"/>
        </w:rPr>
        <w:t>。</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（四）政府性基金情况</w:t>
      </w:r>
    </w:p>
    <w:p w:rsidR="00B9538B" w:rsidRDefault="00CE2F28">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无政府性基金预算拨款安排的支出。</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年部门机关运行费预算</w:t>
      </w:r>
      <w:r>
        <w:rPr>
          <w:rFonts w:ascii="仿宋" w:eastAsia="仿宋" w:hAnsi="仿宋" w:cs="仿宋"/>
          <w:sz w:val="32"/>
          <w:szCs w:val="32"/>
        </w:rPr>
        <w:t>84</w:t>
      </w:r>
      <w:r>
        <w:rPr>
          <w:rFonts w:ascii="仿宋" w:eastAsia="仿宋" w:hAnsi="仿宋" w:cs="仿宋" w:hint="eastAsia"/>
          <w:sz w:val="32"/>
          <w:szCs w:val="32"/>
        </w:rPr>
        <w:t>万元，比</w:t>
      </w:r>
      <w:r>
        <w:rPr>
          <w:rFonts w:ascii="仿宋" w:eastAsia="仿宋" w:hAnsi="仿宋" w:cs="仿宋"/>
          <w:sz w:val="32"/>
          <w:szCs w:val="32"/>
        </w:rPr>
        <w:t>2022</w:t>
      </w:r>
      <w:r>
        <w:rPr>
          <w:rFonts w:ascii="仿宋" w:eastAsia="仿宋" w:hAnsi="仿宋" w:cs="仿宋" w:hint="eastAsia"/>
          <w:sz w:val="32"/>
          <w:szCs w:val="32"/>
        </w:rPr>
        <w:t>年预算增加</w:t>
      </w:r>
      <w:r>
        <w:rPr>
          <w:rFonts w:ascii="仿宋" w:eastAsia="仿宋" w:hAnsi="仿宋" w:cs="仿宋"/>
          <w:sz w:val="32"/>
          <w:szCs w:val="32"/>
        </w:rPr>
        <w:t>18.2</w:t>
      </w:r>
      <w:r>
        <w:rPr>
          <w:rFonts w:ascii="仿宋" w:eastAsia="仿宋" w:hAnsi="仿宋" w:cs="仿宋" w:hint="eastAsia"/>
          <w:sz w:val="32"/>
          <w:szCs w:val="32"/>
        </w:rPr>
        <w:t>万元，增长</w:t>
      </w:r>
      <w:r>
        <w:rPr>
          <w:rFonts w:ascii="仿宋" w:eastAsia="仿宋" w:hAnsi="仿宋" w:cs="仿宋"/>
          <w:sz w:val="32"/>
          <w:szCs w:val="32"/>
        </w:rPr>
        <w:t>27.66</w:t>
      </w:r>
      <w:r>
        <w:rPr>
          <w:rFonts w:ascii="仿宋" w:eastAsia="仿宋" w:hAnsi="仿宋" w:cs="仿宋" w:hint="eastAsia"/>
          <w:sz w:val="32"/>
          <w:szCs w:val="32"/>
        </w:rPr>
        <w:t>％。增减主要原因是：业务工作量增加。</w:t>
      </w:r>
    </w:p>
    <w:p w:rsidR="00B9538B" w:rsidRDefault="00CE2F28">
      <w:pPr>
        <w:pStyle w:val="a0"/>
        <w:ind w:firstLineChars="200" w:firstLine="640"/>
      </w:pPr>
      <w:r>
        <w:rPr>
          <w:rFonts w:hint="eastAsia"/>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年部门所属各单位政府采购总额</w:t>
      </w:r>
      <w:r>
        <w:rPr>
          <w:rFonts w:ascii="仿宋" w:eastAsia="仿宋" w:hAnsi="仿宋" w:cs="仿宋"/>
          <w:sz w:val="32"/>
          <w:szCs w:val="32"/>
        </w:rPr>
        <w:t>20</w:t>
      </w:r>
      <w:r>
        <w:rPr>
          <w:rFonts w:ascii="仿宋" w:eastAsia="仿宋" w:hAnsi="仿宋" w:cs="仿宋" w:hint="eastAsia"/>
          <w:sz w:val="32"/>
          <w:szCs w:val="32"/>
        </w:rPr>
        <w:t>万元，其中：政府采购货物预算</w:t>
      </w:r>
      <w:r>
        <w:rPr>
          <w:rFonts w:ascii="仿宋" w:eastAsia="仿宋" w:hAnsi="仿宋" w:cs="仿宋"/>
          <w:sz w:val="32"/>
          <w:szCs w:val="32"/>
        </w:rPr>
        <w:t>20</w:t>
      </w:r>
      <w:r>
        <w:rPr>
          <w:rFonts w:ascii="仿宋" w:eastAsia="仿宋" w:hAnsi="仿宋" w:cs="仿宋" w:hint="eastAsia"/>
          <w:sz w:val="32"/>
          <w:szCs w:val="32"/>
        </w:rPr>
        <w:t>万元、政府采购工程预算</w:t>
      </w:r>
      <w:r>
        <w:rPr>
          <w:rFonts w:ascii="仿宋" w:eastAsia="仿宋" w:hAnsi="仿宋" w:cs="仿宋"/>
          <w:sz w:val="32"/>
          <w:szCs w:val="32"/>
        </w:rPr>
        <w:t>0</w:t>
      </w:r>
      <w:r>
        <w:rPr>
          <w:rFonts w:ascii="仿宋" w:eastAsia="仿宋" w:hAnsi="仿宋" w:cs="仿宋" w:hint="eastAsia"/>
          <w:sz w:val="32"/>
          <w:szCs w:val="32"/>
        </w:rPr>
        <w:t>万元、政府采购服务预算</w:t>
      </w:r>
      <w:r>
        <w:rPr>
          <w:rFonts w:ascii="仿宋" w:eastAsia="仿宋" w:hAnsi="仿宋" w:cs="仿宋"/>
          <w:sz w:val="32"/>
          <w:szCs w:val="32"/>
        </w:rPr>
        <w:t>0</w:t>
      </w:r>
      <w:r>
        <w:rPr>
          <w:rFonts w:ascii="仿宋" w:eastAsia="仿宋" w:hAnsi="仿宋" w:cs="仿宋" w:hint="eastAsia"/>
          <w:sz w:val="32"/>
          <w:szCs w:val="32"/>
        </w:rPr>
        <w:t>万元。</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w:t>
      </w:r>
      <w:r>
        <w:rPr>
          <w:rFonts w:ascii="仿宋" w:eastAsia="仿宋" w:hAnsi="仿宋" w:cs="仿宋"/>
          <w:sz w:val="32"/>
          <w:szCs w:val="32"/>
        </w:rPr>
        <w:t>2022</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日部门共有车辆</w:t>
      </w:r>
      <w:r>
        <w:rPr>
          <w:rFonts w:ascii="仿宋" w:eastAsia="仿宋" w:hAnsi="仿宋" w:cs="仿宋"/>
          <w:sz w:val="32"/>
          <w:szCs w:val="32"/>
        </w:rPr>
        <w:t>2</w:t>
      </w:r>
      <w:r>
        <w:rPr>
          <w:rFonts w:ascii="仿宋" w:eastAsia="仿宋" w:hAnsi="仿宋" w:cs="仿宋" w:hint="eastAsia"/>
          <w:sz w:val="32"/>
          <w:szCs w:val="32"/>
        </w:rPr>
        <w:t>辆，其中：一般公务用车</w:t>
      </w:r>
      <w:r>
        <w:rPr>
          <w:rFonts w:ascii="仿宋" w:eastAsia="仿宋" w:hAnsi="仿宋" w:cs="仿宋"/>
          <w:sz w:val="32"/>
          <w:szCs w:val="32"/>
        </w:rPr>
        <w:t>0</w:t>
      </w:r>
      <w:r>
        <w:rPr>
          <w:rFonts w:ascii="仿宋" w:eastAsia="仿宋" w:hAnsi="仿宋" w:cs="仿宋" w:hint="eastAsia"/>
          <w:sz w:val="32"/>
          <w:szCs w:val="32"/>
        </w:rPr>
        <w:t>辆、执法执勤用车</w:t>
      </w:r>
      <w:r>
        <w:rPr>
          <w:rFonts w:ascii="仿宋" w:eastAsia="仿宋" w:hAnsi="仿宋" w:cs="仿宋"/>
          <w:sz w:val="32"/>
          <w:szCs w:val="32"/>
        </w:rPr>
        <w:t>2</w:t>
      </w:r>
      <w:r>
        <w:rPr>
          <w:rFonts w:ascii="仿宋" w:eastAsia="仿宋" w:hAnsi="仿宋" w:cs="仿宋" w:hint="eastAsia"/>
          <w:sz w:val="32"/>
          <w:szCs w:val="32"/>
        </w:rPr>
        <w:t>辆。</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年本部门预算安排购置车辆</w:t>
      </w:r>
      <w:r>
        <w:rPr>
          <w:rFonts w:ascii="仿宋" w:eastAsia="仿宋" w:hAnsi="仿宋" w:cs="仿宋"/>
          <w:sz w:val="32"/>
          <w:szCs w:val="32"/>
        </w:rPr>
        <w:t>0</w:t>
      </w:r>
      <w:r>
        <w:rPr>
          <w:rFonts w:ascii="仿宋" w:eastAsia="仿宋" w:hAnsi="仿宋" w:cs="仿宋" w:hint="eastAsia"/>
          <w:sz w:val="32"/>
          <w:szCs w:val="32"/>
        </w:rPr>
        <w:t>辆，安排购置单位价值</w:t>
      </w:r>
      <w:r>
        <w:rPr>
          <w:rFonts w:ascii="仿宋" w:eastAsia="仿宋" w:hAnsi="仿宋" w:cs="仿宋"/>
          <w:sz w:val="32"/>
          <w:szCs w:val="32"/>
        </w:rPr>
        <w:t>200</w:t>
      </w:r>
      <w:r>
        <w:rPr>
          <w:rFonts w:ascii="仿宋" w:eastAsia="仿宋" w:hAnsi="仿宋" w:cs="仿宋" w:hint="eastAsia"/>
          <w:sz w:val="32"/>
          <w:szCs w:val="32"/>
        </w:rPr>
        <w:t>万元以上大型设备具体为：无。</w:t>
      </w:r>
    </w:p>
    <w:p w:rsidR="00B9538B" w:rsidRDefault="00CE2F28">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年实行绩效目标管理的项目10个，涉及资金</w:t>
      </w:r>
      <w:r>
        <w:rPr>
          <w:rFonts w:ascii="仿宋" w:eastAsia="仿宋" w:hAnsi="仿宋" w:cs="仿宋"/>
          <w:sz w:val="32"/>
          <w:szCs w:val="32"/>
        </w:rPr>
        <w:t>274</w:t>
      </w:r>
      <w:r>
        <w:rPr>
          <w:rFonts w:ascii="仿宋" w:eastAsia="仿宋" w:hAnsi="仿宋" w:cs="仿宋" w:hint="eastAsia"/>
          <w:sz w:val="32"/>
          <w:szCs w:val="32"/>
        </w:rPr>
        <w:t>万元。其中：</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项目名称：司法专项经费</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lastRenderedPageBreak/>
        <w:t>1.</w:t>
      </w:r>
      <w:r>
        <w:rPr>
          <w:rFonts w:ascii="仿宋" w:eastAsia="仿宋" w:hAnsi="仿宋" w:cs="仿宋" w:hint="eastAsia"/>
          <w:sz w:val="32"/>
          <w:szCs w:val="32"/>
        </w:rPr>
        <w:t>项目概述：主要用于支持人民参与和促进工作、社区矫正工作、公共法律服务工作、法治宣传工作、依法治县工作、法治政府建设工作、律师工作经费。</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立项依据：《财政部</w:t>
      </w:r>
      <w:r>
        <w:rPr>
          <w:rFonts w:ascii="仿宋" w:eastAsia="仿宋" w:hAnsi="仿宋" w:cs="仿宋"/>
          <w:sz w:val="32"/>
          <w:szCs w:val="32"/>
        </w:rPr>
        <w:t xml:space="preserve"> </w:t>
      </w:r>
      <w:r>
        <w:rPr>
          <w:rFonts w:ascii="仿宋" w:eastAsia="仿宋" w:hAnsi="仿宋" w:cs="仿宋" w:hint="eastAsia"/>
          <w:sz w:val="32"/>
          <w:szCs w:val="32"/>
        </w:rPr>
        <w:t>司法部关于进一步加强人民调解工作经费保障的意见》；最高人民检察院、司法部《深化人民监督员制度改革方案》；财政部、司法部《关于进一步加强社区矫正经费保障工作的意见》；中共中央办公厅、国务院办公厅印发《关于推行法律顾问制度和公职律师制度的意见》；中央全面依法治国委员会《行政复议体制改革方案》；《江西省人民政府办公厅关于进一步加强行政应诉和行政复议工作的意见》；中共江西省委办公厅《关于建立全省公共法律服务平台意见》的通知；中共赣州市委办公厅、赣州市人民政府办公厅《关于完善法律援助制度的实施意见》</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实施主体：兴国县司法局本级</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实施周期：</w:t>
      </w: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sz w:val="32"/>
          <w:szCs w:val="32"/>
        </w:rPr>
        <w:t>1</w:t>
      </w:r>
      <w:r>
        <w:rPr>
          <w:rFonts w:ascii="仿宋" w:eastAsia="仿宋" w:hAnsi="仿宋" w:cs="仿宋" w:hint="eastAsia"/>
          <w:sz w:val="32"/>
          <w:szCs w:val="32"/>
        </w:rPr>
        <w:t>月</w:t>
      </w:r>
      <w:r>
        <w:rPr>
          <w:rFonts w:ascii="仿宋" w:eastAsia="仿宋" w:hAnsi="仿宋" w:cs="仿宋"/>
          <w:sz w:val="32"/>
          <w:szCs w:val="32"/>
        </w:rPr>
        <w:t>1</w:t>
      </w:r>
      <w:r>
        <w:rPr>
          <w:rFonts w:ascii="仿宋" w:eastAsia="仿宋" w:hAnsi="仿宋" w:cs="仿宋" w:hint="eastAsia"/>
          <w:sz w:val="32"/>
          <w:szCs w:val="32"/>
        </w:rPr>
        <w:t>日至</w:t>
      </w: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年度预算安排：</w:t>
      </w:r>
      <w:r>
        <w:rPr>
          <w:rFonts w:ascii="仿宋" w:eastAsia="仿宋" w:hAnsi="仿宋" w:cs="仿宋"/>
          <w:sz w:val="32"/>
          <w:szCs w:val="32"/>
        </w:rPr>
        <w:t>274</w:t>
      </w:r>
      <w:r>
        <w:rPr>
          <w:rFonts w:ascii="仿宋" w:eastAsia="仿宋" w:hAnsi="仿宋" w:cs="仿宋" w:hint="eastAsia"/>
          <w:sz w:val="32"/>
          <w:szCs w:val="32"/>
        </w:rPr>
        <w:t>万元</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年度绩效目标：</w:t>
      </w:r>
      <w:r>
        <w:rPr>
          <w:rFonts w:ascii="仿宋" w:eastAsia="仿宋" w:hAnsi="仿宋" w:cs="仿宋"/>
          <w:sz w:val="32"/>
          <w:szCs w:val="32"/>
        </w:rPr>
        <w:t>1</w:t>
      </w:r>
      <w:r>
        <w:rPr>
          <w:rFonts w:ascii="仿宋" w:eastAsia="仿宋" w:hAnsi="仿宋" w:cs="仿宋" w:hint="eastAsia"/>
          <w:sz w:val="32"/>
          <w:szCs w:val="32"/>
        </w:rPr>
        <w:t>、统筹推进法治兴国建设规划，推动“八五”普法规划工作目标和农村“法律明白人”培养工作。</w:t>
      </w:r>
      <w:r>
        <w:rPr>
          <w:rFonts w:ascii="仿宋" w:eastAsia="仿宋" w:hAnsi="仿宋" w:cs="仿宋"/>
          <w:sz w:val="32"/>
          <w:szCs w:val="32"/>
        </w:rPr>
        <w:t>2</w:t>
      </w:r>
      <w:r>
        <w:rPr>
          <w:rFonts w:ascii="仿宋" w:eastAsia="仿宋" w:hAnsi="仿宋" w:cs="仿宋" w:hint="eastAsia"/>
          <w:sz w:val="32"/>
          <w:szCs w:val="32"/>
        </w:rPr>
        <w:t>、加强社区矫正工作人员培训。</w:t>
      </w:r>
      <w:r>
        <w:rPr>
          <w:rFonts w:ascii="仿宋" w:eastAsia="仿宋" w:hAnsi="仿宋" w:cs="仿宋"/>
          <w:sz w:val="32"/>
          <w:szCs w:val="32"/>
        </w:rPr>
        <w:t>3</w:t>
      </w:r>
      <w:r>
        <w:rPr>
          <w:rFonts w:ascii="仿宋" w:eastAsia="仿宋" w:hAnsi="仿宋" w:cs="仿宋" w:hint="eastAsia"/>
          <w:sz w:val="32"/>
          <w:szCs w:val="32"/>
        </w:rPr>
        <w:t>、深入推进法治政府建设，高质量做好合法性审查、行政复议、行政执法监督等工作。</w:t>
      </w:r>
      <w:r>
        <w:rPr>
          <w:rFonts w:ascii="仿宋" w:eastAsia="仿宋" w:hAnsi="仿宋" w:cs="仿宋"/>
          <w:sz w:val="32"/>
          <w:szCs w:val="32"/>
        </w:rPr>
        <w:t>4</w:t>
      </w:r>
      <w:r>
        <w:rPr>
          <w:rFonts w:ascii="仿宋" w:eastAsia="仿宋" w:hAnsi="仿宋" w:cs="仿宋" w:hint="eastAsia"/>
          <w:sz w:val="32"/>
          <w:szCs w:val="32"/>
        </w:rPr>
        <w:t>、推进司法行政改革，扎实做好法律援助法贯彻实施。</w:t>
      </w:r>
      <w:r>
        <w:rPr>
          <w:rFonts w:ascii="仿宋" w:eastAsia="仿宋" w:hAnsi="仿宋" w:cs="仿宋"/>
          <w:sz w:val="32"/>
          <w:szCs w:val="32"/>
        </w:rPr>
        <w:t>5</w:t>
      </w:r>
      <w:r>
        <w:rPr>
          <w:rFonts w:ascii="仿宋" w:eastAsia="仿宋" w:hAnsi="仿宋" w:cs="仿宋" w:hint="eastAsia"/>
          <w:sz w:val="32"/>
          <w:szCs w:val="32"/>
        </w:rPr>
        <w:t>、提升公共法律服务水平。</w:t>
      </w:r>
      <w:r>
        <w:rPr>
          <w:rFonts w:ascii="仿宋" w:eastAsia="仿宋" w:hAnsi="仿宋" w:cs="仿宋"/>
          <w:sz w:val="32"/>
          <w:szCs w:val="32"/>
        </w:rPr>
        <w:t>6</w:t>
      </w:r>
      <w:r>
        <w:rPr>
          <w:rFonts w:ascii="仿宋" w:eastAsia="仿宋" w:hAnsi="仿宋" w:cs="仿宋" w:hint="eastAsia"/>
          <w:sz w:val="32"/>
          <w:szCs w:val="32"/>
        </w:rPr>
        <w:t>、抓好系统自身建设。</w:t>
      </w:r>
    </w:p>
    <w:p w:rsidR="00B9538B" w:rsidRDefault="00CE2F28">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（九）国有资本经营情况</w:t>
      </w:r>
    </w:p>
    <w:p w:rsidR="00B9538B" w:rsidRDefault="00CE2F28">
      <w:pPr>
        <w:spacing w:line="600" w:lineRule="exact"/>
        <w:ind w:firstLineChars="200" w:firstLine="640"/>
        <w:rPr>
          <w:rFonts w:ascii="仿宋" w:eastAsia="仿宋" w:hAnsi="仿宋" w:cs="仿宋"/>
          <w:sz w:val="28"/>
          <w:szCs w:val="28"/>
        </w:rPr>
      </w:pPr>
      <w:r>
        <w:rPr>
          <w:rFonts w:ascii="仿宋" w:eastAsia="仿宋" w:hAnsi="仿宋" w:cs="仿宋" w:hint="eastAsia"/>
          <w:sz w:val="32"/>
          <w:szCs w:val="32"/>
        </w:rPr>
        <w:t>无使用国有资本经营预算拨款安排的支出。</w:t>
      </w:r>
    </w:p>
    <w:p w:rsidR="00B9538B" w:rsidRDefault="00B9538B">
      <w:pPr>
        <w:pStyle w:val="a0"/>
        <w:ind w:firstLine="320"/>
        <w:rPr>
          <w:lang w:val="en-US"/>
        </w:rPr>
      </w:pPr>
    </w:p>
    <w:p w:rsidR="00B9538B" w:rsidRDefault="00CE2F28">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b/>
          <w:bCs/>
          <w:sz w:val="32"/>
          <w:szCs w:val="32"/>
        </w:rPr>
        <w:t>2023</w:t>
      </w:r>
      <w:r>
        <w:rPr>
          <w:rFonts w:ascii="楷体" w:eastAsia="楷体" w:hAnsi="楷体" w:cs="楷体" w:hint="eastAsia"/>
          <w:b/>
          <w:bCs/>
          <w:sz w:val="32"/>
          <w:szCs w:val="32"/>
        </w:rPr>
        <w:t>年“三公”经费预算情况说明</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年兴国县司法局“三公”经费一般公共预算安排</w:t>
      </w:r>
      <w:r>
        <w:rPr>
          <w:rFonts w:ascii="仿宋" w:eastAsia="仿宋" w:hAnsi="仿宋" w:cs="仿宋"/>
          <w:sz w:val="32"/>
          <w:szCs w:val="32"/>
        </w:rPr>
        <w:t>26.5</w:t>
      </w:r>
      <w:r>
        <w:rPr>
          <w:rFonts w:ascii="仿宋" w:eastAsia="仿宋" w:hAnsi="仿宋" w:cs="仿宋" w:hint="eastAsia"/>
          <w:sz w:val="32"/>
          <w:szCs w:val="32"/>
        </w:rPr>
        <w:t>万元。其中：</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w:t>
      </w:r>
      <w:r>
        <w:rPr>
          <w:rFonts w:ascii="仿宋" w:eastAsia="仿宋" w:hAnsi="仿宋" w:cs="仿宋"/>
          <w:sz w:val="32"/>
          <w:szCs w:val="32"/>
        </w:rPr>
        <w:t>0</w:t>
      </w:r>
      <w:r>
        <w:rPr>
          <w:rFonts w:ascii="仿宋" w:eastAsia="仿宋" w:hAnsi="仿宋" w:cs="仿宋" w:hint="eastAsia"/>
          <w:sz w:val="32"/>
          <w:szCs w:val="32"/>
        </w:rPr>
        <w:t>万元，比上年增（减）</w:t>
      </w:r>
      <w:r>
        <w:rPr>
          <w:rFonts w:ascii="仿宋" w:eastAsia="仿宋" w:hAnsi="仿宋" w:cs="仿宋"/>
          <w:sz w:val="32"/>
          <w:szCs w:val="32"/>
        </w:rPr>
        <w:t>0</w:t>
      </w:r>
      <w:r>
        <w:rPr>
          <w:rFonts w:ascii="仿宋" w:eastAsia="仿宋" w:hAnsi="仿宋" w:cs="仿宋" w:hint="eastAsia"/>
          <w:sz w:val="32"/>
          <w:szCs w:val="32"/>
        </w:rPr>
        <w:t>万元，主</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要原因是：无。</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w:t>
      </w:r>
      <w:r>
        <w:rPr>
          <w:rFonts w:ascii="仿宋" w:eastAsia="仿宋" w:hAnsi="仿宋" w:cs="仿宋"/>
          <w:sz w:val="32"/>
          <w:szCs w:val="32"/>
        </w:rPr>
        <w:t>26</w:t>
      </w:r>
      <w:r>
        <w:rPr>
          <w:rFonts w:ascii="仿宋" w:eastAsia="仿宋" w:hAnsi="仿宋" w:cs="仿宋" w:hint="eastAsia"/>
          <w:sz w:val="32"/>
          <w:szCs w:val="32"/>
        </w:rPr>
        <w:t>万元，比上年减</w:t>
      </w:r>
      <w:r>
        <w:rPr>
          <w:rFonts w:ascii="仿宋" w:eastAsia="仿宋" w:hAnsi="仿宋" w:cs="仿宋"/>
          <w:sz w:val="32"/>
          <w:szCs w:val="32"/>
        </w:rPr>
        <w:t>2</w:t>
      </w:r>
      <w:r>
        <w:rPr>
          <w:rFonts w:ascii="仿宋" w:eastAsia="仿宋" w:hAnsi="仿宋" w:cs="仿宋" w:hint="eastAsia"/>
          <w:sz w:val="32"/>
          <w:szCs w:val="32"/>
        </w:rPr>
        <w:t>万元，主要原因</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是：压缩开支。</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w:t>
      </w:r>
      <w:r>
        <w:rPr>
          <w:rFonts w:ascii="仿宋" w:eastAsia="仿宋" w:hAnsi="仿宋" w:cs="仿宋"/>
          <w:sz w:val="32"/>
          <w:szCs w:val="32"/>
        </w:rPr>
        <w:t>0.5</w:t>
      </w:r>
      <w:r>
        <w:rPr>
          <w:rFonts w:ascii="仿宋" w:eastAsia="仿宋" w:hAnsi="仿宋" w:cs="仿宋" w:hint="eastAsia"/>
          <w:sz w:val="32"/>
          <w:szCs w:val="32"/>
        </w:rPr>
        <w:t>万元，比上年增</w:t>
      </w:r>
      <w:r>
        <w:rPr>
          <w:rFonts w:ascii="仿宋" w:eastAsia="仿宋" w:hAnsi="仿宋" w:cs="仿宋"/>
          <w:sz w:val="32"/>
          <w:szCs w:val="32"/>
        </w:rPr>
        <w:t>0.5</w:t>
      </w:r>
      <w:r>
        <w:rPr>
          <w:rFonts w:ascii="仿宋" w:eastAsia="仿宋" w:hAnsi="仿宋" w:cs="仿宋" w:hint="eastAsia"/>
          <w:sz w:val="32"/>
          <w:szCs w:val="32"/>
        </w:rPr>
        <w:t>万元，</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主要原因是：维护费增加。</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w:t>
      </w:r>
      <w:r>
        <w:rPr>
          <w:rFonts w:ascii="仿宋" w:eastAsia="仿宋" w:hAnsi="仿宋" w:cs="仿宋"/>
          <w:sz w:val="32"/>
          <w:szCs w:val="32"/>
        </w:rPr>
        <w:t>0</w:t>
      </w:r>
      <w:r>
        <w:rPr>
          <w:rFonts w:ascii="仿宋" w:eastAsia="仿宋" w:hAnsi="仿宋" w:cs="仿宋" w:hint="eastAsia"/>
          <w:sz w:val="32"/>
          <w:szCs w:val="32"/>
        </w:rPr>
        <w:t>万元，比上年增（减）</w:t>
      </w:r>
      <w:r>
        <w:rPr>
          <w:rFonts w:ascii="仿宋" w:eastAsia="仿宋" w:hAnsi="仿宋" w:cs="仿宋"/>
          <w:sz w:val="32"/>
          <w:szCs w:val="32"/>
        </w:rPr>
        <w:t>0</w:t>
      </w:r>
      <w:r>
        <w:rPr>
          <w:rFonts w:ascii="仿宋" w:eastAsia="仿宋" w:hAnsi="仿宋" w:cs="仿宋" w:hint="eastAsia"/>
          <w:sz w:val="32"/>
          <w:szCs w:val="32"/>
        </w:rPr>
        <w:t>万元，主要</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原因是：无。</w:t>
      </w:r>
    </w:p>
    <w:p w:rsidR="00B9538B" w:rsidRDefault="00B9538B">
      <w:pPr>
        <w:spacing w:line="560" w:lineRule="exact"/>
        <w:ind w:firstLineChars="200" w:firstLine="640"/>
        <w:rPr>
          <w:rFonts w:ascii="仿宋" w:eastAsia="仿宋" w:hAnsi="仿宋" w:cs="仿宋"/>
          <w:sz w:val="32"/>
          <w:szCs w:val="32"/>
        </w:rPr>
      </w:pPr>
    </w:p>
    <w:p w:rsidR="00B9538B" w:rsidRDefault="00B9538B">
      <w:pPr>
        <w:pStyle w:val="a4"/>
        <w:rPr>
          <w:lang w:val="en-US"/>
        </w:rPr>
      </w:pPr>
    </w:p>
    <w:p w:rsidR="00B9538B" w:rsidRDefault="00B9538B">
      <w:pPr>
        <w:pStyle w:val="a4"/>
        <w:rPr>
          <w:lang w:val="en-US"/>
        </w:rPr>
      </w:pPr>
    </w:p>
    <w:p w:rsidR="00B9538B" w:rsidRDefault="00CE2F28">
      <w:pPr>
        <w:spacing w:line="560" w:lineRule="exact"/>
        <w:jc w:val="center"/>
        <w:rPr>
          <w:rFonts w:ascii="黑体" w:eastAsia="黑体" w:hAnsi="黑体" w:cs="黑体"/>
          <w:sz w:val="32"/>
          <w:szCs w:val="32"/>
        </w:rPr>
      </w:pPr>
      <w:r>
        <w:rPr>
          <w:rFonts w:ascii="黑体" w:eastAsia="黑体" w:hAnsi="黑体" w:cs="黑体" w:hint="eastAsia"/>
          <w:sz w:val="32"/>
          <w:szCs w:val="32"/>
        </w:rPr>
        <w:t>第三部分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2023</w:t>
      </w:r>
      <w:r>
        <w:rPr>
          <w:rFonts w:ascii="黑体" w:eastAsia="黑体" w:hAnsi="黑体" w:cs="黑体" w:hint="eastAsia"/>
          <w:sz w:val="32"/>
          <w:szCs w:val="32"/>
        </w:rPr>
        <w:t>年部门预算表</w:t>
      </w:r>
    </w:p>
    <w:p w:rsidR="00B9538B" w:rsidRDefault="00CE2F28">
      <w:pPr>
        <w:spacing w:line="560" w:lineRule="exact"/>
        <w:ind w:leftChars="284" w:left="621" w:hangingChars="12" w:hanging="25"/>
        <w:rPr>
          <w:szCs w:val="32"/>
        </w:rPr>
      </w:pPr>
      <w:r>
        <w:rPr>
          <w:noProof/>
        </w:rPr>
        <w:drawing>
          <wp:inline distT="0" distB="0" distL="0" distR="0">
            <wp:extent cx="657225" cy="209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srcRect/>
                    <a:stretch>
                      <a:fillRect/>
                    </a:stretch>
                  </pic:blipFill>
                  <pic:spPr>
                    <a:xfrm>
                      <a:off x="0" y="0"/>
                      <a:ext cx="657225" cy="209550"/>
                    </a:xfrm>
                    <a:prstGeom prst="rect">
                      <a:avLst/>
                    </a:prstGeom>
                    <a:noFill/>
                    <a:ln w="9525">
                      <a:noFill/>
                      <a:miter lim="800000"/>
                      <a:headEnd/>
                      <a:tailEnd/>
                    </a:ln>
                  </pic:spPr>
                </pic:pic>
              </a:graphicData>
            </a:graphic>
          </wp:inline>
        </w:drawing>
      </w:r>
      <w:r>
        <w:rPr>
          <w:noProof/>
        </w:rPr>
        <w:drawing>
          <wp:inline distT="0" distB="0" distL="0" distR="0">
            <wp:extent cx="657225" cy="209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a:srcRect/>
                    <a:stretch>
                      <a:fillRect/>
                    </a:stretch>
                  </pic:blipFill>
                  <pic:spPr>
                    <a:xfrm>
                      <a:off x="0" y="0"/>
                      <a:ext cx="657225" cy="209550"/>
                    </a:xfrm>
                    <a:prstGeom prst="rect">
                      <a:avLst/>
                    </a:prstGeom>
                    <a:noFill/>
                    <a:ln w="9525">
                      <a:noFill/>
                      <a:miter lim="800000"/>
                      <a:headEnd/>
                      <a:tailEnd/>
                    </a:ln>
                  </pic:spPr>
                </pic:pic>
              </a:graphicData>
            </a:graphic>
          </wp:inline>
        </w:drawing>
      </w:r>
    </w:p>
    <w:p w:rsidR="00B9538B" w:rsidRDefault="00CE2F28" w:rsidP="00EB6458">
      <w:pPr>
        <w:spacing w:line="560" w:lineRule="exact"/>
        <w:ind w:left="634" w:hangingChars="198" w:hanging="634"/>
        <w:rPr>
          <w:rFonts w:eastAsia="仿宋"/>
        </w:rPr>
      </w:pPr>
      <w:r>
        <w:rPr>
          <w:rFonts w:ascii="仿宋" w:eastAsia="仿宋" w:hAnsi="仿宋" w:cs="仿宋" w:hint="eastAsia"/>
          <w:sz w:val="32"/>
          <w:szCs w:val="32"/>
        </w:rPr>
        <w:t>一、《收支预算总表》（见附表）</w:t>
      </w:r>
    </w:p>
    <w:p w:rsidR="00B9538B" w:rsidRDefault="00CE2F28">
      <w:pPr>
        <w:pStyle w:val="a4"/>
        <w:rPr>
          <w:rFonts w:ascii="仿宋" w:eastAsia="仿宋" w:hAnsi="仿宋" w:cs="仿宋"/>
        </w:rPr>
      </w:pPr>
      <w:r>
        <w:rPr>
          <w:rFonts w:ascii="仿宋" w:eastAsia="仿宋" w:hAnsi="仿宋" w:cs="仿宋" w:hint="eastAsia"/>
        </w:rPr>
        <w:t>二、《部门收入总表》（见附表）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三、《部门支出总表》（见附表）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四、《财政拨款收支总表》（见附表）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五、《一般公共预算支出表》（见附表）</w:t>
      </w:r>
    </w:p>
    <w:p w:rsidR="00B9538B" w:rsidRDefault="00CE2F28">
      <w:pPr>
        <w:spacing w:line="560" w:lineRule="exact"/>
      </w:pPr>
      <w:r>
        <w:rPr>
          <w:rFonts w:ascii="仿宋" w:eastAsia="仿宋" w:hAnsi="仿宋" w:cs="仿宋" w:hint="eastAsia"/>
          <w:sz w:val="32"/>
          <w:szCs w:val="32"/>
        </w:rPr>
        <w:t>六、《一般公共预算基本支出表》（见附表）</w:t>
      </w:r>
    </w:p>
    <w:p w:rsidR="00B9538B" w:rsidRDefault="00CE2F28">
      <w:pPr>
        <w:pStyle w:val="a0"/>
        <w:ind w:firstLineChars="0" w:firstLine="0"/>
        <w:rPr>
          <w:rFonts w:ascii="仿宋" w:eastAsia="仿宋" w:hAnsi="仿宋" w:cs="仿宋"/>
        </w:rPr>
      </w:pPr>
      <w:r>
        <w:rPr>
          <w:rFonts w:ascii="仿宋" w:eastAsia="仿宋" w:hAnsi="仿宋" w:cs="仿宋" w:hint="eastAsia"/>
        </w:rPr>
        <w:t>七、《一般公共预算“三公”经费支出表》（见附表）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lastRenderedPageBreak/>
        <w:t>八、《政府性基金预算支出表》（见附表）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九、《国有资本经营预算支出表》（见附表）</w:t>
      </w:r>
    </w:p>
    <w:p w:rsidR="00B9538B" w:rsidRDefault="00CE2F28">
      <w:pPr>
        <w:spacing w:line="560" w:lineRule="exact"/>
        <w:rPr>
          <w:rFonts w:ascii="仿宋" w:eastAsia="仿宋" w:hAnsi="仿宋" w:cs="仿宋"/>
          <w:sz w:val="32"/>
          <w:szCs w:val="32"/>
        </w:rPr>
      </w:pPr>
      <w:r>
        <w:rPr>
          <w:rFonts w:ascii="仿宋" w:eastAsia="仿宋" w:hAnsi="仿宋" w:cs="仿宋" w:hint="eastAsia"/>
          <w:sz w:val="32"/>
          <w:szCs w:val="32"/>
        </w:rPr>
        <w:t>十、《部门整体支出绩效目标表》</w:t>
      </w:r>
    </w:p>
    <w:tbl>
      <w:tblPr>
        <w:tblW w:w="10020" w:type="dxa"/>
        <w:tblInd w:w="93" w:type="dxa"/>
        <w:tblLook w:val="04A0"/>
      </w:tblPr>
      <w:tblGrid>
        <w:gridCol w:w="10020"/>
      </w:tblGrid>
      <w:tr w:rsidR="00B9538B">
        <w:trPr>
          <w:trHeight w:val="799"/>
        </w:trPr>
        <w:tc>
          <w:tcPr>
            <w:tcW w:w="10020" w:type="dxa"/>
            <w:tcBorders>
              <w:top w:val="nil"/>
              <w:left w:val="nil"/>
              <w:bottom w:val="nil"/>
              <w:right w:val="nil"/>
            </w:tcBorders>
            <w:shd w:val="clear" w:color="auto" w:fill="auto"/>
            <w:vAlign w:val="center"/>
          </w:tcPr>
          <w:p w:rsidR="00B9538B" w:rsidRDefault="00B9538B">
            <w:pPr>
              <w:widowControl/>
              <w:jc w:val="center"/>
              <w:textAlignment w:val="center"/>
              <w:rPr>
                <w:rFonts w:ascii="方正小标宋简体" w:eastAsia="方正小标宋简体" w:hAnsi="方正小标宋简体" w:cs="方正小标宋简体"/>
                <w:color w:val="000000"/>
                <w:sz w:val="36"/>
                <w:szCs w:val="36"/>
              </w:rPr>
            </w:pPr>
          </w:p>
        </w:tc>
      </w:tr>
      <w:tr w:rsidR="00B9538B">
        <w:trPr>
          <w:trHeight w:val="499"/>
        </w:trPr>
        <w:tc>
          <w:tcPr>
            <w:tcW w:w="10020" w:type="dxa"/>
            <w:tcBorders>
              <w:top w:val="nil"/>
              <w:left w:val="nil"/>
              <w:bottom w:val="nil"/>
              <w:right w:val="nil"/>
            </w:tcBorders>
            <w:shd w:val="clear" w:color="auto" w:fill="auto"/>
            <w:vAlign w:val="center"/>
          </w:tcPr>
          <w:p w:rsidR="00B9538B" w:rsidRDefault="00CE2F28">
            <w:pPr>
              <w:widowControl/>
              <w:jc w:val="center"/>
              <w:textAlignment w:val="center"/>
              <w:rPr>
                <w:rFonts w:ascii="方正小标宋简体" w:eastAsia="方正小标宋简体" w:hAnsi="方正小标宋简体" w:cs="方正小标宋简体"/>
                <w:color w:val="000000"/>
                <w:sz w:val="28"/>
                <w:szCs w:val="28"/>
              </w:rPr>
            </w:pPr>
            <w:r>
              <w:rPr>
                <w:rFonts w:ascii="方正小标宋简体" w:eastAsia="方正小标宋简体" w:hAnsi="方正小标宋简体" w:cs="方正小标宋简体"/>
                <w:noProof/>
                <w:color w:val="000000"/>
                <w:sz w:val="28"/>
                <w:szCs w:val="28"/>
              </w:rPr>
              <w:drawing>
                <wp:anchor distT="0" distB="0" distL="114300" distR="114300" simplePos="0" relativeHeight="251660288" behindDoc="0" locked="0" layoutInCell="1" allowOverlap="1">
                  <wp:simplePos x="0" y="0"/>
                  <wp:positionH relativeFrom="column">
                    <wp:posOffset>-344805</wp:posOffset>
                  </wp:positionH>
                  <wp:positionV relativeFrom="paragraph">
                    <wp:posOffset>157480</wp:posOffset>
                  </wp:positionV>
                  <wp:extent cx="5267325" cy="5067300"/>
                  <wp:effectExtent l="19050" t="0" r="9525"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9"/>
                          <a:srcRect/>
                          <a:stretch>
                            <a:fillRect/>
                          </a:stretch>
                        </pic:blipFill>
                        <pic:spPr>
                          <a:xfrm>
                            <a:off x="0" y="0"/>
                            <a:ext cx="5267325" cy="5067300"/>
                          </a:xfrm>
                          <a:prstGeom prst="rect">
                            <a:avLst/>
                          </a:prstGeom>
                          <a:noFill/>
                        </pic:spPr>
                      </pic:pic>
                    </a:graphicData>
                  </a:graphic>
                </wp:anchor>
              </w:drawing>
            </w:r>
          </w:p>
        </w:tc>
      </w:tr>
    </w:tbl>
    <w:p w:rsidR="00B9538B" w:rsidRDefault="00B9538B">
      <w:pPr>
        <w:spacing w:line="560" w:lineRule="exact"/>
        <w:rPr>
          <w:rFonts w:ascii="仿宋" w:eastAsia="仿宋" w:hAnsi="仿宋" w:cs="仿宋"/>
          <w:sz w:val="32"/>
          <w:szCs w:val="32"/>
        </w:rPr>
      </w:pPr>
    </w:p>
    <w:p w:rsidR="00B9538B" w:rsidRDefault="00B9538B">
      <w:pPr>
        <w:spacing w:line="560" w:lineRule="exact"/>
        <w:rPr>
          <w:rFonts w:ascii="仿宋" w:eastAsia="仿宋" w:hAnsi="仿宋" w:cs="仿宋"/>
          <w:sz w:val="32"/>
          <w:szCs w:val="32"/>
        </w:rPr>
      </w:pPr>
    </w:p>
    <w:p w:rsidR="00B9538B" w:rsidRDefault="00B9538B">
      <w:pPr>
        <w:spacing w:line="560" w:lineRule="exact"/>
        <w:rPr>
          <w:rFonts w:ascii="仿宋" w:eastAsia="仿宋" w:hAnsi="仿宋" w:cs="仿宋"/>
          <w:sz w:val="32"/>
          <w:szCs w:val="32"/>
        </w:rPr>
      </w:pPr>
    </w:p>
    <w:p w:rsidR="00B9538B" w:rsidRDefault="00B9538B">
      <w:pPr>
        <w:pStyle w:val="a0"/>
        <w:ind w:firstLine="320"/>
      </w:pPr>
    </w:p>
    <w:p w:rsidR="00B9538B" w:rsidRDefault="00CE2F28">
      <w:pPr>
        <w:spacing w:line="560" w:lineRule="exact"/>
      </w:pPr>
      <w:r>
        <w:rPr>
          <w:rFonts w:ascii="仿宋" w:eastAsia="仿宋" w:hAnsi="仿宋" w:cs="仿宋" w:hint="eastAsia"/>
          <w:sz w:val="32"/>
          <w:szCs w:val="32"/>
        </w:rPr>
        <w:t>十一、《项目支出绩效目标表》</w:t>
      </w:r>
    </w:p>
    <w:p w:rsidR="00B9538B" w:rsidRDefault="00CE2F28">
      <w:pPr>
        <w:pStyle w:val="a4"/>
      </w:pPr>
      <w:r>
        <w:rPr>
          <w:noProof/>
          <w:lang w:val="en-US"/>
        </w:rPr>
        <w:lastRenderedPageBreak/>
        <w:drawing>
          <wp:anchor distT="0" distB="0" distL="114300" distR="114300" simplePos="0" relativeHeight="251659264" behindDoc="0" locked="0" layoutInCell="1" allowOverlap="1">
            <wp:simplePos x="0" y="0"/>
            <wp:positionH relativeFrom="column">
              <wp:posOffset>28575</wp:posOffset>
            </wp:positionH>
            <wp:positionV relativeFrom="paragraph">
              <wp:posOffset>270510</wp:posOffset>
            </wp:positionV>
            <wp:extent cx="5274310" cy="5934075"/>
            <wp:effectExtent l="19050" t="0" r="2540" b="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0"/>
                    <a:srcRect/>
                    <a:stretch>
                      <a:fillRect/>
                    </a:stretch>
                  </pic:blipFill>
                  <pic:spPr>
                    <a:xfrm>
                      <a:off x="0" y="0"/>
                      <a:ext cx="5274310" cy="5934075"/>
                    </a:xfrm>
                    <a:prstGeom prst="rect">
                      <a:avLst/>
                    </a:prstGeom>
                    <a:noFill/>
                    <a:ln w="9525">
                      <a:noFill/>
                      <a:miter lim="800000"/>
                      <a:headEnd/>
                      <a:tailEnd/>
                    </a:ln>
                  </pic:spPr>
                </pic:pic>
              </a:graphicData>
            </a:graphic>
          </wp:anchor>
        </w:drawing>
      </w:r>
    </w:p>
    <w:p w:rsidR="00B9538B" w:rsidRDefault="00B9538B">
      <w:pPr>
        <w:spacing w:line="560" w:lineRule="exact"/>
        <w:jc w:val="center"/>
        <w:rPr>
          <w:rFonts w:ascii="黑体" w:eastAsia="黑体" w:hAnsi="黑体" w:cs="黑体"/>
          <w:sz w:val="32"/>
          <w:szCs w:val="32"/>
        </w:rPr>
      </w:pPr>
    </w:p>
    <w:p w:rsidR="00B9538B" w:rsidRDefault="00B9538B">
      <w:pPr>
        <w:spacing w:line="560" w:lineRule="exact"/>
        <w:jc w:val="center"/>
        <w:rPr>
          <w:rFonts w:ascii="黑体" w:eastAsia="黑体" w:hAnsi="黑体" w:cs="黑体"/>
          <w:sz w:val="32"/>
          <w:szCs w:val="32"/>
        </w:rPr>
      </w:pPr>
    </w:p>
    <w:p w:rsidR="00B9538B" w:rsidRDefault="00B9538B">
      <w:pPr>
        <w:spacing w:line="560" w:lineRule="exact"/>
        <w:jc w:val="center"/>
        <w:rPr>
          <w:rFonts w:ascii="黑体" w:eastAsia="黑体" w:hAnsi="黑体" w:cs="黑体"/>
          <w:sz w:val="32"/>
          <w:szCs w:val="32"/>
        </w:rPr>
      </w:pPr>
    </w:p>
    <w:p w:rsidR="00B9538B" w:rsidRDefault="00B9538B">
      <w:pPr>
        <w:spacing w:line="560" w:lineRule="exact"/>
        <w:jc w:val="center"/>
        <w:rPr>
          <w:rFonts w:ascii="黑体" w:eastAsia="黑体" w:hAnsi="黑体" w:cs="黑体"/>
          <w:sz w:val="32"/>
          <w:szCs w:val="32"/>
        </w:rPr>
      </w:pPr>
    </w:p>
    <w:p w:rsidR="00B9538B" w:rsidRDefault="00B9538B">
      <w:pPr>
        <w:spacing w:line="560" w:lineRule="exact"/>
        <w:jc w:val="center"/>
        <w:rPr>
          <w:rFonts w:ascii="黑体" w:eastAsia="黑体" w:hAnsi="黑体" w:cs="黑体"/>
          <w:sz w:val="32"/>
          <w:szCs w:val="32"/>
        </w:rPr>
      </w:pPr>
    </w:p>
    <w:p w:rsidR="00B9538B" w:rsidRDefault="00B9538B">
      <w:pPr>
        <w:spacing w:line="560" w:lineRule="exact"/>
        <w:jc w:val="center"/>
        <w:rPr>
          <w:rFonts w:ascii="黑体" w:eastAsia="黑体" w:hAnsi="黑体" w:cs="黑体"/>
          <w:sz w:val="32"/>
          <w:szCs w:val="32"/>
        </w:rPr>
      </w:pPr>
    </w:p>
    <w:p w:rsidR="00B9538B" w:rsidRDefault="00CE2F28">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第四部分</w:t>
      </w:r>
      <w:r>
        <w:rPr>
          <w:rFonts w:ascii="黑体" w:eastAsia="黑体" w:hAnsi="黑体" w:cs="黑体"/>
          <w:sz w:val="32"/>
          <w:szCs w:val="32"/>
        </w:rPr>
        <w:t xml:space="preserve"> </w:t>
      </w:r>
      <w:r>
        <w:rPr>
          <w:rFonts w:ascii="黑体" w:eastAsia="黑体" w:hAnsi="黑体" w:cs="黑体" w:hint="eastAsia"/>
          <w:sz w:val="32"/>
          <w:szCs w:val="32"/>
        </w:rPr>
        <w:t>名词解释</w:t>
      </w:r>
    </w:p>
    <w:p w:rsidR="00B9538B" w:rsidRDefault="00B9538B" w:rsidP="00EB6458">
      <w:pPr>
        <w:spacing w:line="560" w:lineRule="exact"/>
        <w:ind w:firstLineChars="189" w:firstLine="605"/>
        <w:jc w:val="center"/>
        <w:rPr>
          <w:rFonts w:ascii="仿宋" w:eastAsia="仿宋" w:hAnsi="仿宋" w:cs="仿宋"/>
          <w:sz w:val="32"/>
          <w:szCs w:val="32"/>
        </w:rPr>
      </w:pPr>
    </w:p>
    <w:p w:rsidR="00B9538B" w:rsidRDefault="00CE2F28">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B9538B" w:rsidRDefault="00CE2F2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sz w:val="32"/>
          <w:szCs w:val="32"/>
        </w:rPr>
        <w:t>2023</w:t>
      </w:r>
      <w:r>
        <w:rPr>
          <w:rFonts w:ascii="仿宋" w:eastAsia="仿宋" w:hAnsi="仿宋" w:cs="仿宋" w:hint="eastAsia"/>
          <w:sz w:val="32"/>
          <w:szCs w:val="32"/>
        </w:rPr>
        <w:t>年收支差额的数额。</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sz w:val="32"/>
          <w:szCs w:val="32"/>
        </w:rPr>
        <w:t>2022</w:t>
      </w:r>
      <w:r>
        <w:rPr>
          <w:rFonts w:ascii="仿宋" w:eastAsia="仿宋" w:hAnsi="仿宋" w:cs="仿宋" w:hint="eastAsia"/>
          <w:sz w:val="32"/>
          <w:szCs w:val="32"/>
        </w:rPr>
        <w:t>年全部结转和结余的资金数，包括当年结转结余资金和历年滚存结转结余资金。</w:t>
      </w:r>
    </w:p>
    <w:p w:rsidR="00B9538B" w:rsidRDefault="00CE2F28">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B9538B" w:rsidRDefault="00CE2F28">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（三）机关事业单位基本养老保险缴费支出：反映机关事业单位实施养老保险制度由单位缴纳的基本养老保险费的支出。</w:t>
      </w:r>
    </w:p>
    <w:p w:rsidR="00B9538B" w:rsidRDefault="00CE2F28" w:rsidP="00EB6458">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B9538B" w:rsidRDefault="00CE2F28" w:rsidP="00EB6458">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rsidR="00B9538B" w:rsidRDefault="00CE2F28">
      <w:pPr>
        <w:spacing w:line="560" w:lineRule="exact"/>
        <w:ind w:firstLineChars="200" w:firstLine="640"/>
        <w:rPr>
          <w:rFonts w:ascii="宋体" w:cs="宋体"/>
          <w:b/>
          <w:bCs/>
          <w:color w:val="000000"/>
          <w:sz w:val="32"/>
          <w:szCs w:val="32"/>
        </w:rPr>
      </w:pPr>
      <w:r>
        <w:rPr>
          <w:rFonts w:ascii="仿宋" w:eastAsia="仿宋" w:hAnsi="仿宋" w:cs="仿宋" w:hint="eastAsia"/>
          <w:sz w:val="32"/>
          <w:szCs w:val="32"/>
        </w:rPr>
        <w:t>（六）死亡抚恤：反映单位遗属人员生活补助。</w:t>
      </w:r>
    </w:p>
    <w:p w:rsidR="00B9538B" w:rsidRDefault="00B9538B"/>
    <w:sectPr w:rsidR="00B9538B" w:rsidSect="00B9538B">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4AE" w:rsidRDefault="00A354AE" w:rsidP="00B9538B">
      <w:r>
        <w:separator/>
      </w:r>
    </w:p>
  </w:endnote>
  <w:endnote w:type="continuationSeparator" w:id="0">
    <w:p w:rsidR="00A354AE" w:rsidRDefault="00A354AE" w:rsidP="00B953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38B" w:rsidRDefault="004F4F70">
    <w:pPr>
      <w:pStyle w:val="a6"/>
    </w:pPr>
    <w:r>
      <w:pict>
        <v:shapetype id="_x0000_t202" coordsize="21600,21600" o:spt="202" path="m,l,21600r21600,l21600,xe">
          <v:stroke joinstyle="miter"/>
          <v:path gradientshapeok="t" o:connecttype="rect"/>
        </v:shapetype>
        <v:shape id="_x0000_s1026"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ojfF40QEAAKIDAAAOAAAAAAAAAAEAIAAAAB8BAABk&#10;cnMvZTJvRG9jLnhtbFBLBQYAAAAABgAGAFkBAABiBQAAAAA=&#10;" filled="f" stroked="f" strokeweight=".5pt">
          <v:textbox style="mso-fit-shape-to-text:t" inset="0,0,0,0">
            <w:txbxContent>
              <w:p w:rsidR="00B9538B" w:rsidRDefault="004F4F70">
                <w:pPr>
                  <w:pStyle w:val="a6"/>
                  <w:rPr>
                    <w:rFonts w:ascii="宋体" w:cs="宋体"/>
                    <w:sz w:val="28"/>
                    <w:szCs w:val="28"/>
                  </w:rPr>
                </w:pPr>
                <w:r>
                  <w:rPr>
                    <w:rFonts w:ascii="宋体" w:hAnsi="宋体" w:cs="宋体"/>
                    <w:sz w:val="28"/>
                    <w:szCs w:val="28"/>
                  </w:rPr>
                  <w:fldChar w:fldCharType="begin"/>
                </w:r>
                <w:r w:rsidR="00CE2F28">
                  <w:rPr>
                    <w:rFonts w:ascii="宋体" w:hAnsi="宋体" w:cs="宋体"/>
                    <w:sz w:val="28"/>
                    <w:szCs w:val="28"/>
                  </w:rPr>
                  <w:instrText xml:space="preserve"> PAGE  \* MERGEFORMAT </w:instrText>
                </w:r>
                <w:r>
                  <w:rPr>
                    <w:rFonts w:ascii="宋体" w:hAnsi="宋体" w:cs="宋体"/>
                    <w:sz w:val="28"/>
                    <w:szCs w:val="28"/>
                  </w:rPr>
                  <w:fldChar w:fldCharType="separate"/>
                </w:r>
                <w:r w:rsidR="00F2544A">
                  <w:rPr>
                    <w:rFonts w:ascii="宋体" w:hAnsi="宋体" w:cs="宋体"/>
                    <w:noProof/>
                    <w:sz w:val="28"/>
                    <w:szCs w:val="28"/>
                  </w:rPr>
                  <w:t>4</w:t>
                </w:r>
                <w:r>
                  <w:rPr>
                    <w:rFonts w:ascii="宋体" w:hAnsi="宋体" w:cs="宋体"/>
                    <w:sz w:val="28"/>
                    <w:szCs w:val="28"/>
                  </w:rPr>
                  <w:fldChar w:fldCharType="end"/>
                </w:r>
              </w:p>
            </w:txbxContent>
          </v:textbox>
          <w10:wrap anchorx="margin"/>
        </v:shape>
      </w:pict>
    </w:r>
    <w:r>
      <w:pict>
        <v:shape id="_x0000_s3073"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IngssBAACc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7Ks&#10;Vq9y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AiJ4LLAQAAnAMAAA4AAAAAAAAAAQAgAAAAHgEAAGRycy9lMm9E&#10;b2MueG1sUEsFBgAAAAAGAAYAWQEAAFsFAAAAAA==&#10;" filled="f" stroked="f">
          <v:textbox style="mso-fit-shape-to-text:t" inset="0,0,0,0">
            <w:txbxContent>
              <w:p w:rsidR="00B9538B" w:rsidRDefault="00B9538B">
                <w:pPr>
                  <w:pStyle w:val="a6"/>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4AE" w:rsidRDefault="00A354AE" w:rsidP="00B9538B">
      <w:r>
        <w:separator/>
      </w:r>
    </w:p>
  </w:footnote>
  <w:footnote w:type="continuationSeparator" w:id="0">
    <w:p w:rsidR="00A354AE" w:rsidRDefault="00A354AE" w:rsidP="00B953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10242" fillcolor="white">
      <v:fill color="white"/>
    </o:shapedefaults>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UxM2RmNGFhYmMzMGE2NTQ3MWFlYjQzZmZlMTkyZjkifQ=="/>
  </w:docVars>
  <w:rsids>
    <w:rsidRoot w:val="445E02C8"/>
    <w:rsid w:val="00003E34"/>
    <w:rsid w:val="000063EE"/>
    <w:rsid w:val="0001280C"/>
    <w:rsid w:val="00012D0E"/>
    <w:rsid w:val="00017443"/>
    <w:rsid w:val="00020647"/>
    <w:rsid w:val="000219A6"/>
    <w:rsid w:val="0002391D"/>
    <w:rsid w:val="000274D8"/>
    <w:rsid w:val="00031FD3"/>
    <w:rsid w:val="00034068"/>
    <w:rsid w:val="00046655"/>
    <w:rsid w:val="00057606"/>
    <w:rsid w:val="00061CB2"/>
    <w:rsid w:val="0006462B"/>
    <w:rsid w:val="00067A97"/>
    <w:rsid w:val="000751ED"/>
    <w:rsid w:val="000903BC"/>
    <w:rsid w:val="0009214A"/>
    <w:rsid w:val="0009428C"/>
    <w:rsid w:val="00094726"/>
    <w:rsid w:val="000A0F94"/>
    <w:rsid w:val="000A143D"/>
    <w:rsid w:val="000A3BE2"/>
    <w:rsid w:val="000C2EEF"/>
    <w:rsid w:val="000D09E2"/>
    <w:rsid w:val="000D0D2F"/>
    <w:rsid w:val="000D4686"/>
    <w:rsid w:val="000E41DF"/>
    <w:rsid w:val="000E4E6E"/>
    <w:rsid w:val="000E5B8D"/>
    <w:rsid w:val="000E7E92"/>
    <w:rsid w:val="000F03C3"/>
    <w:rsid w:val="0010544B"/>
    <w:rsid w:val="00106877"/>
    <w:rsid w:val="00115170"/>
    <w:rsid w:val="0011594F"/>
    <w:rsid w:val="00133D48"/>
    <w:rsid w:val="00133FAB"/>
    <w:rsid w:val="001369F9"/>
    <w:rsid w:val="00142FBD"/>
    <w:rsid w:val="00150608"/>
    <w:rsid w:val="00151DA3"/>
    <w:rsid w:val="001535CF"/>
    <w:rsid w:val="00170DF8"/>
    <w:rsid w:val="00174D95"/>
    <w:rsid w:val="00176C19"/>
    <w:rsid w:val="00182396"/>
    <w:rsid w:val="00196ACB"/>
    <w:rsid w:val="001A0E4E"/>
    <w:rsid w:val="001A557F"/>
    <w:rsid w:val="001A56CC"/>
    <w:rsid w:val="001B0839"/>
    <w:rsid w:val="001B2B15"/>
    <w:rsid w:val="001B7082"/>
    <w:rsid w:val="001C21A9"/>
    <w:rsid w:val="001D1093"/>
    <w:rsid w:val="001D36DC"/>
    <w:rsid w:val="001D5F5B"/>
    <w:rsid w:val="001E3223"/>
    <w:rsid w:val="00200399"/>
    <w:rsid w:val="00200AE6"/>
    <w:rsid w:val="00202BA3"/>
    <w:rsid w:val="00202DDA"/>
    <w:rsid w:val="00206A15"/>
    <w:rsid w:val="00210E00"/>
    <w:rsid w:val="00213A00"/>
    <w:rsid w:val="00217947"/>
    <w:rsid w:val="00220B7C"/>
    <w:rsid w:val="00221807"/>
    <w:rsid w:val="002230E2"/>
    <w:rsid w:val="00223CFA"/>
    <w:rsid w:val="002277DC"/>
    <w:rsid w:val="00234521"/>
    <w:rsid w:val="00243FB5"/>
    <w:rsid w:val="00262101"/>
    <w:rsid w:val="00263A69"/>
    <w:rsid w:val="00271C65"/>
    <w:rsid w:val="0028044D"/>
    <w:rsid w:val="00284D2A"/>
    <w:rsid w:val="002A2033"/>
    <w:rsid w:val="002A428C"/>
    <w:rsid w:val="002B1E17"/>
    <w:rsid w:val="002B7CD5"/>
    <w:rsid w:val="002B7E5C"/>
    <w:rsid w:val="002C0469"/>
    <w:rsid w:val="002C4F53"/>
    <w:rsid w:val="00302533"/>
    <w:rsid w:val="00306187"/>
    <w:rsid w:val="00324122"/>
    <w:rsid w:val="00332655"/>
    <w:rsid w:val="00333804"/>
    <w:rsid w:val="00334DCD"/>
    <w:rsid w:val="00335A71"/>
    <w:rsid w:val="00341184"/>
    <w:rsid w:val="00342A6E"/>
    <w:rsid w:val="00361D10"/>
    <w:rsid w:val="003631C0"/>
    <w:rsid w:val="00365CAE"/>
    <w:rsid w:val="00373C99"/>
    <w:rsid w:val="003758F5"/>
    <w:rsid w:val="0037644D"/>
    <w:rsid w:val="0038170D"/>
    <w:rsid w:val="00382C82"/>
    <w:rsid w:val="003849F0"/>
    <w:rsid w:val="003851B7"/>
    <w:rsid w:val="00386BAC"/>
    <w:rsid w:val="00387D4F"/>
    <w:rsid w:val="00390494"/>
    <w:rsid w:val="003916AA"/>
    <w:rsid w:val="00391C48"/>
    <w:rsid w:val="0039233A"/>
    <w:rsid w:val="003A1E31"/>
    <w:rsid w:val="003A2A1A"/>
    <w:rsid w:val="003A7D82"/>
    <w:rsid w:val="003B4AE0"/>
    <w:rsid w:val="003B4DCF"/>
    <w:rsid w:val="003B7860"/>
    <w:rsid w:val="003B7926"/>
    <w:rsid w:val="003C2871"/>
    <w:rsid w:val="003D0B15"/>
    <w:rsid w:val="003E50F1"/>
    <w:rsid w:val="003F50AF"/>
    <w:rsid w:val="004137FD"/>
    <w:rsid w:val="00414622"/>
    <w:rsid w:val="00415C42"/>
    <w:rsid w:val="00416909"/>
    <w:rsid w:val="00420701"/>
    <w:rsid w:val="00434091"/>
    <w:rsid w:val="0044441B"/>
    <w:rsid w:val="00452821"/>
    <w:rsid w:val="00463E95"/>
    <w:rsid w:val="0047774C"/>
    <w:rsid w:val="004B6A6C"/>
    <w:rsid w:val="004B6B18"/>
    <w:rsid w:val="004C30EB"/>
    <w:rsid w:val="004C6B4E"/>
    <w:rsid w:val="004C70F8"/>
    <w:rsid w:val="004E1461"/>
    <w:rsid w:val="004E428E"/>
    <w:rsid w:val="004E59D4"/>
    <w:rsid w:val="004F257C"/>
    <w:rsid w:val="004F4700"/>
    <w:rsid w:val="004F4F70"/>
    <w:rsid w:val="0050020B"/>
    <w:rsid w:val="00502C2C"/>
    <w:rsid w:val="0051287F"/>
    <w:rsid w:val="00514DC8"/>
    <w:rsid w:val="00531B32"/>
    <w:rsid w:val="005334CF"/>
    <w:rsid w:val="00536856"/>
    <w:rsid w:val="0053737F"/>
    <w:rsid w:val="005411A5"/>
    <w:rsid w:val="00547F9E"/>
    <w:rsid w:val="00554981"/>
    <w:rsid w:val="00562EAC"/>
    <w:rsid w:val="00580BB8"/>
    <w:rsid w:val="00584C65"/>
    <w:rsid w:val="00586C96"/>
    <w:rsid w:val="00596EBB"/>
    <w:rsid w:val="005C3533"/>
    <w:rsid w:val="005D0108"/>
    <w:rsid w:val="005D0DF0"/>
    <w:rsid w:val="005D25EF"/>
    <w:rsid w:val="005D5C98"/>
    <w:rsid w:val="005E1BA6"/>
    <w:rsid w:val="005E28D5"/>
    <w:rsid w:val="006014BC"/>
    <w:rsid w:val="00611FDF"/>
    <w:rsid w:val="00624BC1"/>
    <w:rsid w:val="00635EF1"/>
    <w:rsid w:val="0064114C"/>
    <w:rsid w:val="006449A0"/>
    <w:rsid w:val="00645513"/>
    <w:rsid w:val="006515DD"/>
    <w:rsid w:val="00661763"/>
    <w:rsid w:val="00663C68"/>
    <w:rsid w:val="0067005B"/>
    <w:rsid w:val="0068097F"/>
    <w:rsid w:val="00683FC2"/>
    <w:rsid w:val="00686487"/>
    <w:rsid w:val="00687EF3"/>
    <w:rsid w:val="00692022"/>
    <w:rsid w:val="00693618"/>
    <w:rsid w:val="006A0C40"/>
    <w:rsid w:val="006B670D"/>
    <w:rsid w:val="006D357D"/>
    <w:rsid w:val="006E0DED"/>
    <w:rsid w:val="006E4084"/>
    <w:rsid w:val="006E6555"/>
    <w:rsid w:val="006F2E08"/>
    <w:rsid w:val="006F72E9"/>
    <w:rsid w:val="00704DE8"/>
    <w:rsid w:val="0071402B"/>
    <w:rsid w:val="00723907"/>
    <w:rsid w:val="00737DFD"/>
    <w:rsid w:val="00741876"/>
    <w:rsid w:val="00755DF5"/>
    <w:rsid w:val="0076007E"/>
    <w:rsid w:val="0076714F"/>
    <w:rsid w:val="00775AE7"/>
    <w:rsid w:val="007763FD"/>
    <w:rsid w:val="00780CA7"/>
    <w:rsid w:val="007813E4"/>
    <w:rsid w:val="007859B5"/>
    <w:rsid w:val="00785F7B"/>
    <w:rsid w:val="00791B56"/>
    <w:rsid w:val="00793F52"/>
    <w:rsid w:val="00797F9E"/>
    <w:rsid w:val="007A2EE6"/>
    <w:rsid w:val="007A3095"/>
    <w:rsid w:val="007A4F35"/>
    <w:rsid w:val="007B2FE4"/>
    <w:rsid w:val="007B5F95"/>
    <w:rsid w:val="007E0A47"/>
    <w:rsid w:val="007E2B9B"/>
    <w:rsid w:val="007E33E1"/>
    <w:rsid w:val="007F3765"/>
    <w:rsid w:val="007F4EF1"/>
    <w:rsid w:val="00800F06"/>
    <w:rsid w:val="00804610"/>
    <w:rsid w:val="00810A82"/>
    <w:rsid w:val="00821B3D"/>
    <w:rsid w:val="00832603"/>
    <w:rsid w:val="00836E24"/>
    <w:rsid w:val="00857808"/>
    <w:rsid w:val="0087289F"/>
    <w:rsid w:val="00887060"/>
    <w:rsid w:val="00891FFE"/>
    <w:rsid w:val="008A1B20"/>
    <w:rsid w:val="008A7BB3"/>
    <w:rsid w:val="008B0A42"/>
    <w:rsid w:val="008B3170"/>
    <w:rsid w:val="008B49E8"/>
    <w:rsid w:val="008C0040"/>
    <w:rsid w:val="008D61BC"/>
    <w:rsid w:val="008D7460"/>
    <w:rsid w:val="008E7BBB"/>
    <w:rsid w:val="008F21EE"/>
    <w:rsid w:val="008F3296"/>
    <w:rsid w:val="008F7C25"/>
    <w:rsid w:val="008F7E70"/>
    <w:rsid w:val="00902F05"/>
    <w:rsid w:val="00911F72"/>
    <w:rsid w:val="00912A36"/>
    <w:rsid w:val="00913931"/>
    <w:rsid w:val="00913FD1"/>
    <w:rsid w:val="00915B31"/>
    <w:rsid w:val="00924675"/>
    <w:rsid w:val="00925201"/>
    <w:rsid w:val="00925F27"/>
    <w:rsid w:val="00933659"/>
    <w:rsid w:val="00942E30"/>
    <w:rsid w:val="00950462"/>
    <w:rsid w:val="00955125"/>
    <w:rsid w:val="009558C2"/>
    <w:rsid w:val="00956528"/>
    <w:rsid w:val="00966882"/>
    <w:rsid w:val="00967C57"/>
    <w:rsid w:val="009703FB"/>
    <w:rsid w:val="00970DEE"/>
    <w:rsid w:val="009742C2"/>
    <w:rsid w:val="00975A4F"/>
    <w:rsid w:val="00977811"/>
    <w:rsid w:val="009840C3"/>
    <w:rsid w:val="00993AFE"/>
    <w:rsid w:val="0099441A"/>
    <w:rsid w:val="00995D8C"/>
    <w:rsid w:val="009A179C"/>
    <w:rsid w:val="009A5C9D"/>
    <w:rsid w:val="009B3067"/>
    <w:rsid w:val="009B7685"/>
    <w:rsid w:val="009B77D3"/>
    <w:rsid w:val="009C0EF8"/>
    <w:rsid w:val="009C15C8"/>
    <w:rsid w:val="009C2B79"/>
    <w:rsid w:val="009C487A"/>
    <w:rsid w:val="009D46B8"/>
    <w:rsid w:val="009E41E1"/>
    <w:rsid w:val="009E674E"/>
    <w:rsid w:val="009E6A26"/>
    <w:rsid w:val="009F10E2"/>
    <w:rsid w:val="009F1EDD"/>
    <w:rsid w:val="00A1059E"/>
    <w:rsid w:val="00A11963"/>
    <w:rsid w:val="00A123EB"/>
    <w:rsid w:val="00A16902"/>
    <w:rsid w:val="00A25D77"/>
    <w:rsid w:val="00A27B69"/>
    <w:rsid w:val="00A354AE"/>
    <w:rsid w:val="00A37A59"/>
    <w:rsid w:val="00A406BA"/>
    <w:rsid w:val="00A41575"/>
    <w:rsid w:val="00A47C2C"/>
    <w:rsid w:val="00A60FAE"/>
    <w:rsid w:val="00A63F7D"/>
    <w:rsid w:val="00A712D2"/>
    <w:rsid w:val="00A769B5"/>
    <w:rsid w:val="00A91F62"/>
    <w:rsid w:val="00A96BA5"/>
    <w:rsid w:val="00AB65B0"/>
    <w:rsid w:val="00AC077F"/>
    <w:rsid w:val="00AC134D"/>
    <w:rsid w:val="00AC283E"/>
    <w:rsid w:val="00AC40B7"/>
    <w:rsid w:val="00AC5155"/>
    <w:rsid w:val="00AD024E"/>
    <w:rsid w:val="00AD1831"/>
    <w:rsid w:val="00AE0677"/>
    <w:rsid w:val="00AE1B6C"/>
    <w:rsid w:val="00AF30B8"/>
    <w:rsid w:val="00B02856"/>
    <w:rsid w:val="00B11511"/>
    <w:rsid w:val="00B12DFF"/>
    <w:rsid w:val="00B26A2C"/>
    <w:rsid w:val="00B30534"/>
    <w:rsid w:val="00B4551A"/>
    <w:rsid w:val="00B47A5D"/>
    <w:rsid w:val="00B535E6"/>
    <w:rsid w:val="00B60DB8"/>
    <w:rsid w:val="00B63E4C"/>
    <w:rsid w:val="00B65620"/>
    <w:rsid w:val="00B66790"/>
    <w:rsid w:val="00B9538B"/>
    <w:rsid w:val="00BA04F0"/>
    <w:rsid w:val="00BA1E11"/>
    <w:rsid w:val="00BB17CB"/>
    <w:rsid w:val="00BC3983"/>
    <w:rsid w:val="00BE0196"/>
    <w:rsid w:val="00BE52BA"/>
    <w:rsid w:val="00BE5D02"/>
    <w:rsid w:val="00BF052C"/>
    <w:rsid w:val="00C05274"/>
    <w:rsid w:val="00C055C3"/>
    <w:rsid w:val="00C0595B"/>
    <w:rsid w:val="00C164AF"/>
    <w:rsid w:val="00C22844"/>
    <w:rsid w:val="00C33C1B"/>
    <w:rsid w:val="00C43C7A"/>
    <w:rsid w:val="00C47919"/>
    <w:rsid w:val="00C5081B"/>
    <w:rsid w:val="00C54482"/>
    <w:rsid w:val="00C54726"/>
    <w:rsid w:val="00C60D00"/>
    <w:rsid w:val="00C62926"/>
    <w:rsid w:val="00C65081"/>
    <w:rsid w:val="00C76685"/>
    <w:rsid w:val="00C823C5"/>
    <w:rsid w:val="00C9291A"/>
    <w:rsid w:val="00CA10EB"/>
    <w:rsid w:val="00CA1821"/>
    <w:rsid w:val="00CA2C98"/>
    <w:rsid w:val="00CA6609"/>
    <w:rsid w:val="00CC215D"/>
    <w:rsid w:val="00CD340B"/>
    <w:rsid w:val="00CE0E4E"/>
    <w:rsid w:val="00CE2931"/>
    <w:rsid w:val="00CE2F28"/>
    <w:rsid w:val="00CE4632"/>
    <w:rsid w:val="00CE6AAC"/>
    <w:rsid w:val="00D128D1"/>
    <w:rsid w:val="00D13D52"/>
    <w:rsid w:val="00D241CB"/>
    <w:rsid w:val="00D267D4"/>
    <w:rsid w:val="00D32063"/>
    <w:rsid w:val="00D320AC"/>
    <w:rsid w:val="00D3500B"/>
    <w:rsid w:val="00D368C0"/>
    <w:rsid w:val="00D4185D"/>
    <w:rsid w:val="00D43662"/>
    <w:rsid w:val="00D6012A"/>
    <w:rsid w:val="00D62BF8"/>
    <w:rsid w:val="00D76A01"/>
    <w:rsid w:val="00D80F9A"/>
    <w:rsid w:val="00D83160"/>
    <w:rsid w:val="00D92697"/>
    <w:rsid w:val="00D9629F"/>
    <w:rsid w:val="00D97410"/>
    <w:rsid w:val="00DB1948"/>
    <w:rsid w:val="00DB38A6"/>
    <w:rsid w:val="00DB4E18"/>
    <w:rsid w:val="00DB64FA"/>
    <w:rsid w:val="00DC1EB5"/>
    <w:rsid w:val="00DD06ED"/>
    <w:rsid w:val="00DD55C9"/>
    <w:rsid w:val="00DE0BC0"/>
    <w:rsid w:val="00DE338D"/>
    <w:rsid w:val="00DE3A19"/>
    <w:rsid w:val="00DE3FA6"/>
    <w:rsid w:val="00DE53E0"/>
    <w:rsid w:val="00DE6141"/>
    <w:rsid w:val="00DE7339"/>
    <w:rsid w:val="00DF0227"/>
    <w:rsid w:val="00DF3F26"/>
    <w:rsid w:val="00DF5278"/>
    <w:rsid w:val="00E02C63"/>
    <w:rsid w:val="00E069FE"/>
    <w:rsid w:val="00E20E57"/>
    <w:rsid w:val="00E24C1F"/>
    <w:rsid w:val="00E335D5"/>
    <w:rsid w:val="00E33AE6"/>
    <w:rsid w:val="00E33EED"/>
    <w:rsid w:val="00E64D87"/>
    <w:rsid w:val="00E656D0"/>
    <w:rsid w:val="00E81CC1"/>
    <w:rsid w:val="00E82767"/>
    <w:rsid w:val="00E84536"/>
    <w:rsid w:val="00E853C2"/>
    <w:rsid w:val="00E86748"/>
    <w:rsid w:val="00E86A08"/>
    <w:rsid w:val="00E94380"/>
    <w:rsid w:val="00E953A7"/>
    <w:rsid w:val="00E96A73"/>
    <w:rsid w:val="00E97A3B"/>
    <w:rsid w:val="00EA2451"/>
    <w:rsid w:val="00EA632B"/>
    <w:rsid w:val="00EB5604"/>
    <w:rsid w:val="00EB5C58"/>
    <w:rsid w:val="00EB5F0C"/>
    <w:rsid w:val="00EB610A"/>
    <w:rsid w:val="00EB6458"/>
    <w:rsid w:val="00EC2493"/>
    <w:rsid w:val="00ED0654"/>
    <w:rsid w:val="00EE1D0C"/>
    <w:rsid w:val="00EE5A13"/>
    <w:rsid w:val="00EF16BB"/>
    <w:rsid w:val="00EF2CC7"/>
    <w:rsid w:val="00EF2FFB"/>
    <w:rsid w:val="00F02CC0"/>
    <w:rsid w:val="00F037E9"/>
    <w:rsid w:val="00F04FB9"/>
    <w:rsid w:val="00F139DE"/>
    <w:rsid w:val="00F13E43"/>
    <w:rsid w:val="00F1474A"/>
    <w:rsid w:val="00F22EDF"/>
    <w:rsid w:val="00F2544A"/>
    <w:rsid w:val="00F40000"/>
    <w:rsid w:val="00F44ACB"/>
    <w:rsid w:val="00F45319"/>
    <w:rsid w:val="00F54A11"/>
    <w:rsid w:val="00F57481"/>
    <w:rsid w:val="00F6041A"/>
    <w:rsid w:val="00F67022"/>
    <w:rsid w:val="00F8445B"/>
    <w:rsid w:val="00F921BD"/>
    <w:rsid w:val="00F95214"/>
    <w:rsid w:val="00F979C7"/>
    <w:rsid w:val="00FA16E1"/>
    <w:rsid w:val="00FA1877"/>
    <w:rsid w:val="00FA3F19"/>
    <w:rsid w:val="00FB5561"/>
    <w:rsid w:val="00FF7B70"/>
    <w:rsid w:val="04EE7A30"/>
    <w:rsid w:val="07F10824"/>
    <w:rsid w:val="0C5F3F70"/>
    <w:rsid w:val="1B0F01AF"/>
    <w:rsid w:val="326D79FF"/>
    <w:rsid w:val="39BC7DF9"/>
    <w:rsid w:val="3A4013F4"/>
    <w:rsid w:val="3F5F2902"/>
    <w:rsid w:val="3FFE2FA6"/>
    <w:rsid w:val="445E02C8"/>
    <w:rsid w:val="47DD0630"/>
    <w:rsid w:val="71724DA6"/>
    <w:rsid w:val="74742F31"/>
    <w:rsid w:val="795571D0"/>
    <w:rsid w:val="79F12291"/>
    <w:rsid w:val="7ABA10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fillcolor="white">
      <v:fill color="white"/>
    </o:shapedefaults>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locked="0" w:semiHidden="0" w:unhideWhenUsed="0" w:qFormat="1"/>
    <w:lsdException w:name="caption" w:uiPriority="35" w:qFormat="1"/>
    <w:lsdException w:name="Title" w:semiHidden="0" w:uiPriority="10" w:unhideWhenUsed="0" w:qFormat="1"/>
    <w:lsdException w:name="Default Paragraph Font" w:locked="0" w:uiPriority="1" w:qFormat="1"/>
    <w:lsdException w:name="Body Text" w:locked="0" w:semiHidden="0" w:unhideWhenUsed="0" w:qFormat="1"/>
    <w:lsdException w:name="Subtitle" w:semiHidden="0" w:uiPriority="11" w:unhideWhenUsed="0" w:qFormat="1"/>
    <w:lsdException w:name="Body Text First Indent" w:semiHidden="0"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Balloon Text" w:qFormat="1"/>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B9538B"/>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locked/>
    <w:rsid w:val="00B9538B"/>
    <w:pPr>
      <w:ind w:firstLineChars="100" w:firstLine="420"/>
    </w:pPr>
  </w:style>
  <w:style w:type="paragraph" w:styleId="a4">
    <w:name w:val="Body Text"/>
    <w:basedOn w:val="a"/>
    <w:link w:val="Char"/>
    <w:autoRedefine/>
    <w:uiPriority w:val="99"/>
    <w:qFormat/>
    <w:rsid w:val="00B9538B"/>
    <w:rPr>
      <w:rFonts w:ascii="仿宋_GB2312" w:eastAsia="仿宋_GB2312" w:hAnsi="仿宋_GB2312" w:cs="仿宋_GB2312"/>
      <w:sz w:val="32"/>
      <w:szCs w:val="32"/>
      <w:lang w:val="zh-CN"/>
    </w:rPr>
  </w:style>
  <w:style w:type="paragraph" w:styleId="a5">
    <w:name w:val="Balloon Text"/>
    <w:basedOn w:val="a"/>
    <w:link w:val="Char0"/>
    <w:uiPriority w:val="99"/>
    <w:semiHidden/>
    <w:unhideWhenUsed/>
    <w:qFormat/>
    <w:locked/>
    <w:rsid w:val="00B9538B"/>
    <w:rPr>
      <w:sz w:val="18"/>
      <w:szCs w:val="18"/>
    </w:rPr>
  </w:style>
  <w:style w:type="paragraph" w:styleId="a6">
    <w:name w:val="footer"/>
    <w:basedOn w:val="a"/>
    <w:link w:val="Char1"/>
    <w:autoRedefine/>
    <w:uiPriority w:val="99"/>
    <w:qFormat/>
    <w:rsid w:val="00B9538B"/>
    <w:pPr>
      <w:tabs>
        <w:tab w:val="center" w:pos="4153"/>
        <w:tab w:val="right" w:pos="8306"/>
      </w:tabs>
      <w:snapToGrid w:val="0"/>
      <w:jc w:val="left"/>
    </w:pPr>
    <w:rPr>
      <w:sz w:val="18"/>
      <w:szCs w:val="18"/>
    </w:rPr>
  </w:style>
  <w:style w:type="paragraph" w:styleId="a7">
    <w:name w:val="header"/>
    <w:basedOn w:val="a"/>
    <w:link w:val="Char2"/>
    <w:uiPriority w:val="99"/>
    <w:semiHidden/>
    <w:unhideWhenUsed/>
    <w:qFormat/>
    <w:locked/>
    <w:rsid w:val="00B9538B"/>
    <w:pPr>
      <w:pBdr>
        <w:bottom w:val="single" w:sz="6" w:space="1" w:color="auto"/>
      </w:pBdr>
      <w:tabs>
        <w:tab w:val="center" w:pos="4153"/>
        <w:tab w:val="right" w:pos="8306"/>
      </w:tabs>
      <w:snapToGrid w:val="0"/>
      <w:jc w:val="center"/>
    </w:pPr>
    <w:rPr>
      <w:sz w:val="18"/>
      <w:szCs w:val="18"/>
    </w:rPr>
  </w:style>
  <w:style w:type="character" w:customStyle="1" w:styleId="Char">
    <w:name w:val="正文文本 Char"/>
    <w:basedOn w:val="a1"/>
    <w:link w:val="a4"/>
    <w:autoRedefine/>
    <w:uiPriority w:val="99"/>
    <w:semiHidden/>
    <w:qFormat/>
    <w:locked/>
    <w:rsid w:val="00B9538B"/>
    <w:rPr>
      <w:rFonts w:ascii="Times New Roman" w:hAnsi="Times New Roman" w:cs="Times New Roman"/>
      <w:sz w:val="20"/>
      <w:szCs w:val="20"/>
    </w:rPr>
  </w:style>
  <w:style w:type="character" w:customStyle="1" w:styleId="Char1">
    <w:name w:val="页脚 Char"/>
    <w:basedOn w:val="a1"/>
    <w:link w:val="a6"/>
    <w:uiPriority w:val="99"/>
    <w:semiHidden/>
    <w:qFormat/>
    <w:locked/>
    <w:rsid w:val="00B9538B"/>
    <w:rPr>
      <w:rFonts w:ascii="Times New Roman" w:hAnsi="Times New Roman" w:cs="Times New Roman"/>
      <w:sz w:val="18"/>
      <w:szCs w:val="18"/>
    </w:rPr>
  </w:style>
  <w:style w:type="character" w:customStyle="1" w:styleId="Char2">
    <w:name w:val="页眉 Char"/>
    <w:basedOn w:val="a1"/>
    <w:link w:val="a7"/>
    <w:uiPriority w:val="99"/>
    <w:semiHidden/>
    <w:qFormat/>
    <w:rsid w:val="00B9538B"/>
    <w:rPr>
      <w:kern w:val="2"/>
      <w:sz w:val="18"/>
      <w:szCs w:val="18"/>
    </w:rPr>
  </w:style>
  <w:style w:type="character" w:customStyle="1" w:styleId="Char0">
    <w:name w:val="批注框文本 Char"/>
    <w:basedOn w:val="a1"/>
    <w:link w:val="a5"/>
    <w:uiPriority w:val="99"/>
    <w:semiHidden/>
    <w:qFormat/>
    <w:rsid w:val="00B9538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3073"/>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A73F03-B37D-4432-A879-05C30D2A7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754</Words>
  <Characters>4301</Characters>
  <Application>Microsoft Office Word</Application>
  <DocSecurity>0</DocSecurity>
  <Lines>35</Lines>
  <Paragraphs>10</Paragraphs>
  <ScaleCrop>false</ScaleCrop>
  <Company/>
  <LinksUpToDate>false</LinksUpToDate>
  <CharactersWithSpaces>5045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Administrator</cp:lastModifiedBy>
  <cp:revision>11</cp:revision>
  <dcterms:created xsi:type="dcterms:W3CDTF">2024-06-03T03:12:00Z</dcterms:created>
  <dcterms:modified xsi:type="dcterms:W3CDTF">2024-06-03T06:46:00Z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CDC10BF572DC4C73B9037BFCEF59BCF0_13</vt:lpwstr>
  </property>
</Properties>
</file>