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color w:val="FF0000"/>
          <w:sz w:val="44"/>
          <w:szCs w:val="44"/>
        </w:rPr>
        <w:t xml:space="preserve"> </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兴国县工商联2023年部门预算草案</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编制说明</w:t>
      </w:r>
    </w:p>
    <w:p>
      <w:pPr>
        <w:spacing w:line="560" w:lineRule="exact"/>
        <w:jc w:val="center"/>
        <w:rPr>
          <w:rFonts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兴国县工商联部门概况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兴国县工商联部门预算情况说明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color w:val="FF0000"/>
          <w:sz w:val="32"/>
          <w:szCs w:val="32"/>
        </w:rPr>
        <w:t xml:space="preserve"> </w:t>
      </w:r>
      <w:r>
        <w:rPr>
          <w:rFonts w:hint="eastAsia" w:ascii="仿宋" w:hAnsi="仿宋" w:eastAsia="仿宋" w:cs="仿宋"/>
          <w:b/>
          <w:bCs/>
          <w:sz w:val="32"/>
          <w:szCs w:val="32"/>
        </w:rPr>
        <w:t>兴国县工商联部门预算表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八、《政府性基金预算支出表》</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pPr>
      <w:r>
        <w:rPr>
          <w:rFonts w:hint="eastAsia" w:ascii="仿宋_GB2312" w:hAnsi="仿宋_GB2312" w:eastAsia="仿宋_GB2312" w:cs="仿宋_GB2312"/>
          <w:color w:val="auto"/>
          <w:sz w:val="32"/>
          <w:szCs w:val="32"/>
        </w:rPr>
        <w:t>九、《</w:t>
      </w:r>
      <w:r>
        <w:rPr>
          <w:rFonts w:hint="eastAsia" w:ascii="仿宋_GB2312" w:hAnsi="仿宋_GB2312" w:eastAsia="仿宋_GB2312" w:cs="仿宋_GB2312"/>
          <w:color w:val="auto"/>
          <w:sz w:val="32"/>
          <w:szCs w:val="32"/>
          <w:lang w:eastAsia="zh-CN"/>
        </w:rPr>
        <w:t>国有资本经营预算支出表</w:t>
      </w:r>
      <w:r>
        <w:rPr>
          <w:rFonts w:hint="eastAsia" w:ascii="仿宋_GB2312" w:hAnsi="仿宋_GB2312" w:eastAsia="仿宋_GB2312" w:cs="仿宋_GB2312"/>
          <w:color w:val="auto"/>
          <w:sz w:val="32"/>
          <w:szCs w:val="32"/>
        </w:rPr>
        <w:t>》</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兴国县工商联部门概况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一、部门主要职责</w:t>
      </w:r>
    </w:p>
    <w:p>
      <w:pPr>
        <w:pStyle w:val="4"/>
        <w:autoSpaceDE w:val="0"/>
        <w:spacing w:line="52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主要职责是：（一）参政议政，做好非公有制经济代表人士政治安排的推荐工作；</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（二）宣传党和国家的方针政策，加强会员思想政治工作，对他们进行“团结、帮助、引导、教育”，并在非公有制经济人士中培养一支拥护中国共产党领导的积极分子队伍；</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（三）对会员开展“爱国、敬业、守法”教育，开展工商专业培训，帮助他们改进经营管理，提高素质；</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（四）代表和维护会员的合法权益，反映会员的意见、要求和建议。</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（五）积极为会员提供信息、科技、管理、法律、会计、融资、咨询、专业职务评定等服务，引导会员企业加强企业文化建设，树立非公有制企业新形象；</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（六）引导会员积极投身光彩事业，弘扬中华传统美德，先富帮后富，热心社会公益事业；</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（七）组织会员举办和参加各种对内对外展销会、交易会，帮助会员开拓国内国际县场；</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（八）增进与台港澳和国外社团等工商经济界人士的联系，为当地经济建设引进资金、人才、技术；</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（九）办好会办企业、事业；</w:t>
      </w:r>
    </w:p>
    <w:p>
      <w:pPr>
        <w:pStyle w:val="4"/>
        <w:autoSpaceDE w:val="0"/>
        <w:spacing w:line="52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（十）完承办县委、县政府交办的其他工作。</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ascii="仿宋" w:hAnsi="仿宋" w:eastAsia="仿宋"/>
          <w:color w:val="FF0000"/>
          <w:sz w:val="32"/>
          <w:szCs w:val="32"/>
        </w:rPr>
      </w:pPr>
      <w:r>
        <w:rPr>
          <w:rFonts w:hint="eastAsia" w:ascii="仿宋" w:hAnsi="仿宋" w:eastAsia="仿宋" w:cs="仿宋"/>
          <w:sz w:val="32"/>
          <w:szCs w:val="32"/>
        </w:rPr>
        <w:t>2023年</w:t>
      </w:r>
      <w:r>
        <w:rPr>
          <w:rFonts w:hint="eastAsia" w:ascii="仿宋" w:hAnsi="仿宋" w:eastAsia="仿宋"/>
          <w:color w:val="auto"/>
          <w:sz w:val="32"/>
          <w:szCs w:val="32"/>
        </w:rPr>
        <w:t>工商联部</w:t>
      </w:r>
      <w:r>
        <w:rPr>
          <w:rFonts w:hint="eastAsia" w:ascii="仿宋" w:hAnsi="仿宋" w:eastAsia="仿宋"/>
          <w:sz w:val="32"/>
          <w:szCs w:val="32"/>
        </w:rPr>
        <w:t>门共有预算单位</w:t>
      </w:r>
      <w:r>
        <w:rPr>
          <w:rFonts w:hint="eastAsia" w:ascii="仿宋" w:hAnsi="仿宋" w:eastAsia="仿宋"/>
          <w:kern w:val="0"/>
          <w:sz w:val="32"/>
          <w:szCs w:val="32"/>
        </w:rPr>
        <w:t>1</w:t>
      </w:r>
      <w:r>
        <w:rPr>
          <w:rFonts w:ascii="仿宋" w:hAnsi="仿宋" w:eastAsia="仿宋"/>
          <w:sz w:val="32"/>
          <w:szCs w:val="32"/>
        </w:rPr>
        <w:t>个</w:t>
      </w:r>
      <w:r>
        <w:rPr>
          <w:rFonts w:hint="eastAsia" w:ascii="仿宋" w:hAnsi="仿宋" w:eastAsia="仿宋"/>
          <w:sz w:val="32"/>
          <w:szCs w:val="32"/>
        </w:rPr>
        <w:t>，没有二级预算单位。</w:t>
      </w:r>
    </w:p>
    <w:p>
      <w:pPr>
        <w:spacing w:line="560" w:lineRule="exact"/>
        <w:ind w:firstLine="640" w:firstLineChars="200"/>
        <w:rPr>
          <w:rFonts w:ascii="仿宋" w:hAnsi="仿宋" w:eastAsia="仿宋" w:cs="仿宋"/>
          <w:color w:val="FF0000"/>
          <w:sz w:val="24"/>
          <w:szCs w:val="24"/>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5</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5</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兴国县工商联部门预算情况说明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2023年本部门收入预算总额105.10万元，较上年预算安排增24.26万元，增30.01%。增减变化主要原因是：</w:t>
      </w:r>
      <w:r>
        <w:rPr>
          <w:rFonts w:hint="eastAsia" w:ascii="仿宋" w:hAnsi="仿宋" w:eastAsia="仿宋" w:cs="仿宋"/>
          <w:sz w:val="30"/>
          <w:szCs w:val="30"/>
          <w:lang w:eastAsia="zh-CN"/>
        </w:rPr>
        <w:t>人员调入工资福利增加以及增加了</w:t>
      </w:r>
      <w:r>
        <w:rPr>
          <w:rFonts w:hint="eastAsia" w:ascii="仿宋" w:hAnsi="仿宋" w:eastAsia="仿宋" w:cs="仿宋"/>
          <w:sz w:val="30"/>
          <w:szCs w:val="30"/>
        </w:rPr>
        <w:t>外埠商会工作经费。</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0"/>
          <w:szCs w:val="30"/>
        </w:rPr>
        <w:t>其中：财政拨款收入85.10万元，</w:t>
      </w:r>
      <w:r>
        <w:rPr>
          <w:rFonts w:hint="eastAsia" w:ascii="仿宋" w:hAnsi="仿宋" w:eastAsia="仿宋" w:cs="仿宋"/>
          <w:color w:val="auto"/>
          <w:spacing w:val="11"/>
          <w:sz w:val="30"/>
          <w:szCs w:val="30"/>
        </w:rPr>
        <w:t>较</w:t>
      </w:r>
      <w:r>
        <w:rPr>
          <w:rFonts w:hint="eastAsia" w:ascii="仿宋" w:hAnsi="仿宋" w:eastAsia="仿宋" w:cs="仿宋"/>
          <w:color w:val="auto"/>
          <w:spacing w:val="23"/>
          <w:sz w:val="30"/>
          <w:szCs w:val="30"/>
        </w:rPr>
        <w:t>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19.32</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23"/>
          <w:sz w:val="30"/>
          <w:szCs w:val="30"/>
        </w:rPr>
        <w:t>万元;</w:t>
      </w:r>
      <w:r>
        <w:rPr>
          <w:rFonts w:hint="eastAsia" w:ascii="仿宋" w:hAnsi="仿宋" w:eastAsia="仿宋" w:cs="仿宋"/>
          <w:color w:val="auto"/>
          <w:spacing w:val="23"/>
          <w:sz w:val="30"/>
          <w:szCs w:val="30"/>
          <w:lang w:eastAsia="zh-CN"/>
        </w:rPr>
        <w:t>政府性基金预算收入</w:t>
      </w:r>
      <w:r>
        <w:rPr>
          <w:rFonts w:hint="eastAsia" w:ascii="仿宋" w:hAnsi="仿宋" w:eastAsia="仿宋" w:cs="仿宋"/>
          <w:color w:val="auto"/>
          <w:spacing w:val="23"/>
          <w:sz w:val="30"/>
          <w:szCs w:val="30"/>
        </w:rPr>
        <w:t>收</w:t>
      </w:r>
      <w:r>
        <w:rPr>
          <w:rFonts w:hint="eastAsia" w:ascii="仿宋" w:hAnsi="仿宋" w:eastAsia="仿宋" w:cs="仿宋"/>
          <w:color w:val="auto"/>
          <w:spacing w:val="23"/>
          <w:sz w:val="30"/>
          <w:szCs w:val="30"/>
          <w:lang w:eastAsia="zh-CN"/>
        </w:rPr>
        <w:t>入</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28"/>
          <w:sz w:val="30"/>
          <w:szCs w:val="30"/>
        </w:rPr>
        <w:t>万元,较年预算安排</w:t>
      </w:r>
      <w:r>
        <w:rPr>
          <w:rFonts w:hint="eastAsia" w:ascii="仿宋" w:hAnsi="仿宋" w:eastAsia="仿宋" w:cs="仿宋"/>
          <w:color w:val="auto"/>
          <w:spacing w:val="23"/>
          <w:sz w:val="30"/>
          <w:szCs w:val="30"/>
        </w:rPr>
        <w:t>增加（减少）</w:t>
      </w:r>
      <w:r>
        <w:rPr>
          <w:rFonts w:hint="eastAsia" w:ascii="仿宋" w:hAnsi="仿宋" w:eastAsia="仿宋" w:cs="仿宋"/>
          <w:color w:val="auto"/>
          <w:spacing w:val="-89"/>
          <w:sz w:val="30"/>
          <w:szCs w:val="30"/>
          <w:u w:val="single"/>
        </w:rPr>
        <w:t xml:space="preserve"> </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28"/>
          <w:sz w:val="30"/>
          <w:szCs w:val="30"/>
        </w:rPr>
        <w:t>万元;</w:t>
      </w:r>
      <w:r>
        <w:rPr>
          <w:rFonts w:hint="eastAsia" w:ascii="仿宋" w:hAnsi="仿宋" w:eastAsia="仿宋" w:cs="仿宋"/>
          <w:color w:val="auto"/>
          <w:spacing w:val="23"/>
          <w:sz w:val="30"/>
          <w:szCs w:val="30"/>
        </w:rPr>
        <w:t>教育收费资金收</w:t>
      </w:r>
      <w:r>
        <w:rPr>
          <w:rFonts w:hint="eastAsia" w:ascii="仿宋" w:hAnsi="仿宋" w:eastAsia="仿宋" w:cs="仿宋"/>
          <w:color w:val="auto"/>
          <w:spacing w:val="23"/>
          <w:sz w:val="30"/>
          <w:szCs w:val="30"/>
          <w:lang w:eastAsia="zh-CN"/>
        </w:rPr>
        <w:t>入</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28"/>
          <w:sz w:val="30"/>
          <w:szCs w:val="30"/>
        </w:rPr>
        <w:t>万元,较年预算安排</w:t>
      </w:r>
      <w:r>
        <w:rPr>
          <w:rFonts w:hint="eastAsia" w:ascii="仿宋" w:hAnsi="仿宋" w:eastAsia="仿宋" w:cs="仿宋"/>
          <w:color w:val="auto"/>
          <w:spacing w:val="23"/>
          <w:sz w:val="30"/>
          <w:szCs w:val="30"/>
        </w:rPr>
        <w:t>增加（减少）</w:t>
      </w:r>
      <w:r>
        <w:rPr>
          <w:rFonts w:hint="eastAsia" w:ascii="仿宋" w:hAnsi="仿宋" w:eastAsia="仿宋" w:cs="仿宋"/>
          <w:color w:val="auto"/>
          <w:spacing w:val="-89"/>
          <w:sz w:val="30"/>
          <w:szCs w:val="30"/>
          <w:u w:val="single"/>
        </w:rPr>
        <w:t xml:space="preserve"> </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28"/>
          <w:sz w:val="30"/>
          <w:szCs w:val="30"/>
        </w:rPr>
        <w:t>万元;事业收入</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7"/>
          <w:sz w:val="30"/>
          <w:szCs w:val="30"/>
        </w:rPr>
        <w:t>万元,较上年预算安排增加（减少）</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7"/>
          <w:sz w:val="30"/>
          <w:szCs w:val="30"/>
        </w:rPr>
        <w:t>万元;</w:t>
      </w:r>
      <w:r>
        <w:rPr>
          <w:rFonts w:hint="eastAsia" w:ascii="仿宋" w:hAnsi="仿宋" w:eastAsia="仿宋" w:cs="仿宋"/>
          <w:color w:val="auto"/>
          <w:spacing w:val="7"/>
          <w:sz w:val="30"/>
          <w:szCs w:val="30"/>
          <w:lang w:eastAsia="zh-CN"/>
        </w:rPr>
        <w:t>上级补助</w:t>
      </w:r>
      <w:r>
        <w:rPr>
          <w:rFonts w:hint="eastAsia" w:ascii="仿宋" w:hAnsi="仿宋" w:eastAsia="仿宋" w:cs="仿宋"/>
          <w:color w:val="auto"/>
          <w:spacing w:val="8"/>
          <w:sz w:val="30"/>
          <w:szCs w:val="30"/>
        </w:rPr>
        <w:t>收入</w:t>
      </w:r>
      <w:r>
        <w:rPr>
          <w:rFonts w:hint="eastAsia" w:ascii="仿宋" w:hAnsi="仿宋" w:eastAsia="仿宋" w:cs="仿宋"/>
          <w:color w:val="auto"/>
          <w:spacing w:val="-148"/>
          <w:sz w:val="30"/>
          <w:szCs w:val="30"/>
        </w:rPr>
        <w:t xml:space="preserve"> </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8"/>
          <w:sz w:val="30"/>
          <w:szCs w:val="30"/>
        </w:rPr>
        <w:t>万元,较上年预算安排减少</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5</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8"/>
          <w:sz w:val="30"/>
          <w:szCs w:val="30"/>
        </w:rPr>
        <w:t>万元；</w:t>
      </w:r>
      <w:r>
        <w:rPr>
          <w:rFonts w:hint="eastAsia" w:ascii="仿宋" w:hAnsi="仿宋" w:eastAsia="仿宋" w:cs="仿宋"/>
          <w:color w:val="auto"/>
          <w:spacing w:val="18"/>
          <w:sz w:val="30"/>
          <w:szCs w:val="30"/>
        </w:rPr>
        <w:t>其他收入</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20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18"/>
          <w:sz w:val="30"/>
          <w:szCs w:val="30"/>
        </w:rPr>
        <w:t>万元，较上年预算安排增加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9.94</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7"/>
          <w:sz w:val="30"/>
          <w:szCs w:val="30"/>
        </w:rPr>
        <w:t>万元</w:t>
      </w:r>
      <w:r>
        <w:rPr>
          <w:rFonts w:hint="eastAsia" w:ascii="仿宋" w:hAnsi="仿宋" w:eastAsia="仿宋" w:cs="仿宋"/>
          <w:color w:val="auto"/>
          <w:spacing w:val="4"/>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2023年本部门支出预算总额105.10万元，较上年预算安排增24.26万元，增30.01%。增减变化主要原因是：</w:t>
      </w:r>
      <w:r>
        <w:rPr>
          <w:rFonts w:hint="eastAsia" w:ascii="仿宋" w:hAnsi="仿宋" w:eastAsia="仿宋" w:cs="仿宋"/>
          <w:sz w:val="30"/>
          <w:szCs w:val="30"/>
          <w:lang w:eastAsia="zh-CN"/>
        </w:rPr>
        <w:t>人员调入工资福利增加以及增加了</w:t>
      </w:r>
      <w:r>
        <w:rPr>
          <w:rFonts w:hint="eastAsia" w:ascii="仿宋" w:hAnsi="仿宋" w:eastAsia="仿宋" w:cs="仿宋"/>
          <w:sz w:val="30"/>
          <w:szCs w:val="30"/>
        </w:rPr>
        <w:t>外埠商会工作经费。具体为：</w:t>
      </w:r>
    </w:p>
    <w:p>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按支出项目类别及经济分类科目划分：基本支出70.99万元，较上年预算安排增</w:t>
      </w:r>
      <w:r>
        <w:rPr>
          <w:rFonts w:hint="eastAsia" w:ascii="仿宋" w:hAnsi="仿宋" w:eastAsia="仿宋" w:cs="仿宋"/>
          <w:color w:val="0000FF"/>
          <w:sz w:val="30"/>
          <w:szCs w:val="30"/>
          <w:lang w:val="en-US" w:eastAsia="zh-CN"/>
        </w:rPr>
        <w:t>10.15</w:t>
      </w:r>
      <w:r>
        <w:rPr>
          <w:rFonts w:hint="eastAsia" w:ascii="仿宋" w:hAnsi="仿宋" w:eastAsia="仿宋" w:cs="仿宋"/>
          <w:sz w:val="30"/>
          <w:szCs w:val="30"/>
        </w:rPr>
        <w:t>万元，其中：工资福利支出64.46万元，对个人和家庭的补助支出0.24万元，公用经费支出6.29万元；项目支出34.11万元，较上年预算安排增</w:t>
      </w:r>
      <w:r>
        <w:rPr>
          <w:rFonts w:hint="eastAsia" w:ascii="仿宋" w:hAnsi="仿宋" w:eastAsia="仿宋" w:cs="仿宋"/>
          <w:color w:val="0000FF"/>
          <w:sz w:val="30"/>
          <w:szCs w:val="30"/>
        </w:rPr>
        <w:t>14.11</w:t>
      </w:r>
      <w:r>
        <w:rPr>
          <w:rFonts w:hint="eastAsia" w:ascii="仿宋" w:hAnsi="仿宋" w:eastAsia="仿宋" w:cs="仿宋"/>
          <w:sz w:val="30"/>
          <w:szCs w:val="30"/>
        </w:rPr>
        <w:t>万元，其中：商品和服务支出13.11万元，资本性支1万元，其他相关支出20万元。</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0"/>
          <w:szCs w:val="30"/>
        </w:rPr>
        <w:t>一般公共服务支出85.36万元，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18.23</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万元;社会保障和就业支出</w:t>
      </w:r>
      <w:r>
        <w:rPr>
          <w:rFonts w:hint="eastAsia" w:ascii="仿宋" w:hAnsi="仿宋" w:eastAsia="仿宋" w:cs="仿宋"/>
          <w:sz w:val="30"/>
          <w:szCs w:val="30"/>
        </w:rPr>
        <w:t>7.02</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万元,较</w:t>
      </w:r>
      <w:r>
        <w:rPr>
          <w:rFonts w:hint="eastAsia" w:ascii="仿宋" w:hAnsi="仿宋" w:eastAsia="仿宋" w:cs="仿宋"/>
          <w:color w:val="auto"/>
          <w:spacing w:val="10"/>
          <w:sz w:val="30"/>
          <w:szCs w:val="30"/>
        </w:rPr>
        <w:t>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0.25</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10"/>
          <w:sz w:val="30"/>
          <w:szCs w:val="30"/>
        </w:rPr>
        <w:t>万元;卫生健康支出</w:t>
      </w:r>
      <w:r>
        <w:rPr>
          <w:rFonts w:hint="eastAsia" w:ascii="仿宋" w:hAnsi="仿宋" w:eastAsia="仿宋" w:cs="仿宋"/>
          <w:sz w:val="30"/>
          <w:szCs w:val="30"/>
        </w:rPr>
        <w:t>6.82</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10"/>
          <w:sz w:val="30"/>
          <w:szCs w:val="30"/>
        </w:rPr>
        <w:t>万</w:t>
      </w:r>
      <w:r>
        <w:rPr>
          <w:rFonts w:hint="eastAsia" w:ascii="仿宋" w:hAnsi="仿宋" w:eastAsia="仿宋" w:cs="仿宋"/>
          <w:color w:val="auto"/>
          <w:spacing w:val="5"/>
          <w:sz w:val="30"/>
          <w:szCs w:val="30"/>
        </w:rPr>
        <w:t>元,较上年预算安排增加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2.18</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万元;住房保障支出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5.9</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w:t>
      </w:r>
      <w:r>
        <w:rPr>
          <w:rFonts w:hint="eastAsia" w:ascii="仿宋" w:hAnsi="仿宋" w:eastAsia="仿宋" w:cs="仿宋"/>
          <w:color w:val="auto"/>
          <w:spacing w:val="17"/>
          <w:sz w:val="30"/>
          <w:szCs w:val="30"/>
        </w:rPr>
        <w:t>元,较上年预算安排增加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3.6</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17"/>
          <w:sz w:val="30"/>
          <w:szCs w:val="30"/>
        </w:rPr>
        <w:t>万元</w:t>
      </w:r>
      <w:r>
        <w:rPr>
          <w:rFonts w:hint="eastAsia" w:ascii="仿宋" w:hAnsi="仿宋" w:eastAsia="仿宋" w:cs="仿宋"/>
          <w:color w:val="auto"/>
          <w:spacing w:val="17"/>
          <w:sz w:val="30"/>
          <w:szCs w:val="30"/>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2023年本部门财政拨款（补助）支出预算85.10万元，占本年支出预算额的80.97%，较上年预算安排增4.26万元，增（减）5.27%。增减变化主要原因是：</w:t>
      </w:r>
      <w:r>
        <w:rPr>
          <w:rFonts w:hint="eastAsia" w:ascii="仿宋" w:hAnsi="仿宋" w:eastAsia="仿宋" w:cs="仿宋"/>
          <w:sz w:val="30"/>
          <w:szCs w:val="30"/>
          <w:lang w:eastAsia="zh-CN"/>
        </w:rPr>
        <w:t>人员调入工资福利增加以及增加了</w:t>
      </w:r>
      <w:r>
        <w:rPr>
          <w:rFonts w:hint="eastAsia" w:ascii="仿宋" w:hAnsi="仿宋" w:eastAsia="仿宋" w:cs="仿宋"/>
          <w:sz w:val="30"/>
          <w:szCs w:val="30"/>
        </w:rPr>
        <w:t>外埠商会工作经费</w:t>
      </w:r>
      <w:r>
        <w:rPr>
          <w:rFonts w:hint="eastAsia" w:ascii="仿宋" w:hAnsi="仿宋" w:eastAsia="仿宋" w:cs="仿宋"/>
          <w:kern w:val="2"/>
          <w:sz w:val="30"/>
          <w:szCs w:val="30"/>
          <w:lang w:val="en-US" w:eastAsia="zh-CN" w:bidi="ar-SA"/>
        </w:rPr>
        <w:t>。具体为：</w:t>
      </w:r>
    </w:p>
    <w:p>
      <w:pPr>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70.99</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10.15</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lang w:eastAsia="zh-CN"/>
        </w:rPr>
        <w:t>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64.46</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6.29</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pacing w:val="-131"/>
          <w:sz w:val="30"/>
          <w:szCs w:val="30"/>
        </w:rPr>
        <w:t xml:space="preserve"> </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0.24</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万元。项目支出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14.11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5.89</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13.11</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万元，其他相关支出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auto"/>
          <w:spacing w:val="17"/>
          <w:sz w:val="30"/>
          <w:szCs w:val="30"/>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sz w:val="30"/>
          <w:szCs w:val="30"/>
        </w:rPr>
        <w:t>一般公共服务</w:t>
      </w:r>
      <w:r>
        <w:rPr>
          <w:rFonts w:hint="eastAsia" w:ascii="仿宋" w:hAnsi="仿宋" w:eastAsia="仿宋" w:cs="仿宋"/>
          <w:color w:val="auto"/>
          <w:spacing w:val="12"/>
          <w:sz w:val="30"/>
          <w:szCs w:val="30"/>
        </w:rPr>
        <w:t>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65.36</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12"/>
          <w:sz w:val="30"/>
          <w:szCs w:val="30"/>
        </w:rPr>
        <w:t>万元,较</w:t>
      </w:r>
      <w:r>
        <w:rPr>
          <w:rFonts w:hint="eastAsia" w:ascii="仿宋" w:hAnsi="仿宋" w:eastAsia="仿宋" w:cs="仿宋"/>
          <w:color w:val="auto"/>
          <w:spacing w:val="5"/>
          <w:sz w:val="30"/>
          <w:szCs w:val="30"/>
        </w:rPr>
        <w:t>上年预算安排</w:t>
      </w:r>
      <w:r>
        <w:rPr>
          <w:rFonts w:hint="eastAsia" w:ascii="仿宋" w:hAnsi="仿宋" w:eastAsia="仿宋" w:cs="仿宋"/>
          <w:color w:val="auto"/>
          <w:spacing w:val="5"/>
          <w:sz w:val="30"/>
          <w:szCs w:val="30"/>
          <w:lang w:eastAsia="zh-CN"/>
        </w:rPr>
        <w:t>减少</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1.77</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万元;社会保障和就业支出</w:t>
      </w:r>
      <w:r>
        <w:rPr>
          <w:rFonts w:hint="eastAsia" w:ascii="仿宋" w:hAnsi="仿宋" w:eastAsia="仿宋" w:cs="仿宋"/>
          <w:color w:val="auto"/>
          <w:spacing w:val="5"/>
          <w:sz w:val="30"/>
          <w:szCs w:val="30"/>
          <w:lang w:val="en-US" w:eastAsia="zh-CN"/>
        </w:rPr>
        <w:t>7.02</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万元,较</w:t>
      </w:r>
      <w:r>
        <w:rPr>
          <w:rFonts w:hint="eastAsia" w:ascii="仿宋" w:hAnsi="仿宋" w:eastAsia="仿宋" w:cs="仿宋"/>
          <w:color w:val="auto"/>
          <w:spacing w:val="10"/>
          <w:sz w:val="30"/>
          <w:szCs w:val="30"/>
        </w:rPr>
        <w:t>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0.25</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10"/>
          <w:sz w:val="30"/>
          <w:szCs w:val="30"/>
        </w:rPr>
        <w:t>万元;卫生健康支出</w:t>
      </w:r>
      <w:r>
        <w:rPr>
          <w:rFonts w:hint="eastAsia" w:ascii="仿宋" w:hAnsi="仿宋" w:eastAsia="仿宋" w:cs="仿宋"/>
          <w:color w:val="auto"/>
          <w:spacing w:val="10"/>
          <w:sz w:val="30"/>
          <w:szCs w:val="30"/>
          <w:lang w:val="en-US" w:eastAsia="zh-CN"/>
        </w:rPr>
        <w:t>6.82</w:t>
      </w:r>
      <w:r>
        <w:rPr>
          <w:rFonts w:hint="eastAsia" w:ascii="仿宋" w:hAnsi="仿宋" w:eastAsia="仿宋" w:cs="仿宋"/>
          <w:color w:val="auto"/>
          <w:sz w:val="32"/>
          <w:szCs w:val="32"/>
          <w:u w:val="single"/>
          <w:lang w:eastAsia="zh-CN"/>
        </w:rPr>
        <w:t xml:space="preserve">    </w:t>
      </w:r>
      <w:bookmarkStart w:id="0" w:name="_GoBack"/>
      <w:bookmarkEnd w:id="0"/>
      <w:r>
        <w:rPr>
          <w:rFonts w:hint="eastAsia" w:ascii="仿宋" w:hAnsi="仿宋" w:eastAsia="仿宋" w:cs="仿宋"/>
          <w:color w:val="auto"/>
          <w:spacing w:val="10"/>
          <w:sz w:val="30"/>
          <w:szCs w:val="30"/>
        </w:rPr>
        <w:t>万</w:t>
      </w:r>
      <w:r>
        <w:rPr>
          <w:rFonts w:hint="eastAsia" w:ascii="仿宋" w:hAnsi="仿宋" w:eastAsia="仿宋" w:cs="仿宋"/>
          <w:color w:val="auto"/>
          <w:spacing w:val="5"/>
          <w:sz w:val="30"/>
          <w:szCs w:val="30"/>
        </w:rPr>
        <w:t>元,较上年预算安排增加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2.18</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万元;住房保障支出</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5.9</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5"/>
          <w:sz w:val="30"/>
          <w:szCs w:val="30"/>
        </w:rPr>
        <w:t>万</w:t>
      </w:r>
      <w:r>
        <w:rPr>
          <w:rFonts w:hint="eastAsia" w:ascii="仿宋" w:hAnsi="仿宋" w:eastAsia="仿宋" w:cs="仿宋"/>
          <w:color w:val="auto"/>
          <w:spacing w:val="17"/>
          <w:sz w:val="30"/>
          <w:szCs w:val="30"/>
        </w:rPr>
        <w:t>元,较上年预算安排增加</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z w:val="32"/>
          <w:szCs w:val="32"/>
          <w:u w:val="single"/>
          <w:lang w:val="en-US" w:eastAsia="zh-CN"/>
        </w:rPr>
        <w:t>3.6</w:t>
      </w:r>
      <w:r>
        <w:rPr>
          <w:rFonts w:hint="eastAsia" w:ascii="仿宋" w:hAnsi="仿宋" w:eastAsia="仿宋" w:cs="仿宋"/>
          <w:color w:val="auto"/>
          <w:sz w:val="32"/>
          <w:szCs w:val="32"/>
          <w:u w:val="single"/>
          <w:lang w:eastAsia="zh-CN"/>
        </w:rPr>
        <w:t xml:space="preserve"> </w:t>
      </w:r>
      <w:r>
        <w:rPr>
          <w:rFonts w:hint="eastAsia" w:ascii="仿宋" w:hAnsi="仿宋" w:eastAsia="仿宋" w:cs="仿宋"/>
          <w:color w:val="auto"/>
          <w:spacing w:val="17"/>
          <w:sz w:val="30"/>
          <w:szCs w:val="30"/>
        </w:rPr>
        <w:t>万元</w:t>
      </w:r>
      <w:r>
        <w:rPr>
          <w:rFonts w:hint="eastAsia" w:ascii="仿宋" w:hAnsi="仿宋" w:eastAsia="仿宋" w:cs="仿宋"/>
          <w:color w:val="auto"/>
          <w:spacing w:val="17"/>
          <w:sz w:val="30"/>
          <w:szCs w:val="30"/>
          <w:lang w:eastAsia="zh-CN"/>
        </w:rPr>
        <w:t>。</w:t>
      </w:r>
    </w:p>
    <w:p>
      <w:pPr>
        <w:spacing w:line="56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（四）政府性基金情况</w:t>
      </w:r>
    </w:p>
    <w:p>
      <w:pPr>
        <w:pStyle w:val="2"/>
        <w:ind w:firstLine="800" w:firstLineChars="250"/>
        <w:rPr>
          <w:rFonts w:ascii="仿宋" w:hAnsi="仿宋" w:eastAsia="仿宋" w:cs="仿宋"/>
          <w:lang w:val="en-US" w:bidi="ar-SA"/>
        </w:rPr>
      </w:pPr>
      <w:r>
        <w:rPr>
          <w:rFonts w:hint="eastAsia" w:ascii="仿宋" w:hAnsi="仿宋" w:eastAsia="仿宋" w:cs="仿宋"/>
          <w:lang w:val="en-US" w:bidi="ar-SA"/>
        </w:rPr>
        <w:t>无</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sz w:val="32"/>
          <w:szCs w:val="32"/>
        </w:rPr>
        <w:t>2023年部门机关运行费预算</w:t>
      </w:r>
      <w:r>
        <w:rPr>
          <w:rFonts w:hint="eastAsia" w:ascii="仿宋" w:hAnsi="仿宋" w:eastAsia="仿宋" w:cs="仿宋"/>
          <w:color w:val="auto"/>
          <w:sz w:val="32"/>
          <w:szCs w:val="32"/>
          <w:u w:val="single"/>
        </w:rPr>
        <w:t xml:space="preserve"> 6.29</w:t>
      </w:r>
      <w:r>
        <w:rPr>
          <w:rFonts w:hint="eastAsia" w:ascii="仿宋" w:hAnsi="仿宋" w:eastAsia="仿宋" w:cs="仿宋"/>
          <w:color w:val="auto"/>
          <w:sz w:val="32"/>
          <w:szCs w:val="32"/>
        </w:rPr>
        <w:t>万元，比2022年(上一年度）预算减少</w:t>
      </w:r>
      <w:r>
        <w:rPr>
          <w:rFonts w:hint="eastAsia" w:ascii="仿宋" w:hAnsi="仿宋" w:eastAsia="仿宋" w:cs="仿宋"/>
          <w:color w:val="auto"/>
          <w:sz w:val="32"/>
          <w:szCs w:val="32"/>
          <w:u w:val="single"/>
        </w:rPr>
        <w:t xml:space="preserve"> 19.82 </w:t>
      </w:r>
      <w:r>
        <w:rPr>
          <w:rFonts w:hint="eastAsia" w:ascii="仿宋" w:hAnsi="仿宋" w:eastAsia="仿宋" w:cs="仿宋"/>
          <w:color w:val="auto"/>
          <w:sz w:val="32"/>
          <w:szCs w:val="32"/>
        </w:rPr>
        <w:t>万元，下降</w:t>
      </w:r>
      <w:r>
        <w:rPr>
          <w:rFonts w:hint="eastAsia" w:ascii="仿宋" w:hAnsi="仿宋" w:eastAsia="仿宋" w:cs="仿宋"/>
          <w:color w:val="auto"/>
          <w:sz w:val="32"/>
          <w:szCs w:val="32"/>
          <w:u w:val="single"/>
        </w:rPr>
        <w:t xml:space="preserve"> 75.91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增减变化主要原因是：过紧日子，厉行节约。</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2023年部门所属各单位政府采购总额</w:t>
      </w:r>
      <w:r>
        <w:rPr>
          <w:rFonts w:hint="eastAsia" w:ascii="仿宋" w:hAnsi="仿宋" w:eastAsia="仿宋" w:cs="仿宋"/>
          <w:color w:val="auto"/>
          <w:sz w:val="32"/>
          <w:szCs w:val="32"/>
          <w:u w:val="single"/>
        </w:rPr>
        <w:t xml:space="preserve">   1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1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截至2022年12月31日部门共有车辆</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辆，其中：一般公务用车</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2023年本部门预算安排购置车辆</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u w:val="single"/>
        </w:rPr>
        <w:t xml:space="preserve">   0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634" w:leftChars="284" w:hanging="38" w:hangingChars="12"/>
        <w:rPr>
          <w:rFonts w:ascii="仿宋" w:hAnsi="仿宋" w:eastAsia="仿宋" w:cs="仿宋"/>
          <w:color w:val="auto"/>
          <w:sz w:val="24"/>
          <w:szCs w:val="24"/>
        </w:rPr>
      </w:pPr>
      <w:r>
        <w:rPr>
          <w:rFonts w:hint="eastAsia" w:ascii="仿宋" w:hAnsi="仿宋" w:eastAsia="仿宋" w:cs="仿宋"/>
          <w:color w:val="auto"/>
          <w:sz w:val="32"/>
          <w:szCs w:val="32"/>
        </w:rPr>
        <w:t>2023年实行绩效目标管理的项目5个，涉及资金34.11万元。</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rPr>
        <w:t>其中：项目名称：</w:t>
      </w:r>
      <w:r>
        <w:rPr>
          <w:rFonts w:hint="eastAsia" w:ascii="仿宋" w:hAnsi="仿宋" w:eastAsia="仿宋" w:cs="仿宋"/>
          <w:sz w:val="32"/>
          <w:szCs w:val="32"/>
          <w:lang w:eastAsia="zh-CN"/>
        </w:rPr>
        <w:t>非公经济人士培训</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1.项目概述：宣传党和国家的方针政策，加强会员思想政治工作，对他们进行“团结、帮助、引导、 教育”，并在非公有制经济人士中培养一支拥护中国共产党领导的积极分子队伍。对会员开展“爱国、敬业、守法”教育，开展工商专业培训，帮助他们改进经营管理， 提高素质。做好非公有制经济代表人士政治安排的推荐工作。</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2.立项依据：宣传党和国家的方针政策，加强会员思想政治工作，对他们进行“团结、帮助、引导、教育”，并在非公有制经济人士中培养支拥护中国共产党领导的积极分子队伍。</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3.实施主体：兴国县工商联</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4.实施周期：1年</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5.年度预算安排：34.11万</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6.年度绩效目标：</w:t>
      </w:r>
      <w:r>
        <w:rPr>
          <w:rFonts w:ascii="仿宋" w:hAnsi="仿宋" w:eastAsia="仿宋"/>
          <w:sz w:val="32"/>
          <w:szCs w:val="32"/>
        </w:rPr>
        <w:t>1</w:t>
      </w:r>
      <w:r>
        <w:rPr>
          <w:rFonts w:hint="eastAsia" w:ascii="仿宋" w:hAnsi="仿宋" w:eastAsia="仿宋"/>
          <w:sz w:val="32"/>
          <w:szCs w:val="32"/>
        </w:rPr>
        <w:t xml:space="preserve">：积极为会员提供信息、科技、管理、法律、会计、融资、咨询、专业职务评定 等服务，引导会员企业加强企业文化建设，树立非公有制企业新形象；目标 </w:t>
      </w:r>
      <w:r>
        <w:rPr>
          <w:rFonts w:ascii="仿宋" w:hAnsi="仿宋" w:eastAsia="仿宋"/>
          <w:sz w:val="32"/>
          <w:szCs w:val="32"/>
        </w:rPr>
        <w:t>2</w:t>
      </w:r>
      <w:r>
        <w:rPr>
          <w:rFonts w:hint="eastAsia" w:ascii="仿宋" w:hAnsi="仿宋" w:eastAsia="仿宋"/>
          <w:sz w:val="32"/>
          <w:szCs w:val="32"/>
        </w:rPr>
        <w:t xml:space="preserve">：引导会 员积极投身光彩事业，弘扬中华传统美德，先富帮后富，热心社会公益事业；目标 </w:t>
      </w:r>
      <w:r>
        <w:rPr>
          <w:rFonts w:ascii="仿宋" w:hAnsi="仿宋" w:eastAsia="仿宋"/>
          <w:sz w:val="32"/>
          <w:szCs w:val="32"/>
        </w:rPr>
        <w:t>3</w:t>
      </w:r>
      <w:r>
        <w:rPr>
          <w:rFonts w:hint="eastAsia" w:ascii="仿宋" w:hAnsi="仿宋" w:eastAsia="仿宋"/>
          <w:sz w:val="32"/>
          <w:szCs w:val="32"/>
        </w:rPr>
        <w:t>： 增进与台港澳和国外社团等工商经济界人士的联系，为当地经济建设引进资金、人才、 技术。</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pStyle w:val="2"/>
        <w:ind w:firstLine="640" w:firstLineChars="200"/>
        <w:rPr>
          <w:rFonts w:hint="eastAsia" w:eastAsia="仿宋"/>
          <w:b w:val="0"/>
          <w:bCs w:val="0"/>
          <w:lang w:eastAsia="zh-CN"/>
        </w:rPr>
      </w:pPr>
      <w:r>
        <w:rPr>
          <w:rFonts w:hint="eastAsia" w:ascii="仿宋" w:hAnsi="仿宋" w:eastAsia="仿宋" w:cs="仿宋"/>
          <w:b w:val="0"/>
          <w:bCs w:val="0"/>
          <w:color w:val="auto"/>
          <w:sz w:val="32"/>
          <w:szCs w:val="32"/>
          <w:lang w:eastAsia="zh-CN"/>
        </w:rPr>
        <w:t>无</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二、2023年“三公”经费预算情况说明</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说明部门或单位“三公”经费一般公共预算总额和结构，及各项增（减）变化原因。</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2023年兴国县兴国县工商联“三公”经费一般公共预算安排</w:t>
      </w:r>
      <w:r>
        <w:rPr>
          <w:rFonts w:hint="eastAsia" w:ascii="仿宋" w:hAnsi="仿宋" w:eastAsia="仿宋"/>
          <w:sz w:val="32"/>
          <w:szCs w:val="32"/>
          <w:lang w:val="en-US" w:eastAsia="zh-CN"/>
        </w:rPr>
        <w:t>1.9</w:t>
      </w:r>
      <w:r>
        <w:rPr>
          <w:rFonts w:hint="eastAsia" w:ascii="仿宋" w:hAnsi="仿宋" w:eastAsia="仿宋"/>
          <w:sz w:val="32"/>
          <w:szCs w:val="32"/>
        </w:rPr>
        <w:t>万元。其中：</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因公出国（境）费0万元，比上年增0万元，主</w:t>
      </w:r>
    </w:p>
    <w:p>
      <w:pPr>
        <w:spacing w:line="560" w:lineRule="exact"/>
        <w:rPr>
          <w:rFonts w:hint="eastAsia" w:ascii="仿宋" w:hAnsi="仿宋" w:eastAsia="仿宋"/>
          <w:sz w:val="32"/>
          <w:szCs w:val="32"/>
        </w:rPr>
      </w:pPr>
      <w:r>
        <w:rPr>
          <w:rFonts w:hint="eastAsia" w:ascii="仿宋" w:hAnsi="仿宋" w:eastAsia="仿宋"/>
          <w:sz w:val="32"/>
          <w:szCs w:val="32"/>
        </w:rPr>
        <w:t>要原因是：我单位无因公出国。</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公务接待费</w:t>
      </w:r>
      <w:r>
        <w:rPr>
          <w:rFonts w:hint="eastAsia" w:ascii="仿宋" w:hAnsi="仿宋" w:eastAsia="仿宋"/>
          <w:sz w:val="32"/>
          <w:szCs w:val="32"/>
          <w:lang w:val="en-US" w:eastAsia="zh-CN"/>
        </w:rPr>
        <w:t>1.9</w:t>
      </w:r>
      <w:r>
        <w:rPr>
          <w:rFonts w:hint="eastAsia" w:ascii="仿宋" w:hAnsi="仿宋" w:eastAsia="仿宋"/>
          <w:sz w:val="32"/>
          <w:szCs w:val="32"/>
        </w:rPr>
        <w:t>万元，比上年</w:t>
      </w:r>
      <w:r>
        <w:rPr>
          <w:rFonts w:hint="eastAsia" w:ascii="仿宋" w:hAnsi="仿宋" w:eastAsia="仿宋"/>
          <w:sz w:val="32"/>
          <w:szCs w:val="32"/>
          <w:lang w:eastAsia="zh-CN"/>
        </w:rPr>
        <w:t>减少</w:t>
      </w:r>
      <w:r>
        <w:rPr>
          <w:rFonts w:hint="eastAsia" w:ascii="仿宋" w:hAnsi="仿宋" w:eastAsia="仿宋"/>
          <w:sz w:val="32"/>
          <w:szCs w:val="32"/>
          <w:lang w:val="en-US" w:eastAsia="zh-CN"/>
        </w:rPr>
        <w:t>0.1</w:t>
      </w:r>
      <w:r>
        <w:rPr>
          <w:rFonts w:hint="eastAsia" w:ascii="仿宋" w:hAnsi="仿宋" w:eastAsia="仿宋"/>
          <w:sz w:val="32"/>
          <w:szCs w:val="32"/>
        </w:rPr>
        <w:t>万元，主要原因</w:t>
      </w:r>
    </w:p>
    <w:p>
      <w:pPr>
        <w:spacing w:line="560" w:lineRule="exact"/>
        <w:rPr>
          <w:rFonts w:hint="eastAsia" w:ascii="仿宋" w:hAnsi="仿宋" w:eastAsia="仿宋"/>
          <w:sz w:val="32"/>
          <w:szCs w:val="32"/>
        </w:rPr>
      </w:pPr>
      <w:r>
        <w:rPr>
          <w:rFonts w:hint="eastAsia" w:ascii="仿宋" w:hAnsi="仿宋" w:eastAsia="仿宋"/>
          <w:sz w:val="32"/>
          <w:szCs w:val="32"/>
        </w:rPr>
        <w:t>是：</w:t>
      </w:r>
      <w:r>
        <w:rPr>
          <w:rFonts w:hint="eastAsia" w:ascii="仿宋" w:hAnsi="仿宋" w:eastAsia="仿宋"/>
          <w:sz w:val="32"/>
          <w:szCs w:val="32"/>
          <w:lang w:eastAsia="zh-CN"/>
        </w:rPr>
        <w:t>降低接待标准</w:t>
      </w:r>
      <w:r>
        <w:rPr>
          <w:rFonts w:hint="eastAsia" w:ascii="仿宋" w:hAnsi="仿宋" w:eastAsia="仿宋"/>
          <w:sz w:val="32"/>
          <w:szCs w:val="32"/>
        </w:rPr>
        <w:t>。</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公务用车运行维护费0万元，比上年增（减）0万元，</w:t>
      </w:r>
    </w:p>
    <w:p>
      <w:pPr>
        <w:spacing w:line="560" w:lineRule="exact"/>
        <w:rPr>
          <w:rFonts w:hint="eastAsia" w:ascii="仿宋" w:hAnsi="仿宋" w:eastAsia="仿宋"/>
          <w:sz w:val="32"/>
          <w:szCs w:val="32"/>
        </w:rPr>
      </w:pPr>
      <w:r>
        <w:rPr>
          <w:rFonts w:hint="eastAsia" w:ascii="仿宋" w:hAnsi="仿宋" w:eastAsia="仿宋"/>
          <w:sz w:val="32"/>
          <w:szCs w:val="32"/>
        </w:rPr>
        <w:t>主要原因是：我单位无公务用车。</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公务用车购置费0万元，比上年增（减）0万元，主要</w:t>
      </w:r>
    </w:p>
    <w:p>
      <w:pPr>
        <w:spacing w:line="560" w:lineRule="exact"/>
        <w:rPr>
          <w:rFonts w:hint="eastAsia" w:ascii="仿宋" w:hAnsi="仿宋" w:eastAsia="仿宋"/>
          <w:sz w:val="32"/>
          <w:szCs w:val="32"/>
        </w:rPr>
      </w:pPr>
      <w:r>
        <w:rPr>
          <w:rFonts w:hint="eastAsia" w:ascii="仿宋" w:hAnsi="仿宋" w:eastAsia="仿宋"/>
          <w:sz w:val="32"/>
          <w:szCs w:val="32"/>
        </w:rPr>
        <w:t>原因是：我单位无公务用车。</w:t>
      </w:r>
    </w:p>
    <w:p>
      <w:pPr>
        <w:spacing w:line="560" w:lineRule="exact"/>
        <w:ind w:firstLine="640" w:firstLineChars="200"/>
        <w:rPr>
          <w:rFonts w:ascii="仿宋" w:hAnsi="仿宋" w:eastAsia="仿宋" w:cs="仿宋"/>
          <w:sz w:val="32"/>
          <w:szCs w:val="32"/>
        </w:rPr>
      </w:pPr>
    </w:p>
    <w:p>
      <w:pPr>
        <w:spacing w:line="560" w:lineRule="exact"/>
        <w:jc w:val="center"/>
        <w:rPr>
          <w:rFonts w:ascii="黑体" w:hAnsi="黑体" w:eastAsia="黑体" w:cs="黑体"/>
          <w:sz w:val="32"/>
          <w:szCs w:val="32"/>
        </w:rPr>
      </w:pPr>
      <w:r>
        <w:rPr>
          <w:rFonts w:hint="eastAsia" w:ascii="黑体" w:hAnsi="黑体" w:eastAsia="黑体" w:cs="黑体"/>
          <w:color w:val="auto"/>
          <w:sz w:val="32"/>
          <w:szCs w:val="32"/>
        </w:rPr>
        <w:t>第三部分 兴国县工商联单位2023年部门预算</w:t>
      </w:r>
      <w:r>
        <w:rPr>
          <w:rFonts w:hint="eastAsia" w:ascii="黑体" w:hAnsi="黑体" w:eastAsia="黑体" w:cs="黑体"/>
          <w:sz w:val="32"/>
          <w:szCs w:val="32"/>
        </w:rPr>
        <w:t>表</w:t>
      </w: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hint="eastAsia" w:ascii="仿宋" w:hAnsi="仿宋" w:eastAsia="仿宋" w:cs="仿宋"/>
          <w:sz w:val="32"/>
          <w:szCs w:val="32"/>
        </w:rPr>
      </w:pP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pStyle w:val="2"/>
      </w:pPr>
      <w:r>
        <w:rPr>
          <w:lang w:val="en-US" w:bidi="ar-SA"/>
        </w:rPr>
        <w:drawing>
          <wp:inline distT="0" distB="0" distL="114300" distR="114300">
            <wp:extent cx="6073140" cy="4292600"/>
            <wp:effectExtent l="0" t="0" r="381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stretch>
                      <a:fillRect/>
                    </a:stretch>
                  </pic:blipFill>
                  <pic:spPr>
                    <a:xfrm>
                      <a:off x="0" y="0"/>
                      <a:ext cx="6073140" cy="4292600"/>
                    </a:xfrm>
                    <a:prstGeom prst="rect">
                      <a:avLst/>
                    </a:prstGeom>
                    <a:noFill/>
                    <a:ln>
                      <a:noFill/>
                    </a:ln>
                  </pic:spPr>
                </pic:pic>
              </a:graphicData>
            </a:graphic>
          </wp:inline>
        </w:drawing>
      </w: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rPr>
          <w:rFonts w:eastAsia="仿宋"/>
          <w:color w:val="FF0000"/>
        </w:rPr>
      </w:pPr>
    </w:p>
    <w:p>
      <w:pPr>
        <w:pStyle w:val="2"/>
        <w:numPr>
          <w:ilvl w:val="0"/>
          <w:numId w:val="1"/>
        </w:numPr>
        <w:rPr>
          <w:rFonts w:ascii="仿宋" w:hAnsi="仿宋" w:eastAsia="仿宋" w:cs="仿宋"/>
        </w:rPr>
      </w:pPr>
      <w:r>
        <w:rPr>
          <w:rFonts w:hint="eastAsia" w:ascii="仿宋" w:hAnsi="仿宋" w:eastAsia="仿宋" w:cs="仿宋"/>
        </w:rPr>
        <w:t>《部门收入总表》</w:t>
      </w:r>
    </w:p>
    <w:p>
      <w:pPr>
        <w:pStyle w:val="2"/>
        <w:rPr>
          <w:lang w:val="en-US" w:bidi="ar-SA"/>
        </w:rPr>
      </w:pPr>
      <w:r>
        <w:rPr>
          <w:lang w:val="en-US" w:bidi="ar-SA"/>
        </w:rPr>
        <w:drawing>
          <wp:inline distT="0" distB="0" distL="114300" distR="114300">
            <wp:extent cx="6132195" cy="2122170"/>
            <wp:effectExtent l="0" t="0" r="1905" b="1143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cstate="print"/>
                    <a:stretch>
                      <a:fillRect/>
                    </a:stretch>
                  </pic:blipFill>
                  <pic:spPr>
                    <a:xfrm>
                      <a:off x="0" y="0"/>
                      <a:ext cx="6132195" cy="2122170"/>
                    </a:xfrm>
                    <a:prstGeom prst="rect">
                      <a:avLst/>
                    </a:prstGeom>
                    <a:noFill/>
                    <a:ln>
                      <a:noFill/>
                    </a:ln>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《部门支出总表》</w:t>
      </w:r>
    </w:p>
    <w:p>
      <w:pPr>
        <w:pStyle w:val="2"/>
        <w:rPr>
          <w:lang w:val="en-US" w:bidi="ar-SA"/>
        </w:rPr>
      </w:pPr>
      <w:r>
        <w:rPr>
          <w:lang w:val="en-US" w:bidi="ar-SA"/>
        </w:rPr>
        <w:drawing>
          <wp:inline distT="0" distB="0" distL="114300" distR="114300">
            <wp:extent cx="6193155" cy="2473960"/>
            <wp:effectExtent l="0" t="0" r="17145" b="254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cstate="print"/>
                    <a:stretch>
                      <a:fillRect/>
                    </a:stretch>
                  </pic:blipFill>
                  <pic:spPr>
                    <a:xfrm>
                      <a:off x="0" y="0"/>
                      <a:ext cx="6193155" cy="2473960"/>
                    </a:xfrm>
                    <a:prstGeom prst="rect">
                      <a:avLst/>
                    </a:prstGeom>
                    <a:noFill/>
                    <a:ln>
                      <a:noFill/>
                    </a:ln>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《财政拨款收支总表》</w:t>
      </w:r>
    </w:p>
    <w:p>
      <w:pPr>
        <w:pStyle w:val="2"/>
        <w:rPr>
          <w:lang w:val="en-US" w:bidi="ar-SA"/>
        </w:rPr>
      </w:pPr>
      <w:r>
        <w:rPr>
          <w:lang w:val="en-US" w:bidi="ar-SA"/>
        </w:rPr>
        <w:drawing>
          <wp:inline distT="0" distB="0" distL="114300" distR="114300">
            <wp:extent cx="6303645" cy="3470910"/>
            <wp:effectExtent l="0" t="0" r="1905" b="1524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8" cstate="print"/>
                    <a:stretch>
                      <a:fillRect/>
                    </a:stretch>
                  </pic:blipFill>
                  <pic:spPr>
                    <a:xfrm>
                      <a:off x="0" y="0"/>
                      <a:ext cx="6303645" cy="3470910"/>
                    </a:xfrm>
                    <a:prstGeom prst="rect">
                      <a:avLst/>
                    </a:prstGeom>
                    <a:noFill/>
                    <a:ln>
                      <a:noFill/>
                    </a:ln>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《一般公共预算支出表》</w:t>
      </w:r>
    </w:p>
    <w:p>
      <w:pPr>
        <w:pStyle w:val="2"/>
        <w:ind w:left="-199" w:leftChars="-95"/>
        <w:rPr>
          <w:lang w:val="en-US" w:bidi="ar-SA"/>
        </w:rPr>
      </w:pPr>
      <w:r>
        <w:rPr>
          <w:lang w:val="en-US" w:bidi="ar-SA"/>
        </w:rPr>
        <w:drawing>
          <wp:inline distT="0" distB="0" distL="114300" distR="114300">
            <wp:extent cx="6316345" cy="2007870"/>
            <wp:effectExtent l="0" t="0" r="8255" b="1143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9" cstate="print"/>
                    <a:stretch>
                      <a:fillRect/>
                    </a:stretch>
                  </pic:blipFill>
                  <pic:spPr>
                    <a:xfrm>
                      <a:off x="0" y="0"/>
                      <a:ext cx="6316345" cy="2007870"/>
                    </a:xfrm>
                    <a:prstGeom prst="rect">
                      <a:avLst/>
                    </a:prstGeom>
                    <a:noFill/>
                    <a:ln>
                      <a:noFill/>
                    </a:ln>
                  </pic:spPr>
                </pic:pic>
              </a:graphicData>
            </a:graphic>
          </wp:inline>
        </w:drawing>
      </w: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pStyle w:val="2"/>
        <w:ind w:left="-199" w:leftChars="-95"/>
        <w:rPr>
          <w:lang w:val="en-US" w:bidi="ar-SA"/>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《一般公共预算基本支出表》</w:t>
      </w:r>
    </w:p>
    <w:p>
      <w:pPr>
        <w:pStyle w:val="2"/>
        <w:rPr>
          <w:lang w:val="en-US" w:bidi="ar-SA"/>
        </w:rPr>
      </w:pPr>
      <w:r>
        <w:rPr>
          <w:lang w:val="en-US" w:bidi="ar-SA"/>
        </w:rPr>
        <w:drawing>
          <wp:inline distT="0" distB="0" distL="114300" distR="114300">
            <wp:extent cx="6169660" cy="2118995"/>
            <wp:effectExtent l="0" t="0" r="2540" b="1460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0" cstate="print"/>
                    <a:stretch>
                      <a:fillRect/>
                    </a:stretch>
                  </pic:blipFill>
                  <pic:spPr>
                    <a:xfrm>
                      <a:off x="0" y="0"/>
                      <a:ext cx="6169660" cy="2118995"/>
                    </a:xfrm>
                    <a:prstGeom prst="rect">
                      <a:avLst/>
                    </a:prstGeom>
                    <a:noFill/>
                    <a:ln>
                      <a:noFill/>
                    </a:ln>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《一般公共预算“三公”经费支出表》</w:t>
      </w:r>
    </w:p>
    <w:p>
      <w:pPr>
        <w:pStyle w:val="2"/>
        <w:rPr>
          <w:lang w:val="en-US" w:bidi="ar-SA"/>
        </w:rPr>
      </w:pPr>
      <w:r>
        <w:drawing>
          <wp:inline distT="0" distB="0" distL="114300" distR="114300">
            <wp:extent cx="5532755" cy="1321435"/>
            <wp:effectExtent l="0" t="0" r="10795" b="1206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1"/>
                    <a:stretch>
                      <a:fillRect/>
                    </a:stretch>
                  </pic:blipFill>
                  <pic:spPr>
                    <a:xfrm>
                      <a:off x="0" y="0"/>
                      <a:ext cx="5532755" cy="1321435"/>
                    </a:xfrm>
                    <a:prstGeom prst="rect">
                      <a:avLst/>
                    </a:prstGeom>
                    <a:noFill/>
                    <a:ln>
                      <a:noFill/>
                    </a:ln>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numPr>
          <w:ilvl w:val="0"/>
          <w:numId w:val="1"/>
        </w:numPr>
        <w:spacing w:line="560" w:lineRule="exact"/>
        <w:rPr>
          <w:rFonts w:ascii="仿宋" w:hAnsi="仿宋" w:eastAsia="仿宋" w:cs="仿宋"/>
          <w:sz w:val="32"/>
          <w:szCs w:val="32"/>
        </w:rPr>
      </w:pPr>
      <w:r>
        <w:rPr>
          <w:rFonts w:hint="eastAsia" w:ascii="仿宋" w:hAnsi="仿宋" w:eastAsia="仿宋" w:cs="仿宋"/>
          <w:sz w:val="32"/>
          <w:szCs w:val="32"/>
        </w:rPr>
        <w:t>《政府性基金预算支出表》</w:t>
      </w:r>
    </w:p>
    <w:p>
      <w:pPr>
        <w:pStyle w:val="2"/>
        <w:rPr>
          <w:lang w:val="en-US" w:bidi="ar-SA"/>
        </w:rPr>
      </w:pPr>
      <w:r>
        <w:rPr>
          <w:lang w:val="en-US" w:bidi="ar-SA"/>
        </w:rPr>
        <w:drawing>
          <wp:inline distT="0" distB="0" distL="114300" distR="114300">
            <wp:extent cx="6163310" cy="1102995"/>
            <wp:effectExtent l="0" t="0" r="8890" b="190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2" cstate="print"/>
                    <a:stretch>
                      <a:fillRect/>
                    </a:stretch>
                  </pic:blipFill>
                  <pic:spPr>
                    <a:xfrm>
                      <a:off x="0" y="0"/>
                      <a:ext cx="6163310" cy="1102995"/>
                    </a:xfrm>
                    <a:prstGeom prst="rect">
                      <a:avLst/>
                    </a:prstGeom>
                    <a:noFill/>
                    <a:ln>
                      <a:noFill/>
                    </a:ln>
                  </pic:spPr>
                </pic:pic>
              </a:graphicData>
            </a:graphic>
          </wp:inline>
        </w:drawing>
      </w: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lang w:val="en-US" w:bidi="ar-SA"/>
        </w:rPr>
      </w:pPr>
    </w:p>
    <w:p>
      <w:pPr>
        <w:pStyle w:val="2"/>
        <w:rPr>
          <w:rFonts w:hint="eastAsia"/>
          <w:lang w:val="en-US" w:eastAsia="zh-CN" w:bidi="ar-SA"/>
        </w:rPr>
      </w:pPr>
    </w:p>
    <w:p>
      <w:pPr>
        <w:pStyle w:val="2"/>
        <w:rPr>
          <w:rFonts w:hint="eastAsia"/>
          <w:lang w:val="en-US" w:eastAsia="zh-CN" w:bidi="ar-SA"/>
        </w:rPr>
      </w:pPr>
    </w:p>
    <w:p>
      <w:pPr>
        <w:pStyle w:val="2"/>
        <w:rPr>
          <w:rFonts w:hint="eastAsia" w:eastAsia="仿宋_GB2312"/>
          <w:lang w:val="en-US" w:eastAsia="zh-CN" w:bidi="ar-SA"/>
        </w:rPr>
      </w:pPr>
      <w:r>
        <w:rPr>
          <w:rFonts w:hint="eastAsia"/>
          <w:lang w:val="en-US" w:eastAsia="zh-CN" w:bidi="ar-SA"/>
        </w:rPr>
        <w:t>九、</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国有资本经营预算支出表</w:t>
      </w:r>
      <w:r>
        <w:rPr>
          <w:rFonts w:hint="eastAsia" w:ascii="仿宋_GB2312" w:hAnsi="仿宋_GB2312" w:eastAsia="仿宋_GB2312" w:cs="仿宋_GB2312"/>
          <w:color w:val="auto"/>
          <w:sz w:val="32"/>
          <w:szCs w:val="32"/>
        </w:rPr>
        <w:t>》</w:t>
      </w:r>
    </w:p>
    <w:p>
      <w:pPr>
        <w:pStyle w:val="2"/>
      </w:pPr>
      <w:r>
        <w:drawing>
          <wp:inline distT="0" distB="0" distL="114300" distR="114300">
            <wp:extent cx="5544820" cy="1043940"/>
            <wp:effectExtent l="0" t="0" r="17780" b="381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13"/>
                    <a:stretch>
                      <a:fillRect/>
                    </a:stretch>
                  </pic:blipFill>
                  <pic:spPr>
                    <a:xfrm>
                      <a:off x="0" y="0"/>
                      <a:ext cx="5544820" cy="104394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lang w:val="en-US" w:eastAsia="zh-CN"/>
        </w:rPr>
      </w:pPr>
    </w:p>
    <w:p>
      <w:pPr>
        <w:numPr>
          <w:ilvl w:val="0"/>
          <w:numId w:val="0"/>
        </w:numPr>
        <w:spacing w:line="560" w:lineRule="exact"/>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pStyle w:val="2"/>
        <w:rPr>
          <w:lang w:val="en-US" w:bidi="ar-SA"/>
        </w:rPr>
      </w:pPr>
      <w:r>
        <w:drawing>
          <wp:inline distT="0" distB="0" distL="114300" distR="114300">
            <wp:extent cx="5543550" cy="4798060"/>
            <wp:effectExtent l="0" t="0" r="0"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5543550" cy="4798060"/>
                    </a:xfrm>
                    <a:prstGeom prst="rect">
                      <a:avLst/>
                    </a:prstGeom>
                    <a:noFill/>
                    <a:ln>
                      <a:noFill/>
                    </a:ln>
                  </pic:spPr>
                </pic:pic>
              </a:graphicData>
            </a:graphic>
          </wp:inline>
        </w:drawing>
      </w:r>
    </w:p>
    <w:p>
      <w:pPr>
        <w:pStyle w:val="2"/>
      </w:pPr>
    </w:p>
    <w:p>
      <w:pPr>
        <w:pStyle w:val="2"/>
      </w:pPr>
    </w:p>
    <w:p>
      <w:pPr>
        <w:pStyle w:val="2"/>
      </w:pPr>
    </w:p>
    <w:p>
      <w:pPr>
        <w:pStyle w:val="2"/>
      </w:pPr>
    </w:p>
    <w:p>
      <w:pPr>
        <w:numPr>
          <w:ilvl w:val="0"/>
          <w:numId w:val="0"/>
        </w:numPr>
        <w:spacing w:line="560" w:lineRule="exact"/>
        <w:rPr>
          <w:rFonts w:hint="eastAsia" w:ascii="仿宋" w:hAnsi="仿宋" w:eastAsia="仿宋" w:cs="仿宋"/>
          <w:sz w:val="32"/>
          <w:szCs w:val="32"/>
          <w:lang w:eastAsia="zh-CN"/>
        </w:rPr>
      </w:pPr>
    </w:p>
    <w:p>
      <w:pPr>
        <w:numPr>
          <w:ilvl w:val="0"/>
          <w:numId w:val="0"/>
        </w:numPr>
        <w:spacing w:line="560" w:lineRule="exact"/>
        <w:rPr>
          <w:rFonts w:hint="eastAsia" w:ascii="仿宋" w:hAnsi="仿宋" w:eastAsia="仿宋" w:cs="仿宋"/>
          <w:sz w:val="32"/>
          <w:szCs w:val="32"/>
          <w:lang w:eastAsia="zh-CN"/>
        </w:rPr>
      </w:pPr>
    </w:p>
    <w:p>
      <w:pPr>
        <w:numPr>
          <w:ilvl w:val="0"/>
          <w:numId w:val="0"/>
        </w:numPr>
        <w:spacing w:line="560" w:lineRule="exact"/>
        <w:rPr>
          <w:rFonts w:hint="eastAsia" w:ascii="仿宋" w:hAnsi="仿宋" w:eastAsia="仿宋" w:cs="仿宋"/>
          <w:sz w:val="32"/>
          <w:szCs w:val="32"/>
          <w:lang w:eastAsia="zh-CN"/>
        </w:rPr>
      </w:pPr>
    </w:p>
    <w:p>
      <w:pPr>
        <w:numPr>
          <w:ilvl w:val="0"/>
          <w:numId w:val="0"/>
        </w:numPr>
        <w:spacing w:line="560" w:lineRule="exact"/>
        <w:rPr>
          <w:rFonts w:hint="eastAsia" w:ascii="仿宋" w:hAnsi="仿宋" w:eastAsia="仿宋" w:cs="仿宋"/>
          <w:sz w:val="32"/>
          <w:szCs w:val="32"/>
          <w:lang w:eastAsia="zh-CN"/>
        </w:rPr>
      </w:pPr>
    </w:p>
    <w:p>
      <w:pPr>
        <w:numPr>
          <w:ilvl w:val="0"/>
          <w:numId w:val="0"/>
        </w:numPr>
        <w:spacing w:line="560" w:lineRule="exact"/>
        <w:rPr>
          <w:rFonts w:hint="eastAsia" w:ascii="仿宋" w:hAnsi="仿宋" w:eastAsia="仿宋" w:cs="仿宋"/>
          <w:sz w:val="32"/>
          <w:szCs w:val="32"/>
          <w:lang w:eastAsia="zh-CN"/>
        </w:rPr>
      </w:pPr>
    </w:p>
    <w:p>
      <w:pPr>
        <w:numPr>
          <w:ilvl w:val="0"/>
          <w:numId w:val="0"/>
        </w:numPr>
        <w:spacing w:line="560" w:lineRule="exact"/>
        <w:rPr>
          <w:rFonts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pStyle w:val="2"/>
      </w:pPr>
      <w:r>
        <w:drawing>
          <wp:inline distT="0" distB="0" distL="114300" distR="114300">
            <wp:extent cx="5542915" cy="7794625"/>
            <wp:effectExtent l="0" t="0" r="635" b="1587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5"/>
                    <a:stretch>
                      <a:fillRect/>
                    </a:stretch>
                  </pic:blipFill>
                  <pic:spPr>
                    <a:xfrm>
                      <a:off x="0" y="0"/>
                      <a:ext cx="5542915" cy="7794625"/>
                    </a:xfrm>
                    <a:prstGeom prst="rect">
                      <a:avLst/>
                    </a:prstGeom>
                    <a:noFill/>
                    <a:ln>
                      <a:noFill/>
                    </a:ln>
                  </pic:spPr>
                </pic:pic>
              </a:graphicData>
            </a:graphic>
          </wp:inline>
        </w:drawing>
      </w: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对部门或单位预算中涉及的支出功能分类科目（明细到项级），结合部门实际，参照《2023年政府收支分类科目》的规范说明行解释。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I/1OYyAgAAZA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j/U5jICAABkBAAADgAAAAAAAAABACAAAAAfAQAAZHJzL2Uyb0RvYy54bWxQSwUG&#10;AAAAAAYABgBZAQAAwwUAAAAA&#10;">
              <v:fill on="f" focussize="0,0"/>
              <v:stroke on="f" weight="0.5pt"/>
              <v:imagedata o:title=""/>
              <o:lock v:ext="edit" aspectratio="f"/>
              <v:textbox inset="0mm,0mm,0mm,0mm" style="mso-fit-shape-to-text:t;">
                <w:txbxContent>
                  <w:p>
                    <w:pPr>
                      <w:pStyle w:val="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5</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nW3T9EBAACo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EtbkJFiWUGJ35+/H7+8ev88xtZ&#10;ltVVkqj3UGPlg8faOLx3A5bPccBgYj7IYNIfORHMo8Cni8BiiISnQ6tqtSoxxTE3O4hfPB33AeIH&#10;4QxJRkMDTjALy46fII6lc0m6zbpbpXWeorakb+j1Fbb8VwbBtU0RkfdhgkmUxtaTFYfdMPHcufaE&#10;NHvciYZafAKU6I8WJU/rMxthNnaTkfDBvztE7Ce3mVBHKKSXHBxgJjotW9qQP/1c9fTAN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p1t0/RAQAAqAMAAA4AAAAAAAAAAQAgAAAAHgEAAGRy&#10;cy9lMm9Eb2MueG1sUEsFBgAAAAAGAAYAWQEAAGEFAAAAAA==&#10;">
              <v:fill on="f" focussize="0,0"/>
              <v:stroke on="f"/>
              <v:imagedata o:title=""/>
              <o:lock v:ext="edit" aspectratio="f"/>
              <v:textbox inset="0mm,0mm,0mm,0mm" style="mso-fit-shape-to-text:t;">
                <w:txbxContent>
                  <w:p>
                    <w:pPr>
                      <w:pStyle w:val="6"/>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2YWFmMTFmNjdlZDc2NGExNGZhN2M0NTI2Y2Q5ZjUifQ=="/>
  </w:docVars>
  <w:rsids>
    <w:rsidRoot w:val="445E02C8"/>
    <w:rsid w:val="000C5F7E"/>
    <w:rsid w:val="001C5C6F"/>
    <w:rsid w:val="00222165"/>
    <w:rsid w:val="002F20E6"/>
    <w:rsid w:val="00301F48"/>
    <w:rsid w:val="00387CE4"/>
    <w:rsid w:val="004D28C5"/>
    <w:rsid w:val="00526B92"/>
    <w:rsid w:val="0064035A"/>
    <w:rsid w:val="006909E0"/>
    <w:rsid w:val="007D58AD"/>
    <w:rsid w:val="00911F4B"/>
    <w:rsid w:val="00B90562"/>
    <w:rsid w:val="00C052D7"/>
    <w:rsid w:val="00C37480"/>
    <w:rsid w:val="00D40663"/>
    <w:rsid w:val="00DE25BD"/>
    <w:rsid w:val="00E55562"/>
    <w:rsid w:val="00E83554"/>
    <w:rsid w:val="00E92A06"/>
    <w:rsid w:val="00FB3284"/>
    <w:rsid w:val="03585433"/>
    <w:rsid w:val="04EE7A30"/>
    <w:rsid w:val="0AD93BDB"/>
    <w:rsid w:val="15CA22E2"/>
    <w:rsid w:val="1615215D"/>
    <w:rsid w:val="230B3DB1"/>
    <w:rsid w:val="2B7803F0"/>
    <w:rsid w:val="326D79FF"/>
    <w:rsid w:val="32AA4EE2"/>
    <w:rsid w:val="3A4013F4"/>
    <w:rsid w:val="3B6D1547"/>
    <w:rsid w:val="3F5F2902"/>
    <w:rsid w:val="3FFE2FA6"/>
    <w:rsid w:val="441478F0"/>
    <w:rsid w:val="44243FA3"/>
    <w:rsid w:val="445E02C8"/>
    <w:rsid w:val="45152EA4"/>
    <w:rsid w:val="48E22C44"/>
    <w:rsid w:val="4C947AB7"/>
    <w:rsid w:val="4D64132F"/>
    <w:rsid w:val="52935717"/>
    <w:rsid w:val="54CA0575"/>
    <w:rsid w:val="5C870A26"/>
    <w:rsid w:val="5F931451"/>
    <w:rsid w:val="63EC1411"/>
    <w:rsid w:val="66122A3B"/>
    <w:rsid w:val="68277525"/>
    <w:rsid w:val="6CE47287"/>
    <w:rsid w:val="6F6A5228"/>
    <w:rsid w:val="71724DA6"/>
    <w:rsid w:val="7A7E4C3A"/>
    <w:rsid w:val="7FC925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annotation text"/>
    <w:basedOn w:val="1"/>
    <w:uiPriority w:val="0"/>
    <w:pPr>
      <w:jc w:val="left"/>
    </w:pPr>
  </w:style>
  <w:style w:type="paragraph" w:styleId="4">
    <w:name w:val="Plain Text"/>
    <w:basedOn w:val="1"/>
    <w:link w:val="12"/>
    <w:autoRedefine/>
    <w:qFormat/>
    <w:uiPriority w:val="0"/>
    <w:rPr>
      <w:rFonts w:ascii="宋体" w:hAnsi="Courier New" w:cs="Courier New"/>
      <w:szCs w:val="21"/>
    </w:rPr>
  </w:style>
  <w:style w:type="paragraph" w:styleId="5">
    <w:name w:val="Balloon Text"/>
    <w:basedOn w:val="1"/>
    <w:link w:val="11"/>
    <w:autoRedefine/>
    <w:qFormat/>
    <w:uiPriority w:val="0"/>
    <w:rPr>
      <w:sz w:val="18"/>
      <w:szCs w:val="18"/>
    </w:rPr>
  </w:style>
  <w:style w:type="paragraph" w:styleId="6">
    <w:name w:val="footer"/>
    <w:basedOn w:val="1"/>
    <w:autoRedefine/>
    <w:unhideWhenUsed/>
    <w:qFormat/>
    <w:uiPriority w:val="0"/>
    <w:pPr>
      <w:tabs>
        <w:tab w:val="center" w:pos="4153"/>
        <w:tab w:val="right" w:pos="8306"/>
      </w:tabs>
      <w:snapToGrid w:val="0"/>
      <w:jc w:val="left"/>
    </w:pPr>
    <w:rPr>
      <w:sz w:val="18"/>
      <w:szCs w:val="18"/>
    </w:rPr>
  </w:style>
  <w:style w:type="paragraph" w:styleId="7">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autoRedefine/>
    <w:qFormat/>
    <w:uiPriority w:val="0"/>
    <w:rPr>
      <w:kern w:val="2"/>
      <w:sz w:val="18"/>
      <w:szCs w:val="18"/>
    </w:rPr>
  </w:style>
  <w:style w:type="character" w:customStyle="1" w:styleId="11">
    <w:name w:val="批注框文本 Char"/>
    <w:basedOn w:val="9"/>
    <w:link w:val="5"/>
    <w:autoRedefine/>
    <w:qFormat/>
    <w:uiPriority w:val="0"/>
    <w:rPr>
      <w:kern w:val="2"/>
      <w:sz w:val="18"/>
      <w:szCs w:val="18"/>
    </w:rPr>
  </w:style>
  <w:style w:type="character" w:customStyle="1" w:styleId="12">
    <w:name w:val="纯文本 Char"/>
    <w:basedOn w:val="9"/>
    <w:link w:val="4"/>
    <w:autoRedefine/>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3700</Words>
  <Characters>3957</Characters>
  <Lines>7</Lines>
  <Paragraphs>8</Paragraphs>
  <TotalTime>41</TotalTime>
  <ScaleCrop>false</ScaleCrop>
  <LinksUpToDate>false</LinksUpToDate>
  <CharactersWithSpaces>4149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dell</cp:lastModifiedBy>
  <dcterms:modified xsi:type="dcterms:W3CDTF">2024-06-03T09:00:46Z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6C05F21566FA4FD4AD5C249306303410_13</vt:lpwstr>
  </property>
</Properties>
</file>