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方正小标宋简体" w:hAnsi="方正小标宋简体" w:eastAsia="方正小标宋简体" w:cs="方正小标宋简体"/>
          <w:b w:val="0"/>
          <w:bCs/>
          <w:color w:val="auto"/>
          <w:sz w:val="44"/>
          <w:szCs w:val="44"/>
          <w:lang w:val="en-US" w:eastAsia="zh-CN"/>
        </w:rPr>
      </w:pPr>
      <w:r>
        <w:rPr>
          <w:rFonts w:hint="eastAsia" w:ascii="宋体" w:hAnsi="宋体" w:eastAsia="黑体" w:cs="黑体"/>
          <w:b/>
          <w:bCs/>
          <w:color w:val="auto"/>
          <w:sz w:val="44"/>
          <w:szCs w:val="44"/>
          <w:lang w:val="en-US" w:eastAsia="zh-CN"/>
        </w:rPr>
        <w:t>江西兴国经济开发区管理委员会2023</w:t>
      </w:r>
      <w:r>
        <w:rPr>
          <w:rFonts w:hint="eastAsia" w:ascii="方正小标宋简体" w:hAnsi="方正小标宋简体" w:eastAsia="方正小标宋简体" w:cs="方正小标宋简体"/>
          <w:b w:val="0"/>
          <w:bCs/>
          <w:color w:val="auto"/>
          <w:sz w:val="44"/>
          <w:szCs w:val="44"/>
          <w:lang w:val="en-US" w:eastAsia="zh-CN"/>
        </w:rPr>
        <w:t>年</w:t>
      </w:r>
    </w:p>
    <w:p>
      <w:pPr>
        <w:spacing w:line="560" w:lineRule="exact"/>
        <w:ind w:firstLine="2200" w:firstLineChars="500"/>
        <w:jc w:val="left"/>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部</w:t>
      </w:r>
      <w:r>
        <w:rPr>
          <w:rFonts w:hint="eastAsia" w:ascii="方正小标宋简体" w:hAnsi="方正小标宋简体" w:eastAsia="方正小标宋简体" w:cs="方正小标宋简体"/>
          <w:b w:val="0"/>
          <w:bCs/>
          <w:color w:val="auto"/>
          <w:sz w:val="44"/>
          <w:szCs w:val="44"/>
          <w:lang w:eastAsia="zh-CN"/>
        </w:rPr>
        <w:t>门</w:t>
      </w:r>
      <w:r>
        <w:rPr>
          <w:rFonts w:hint="eastAsia" w:ascii="方正小标宋简体" w:hAnsi="方正小标宋简体" w:eastAsia="方正小标宋简体" w:cs="方正小标宋简体"/>
          <w:b w:val="0"/>
          <w:bCs/>
          <w:color w:val="auto"/>
          <w:sz w:val="44"/>
          <w:szCs w:val="44"/>
        </w:rPr>
        <w:t>预算编制说明</w:t>
      </w:r>
    </w:p>
    <w:p>
      <w:pPr>
        <w:keepNext w:val="0"/>
        <w:keepLines w:val="0"/>
        <w:pageBreakBefore w:val="0"/>
        <w:widowControl w:val="0"/>
        <w:kinsoku/>
        <w:wordWrap/>
        <w:overflowPunct/>
        <w:topLinePunct w:val="0"/>
        <w:autoSpaceDE/>
        <w:autoSpaceDN/>
        <w:bidi w:val="0"/>
        <w:adjustRightInd/>
        <w:snapToGrid/>
        <w:spacing w:line="540" w:lineRule="exact"/>
        <w:ind w:left="0" w:leftChars="0"/>
        <w:jc w:val="both"/>
        <w:textAlignment w:val="auto"/>
        <w:rPr>
          <w:rFonts w:hint="eastAsia" w:ascii="黑体" w:hAnsi="黑体" w:eastAsia="黑体" w:cs="黑体"/>
          <w:color w:val="auto"/>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ascii="黑体" w:hAnsi="黑体" w:eastAsia="黑体" w:cs="黑体"/>
          <w:color w:val="auto"/>
          <w:sz w:val="32"/>
          <w:szCs w:val="32"/>
        </w:rPr>
      </w:pPr>
      <w:r>
        <w:rPr>
          <w:rFonts w:hint="eastAsia" w:ascii="黑体" w:hAnsi="黑体" w:eastAsia="黑体" w:cs="黑体"/>
          <w:color w:val="auto"/>
          <w:sz w:val="32"/>
          <w:szCs w:val="32"/>
        </w:rPr>
        <w:t>目  录</w:t>
      </w:r>
    </w:p>
    <w:p>
      <w:pPr>
        <w:keepNext w:val="0"/>
        <w:keepLines w:val="0"/>
        <w:pageBreakBefore w:val="0"/>
        <w:widowControl w:val="0"/>
        <w:kinsoku/>
        <w:wordWrap/>
        <w:overflowPunct/>
        <w:topLinePunct w:val="0"/>
        <w:autoSpaceDE/>
        <w:autoSpaceDN/>
        <w:bidi w:val="0"/>
        <w:adjustRightInd/>
        <w:snapToGrid/>
        <w:spacing w:line="540" w:lineRule="exact"/>
        <w:ind w:left="0" w:leftChars="0"/>
        <w:jc w:val="both"/>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681" w:leftChars="0" w:hanging="681" w:hangingChars="213"/>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第一部分 </w:t>
      </w:r>
      <w:r>
        <w:rPr>
          <w:rFonts w:hint="eastAsia" w:ascii="黑体" w:hAnsi="黑体" w:eastAsia="黑体" w:cs="黑体"/>
          <w:b w:val="0"/>
          <w:bCs w:val="0"/>
          <w:color w:val="auto"/>
          <w:sz w:val="32"/>
          <w:szCs w:val="32"/>
          <w:lang w:eastAsia="zh-CN"/>
        </w:rPr>
        <w:t>江西兴国开发区管理委员会</w:t>
      </w:r>
      <w:r>
        <w:rPr>
          <w:rFonts w:hint="eastAsia" w:ascii="黑体" w:hAnsi="黑体" w:eastAsia="黑体" w:cs="黑体"/>
          <w:b w:val="0"/>
          <w:bCs w:val="0"/>
          <w:color w:val="auto"/>
          <w:sz w:val="32"/>
          <w:szCs w:val="32"/>
        </w:rPr>
        <w:t>部门概况</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540" w:lineRule="exact"/>
        <w:ind w:left="681" w:leftChars="0" w:hanging="681" w:hangingChars="213"/>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江西兴国开发区管理委员会</w:t>
      </w:r>
      <w:r>
        <w:rPr>
          <w:rFonts w:hint="eastAsia" w:ascii="黑体" w:hAnsi="黑体" w:eastAsia="黑体" w:cs="黑体"/>
          <w:b w:val="0"/>
          <w:bCs w:val="0"/>
          <w:color w:val="auto"/>
          <w:sz w:val="32"/>
          <w:szCs w:val="32"/>
        </w:rPr>
        <w:t>部门预算情况说明</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年部门预算收支情况说明</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年“三公”经费预算情况说明</w:t>
      </w:r>
    </w:p>
    <w:p>
      <w:pPr>
        <w:keepNext w:val="0"/>
        <w:keepLines w:val="0"/>
        <w:pageBreakBefore w:val="0"/>
        <w:widowControl w:val="0"/>
        <w:kinsoku/>
        <w:wordWrap/>
        <w:overflowPunct/>
        <w:topLinePunct w:val="0"/>
        <w:autoSpaceDE/>
        <w:autoSpaceDN/>
        <w:bidi w:val="0"/>
        <w:adjustRightInd/>
        <w:snapToGrid/>
        <w:spacing w:line="540" w:lineRule="exact"/>
        <w:ind w:left="681" w:leftChars="0" w:hanging="681" w:hangingChars="213"/>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第三部分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江西兴国开发区管理委员会</w:t>
      </w:r>
      <w:r>
        <w:rPr>
          <w:rFonts w:hint="eastAsia" w:ascii="黑体" w:hAnsi="黑体" w:eastAsia="黑体" w:cs="黑体"/>
          <w:b w:val="0"/>
          <w:bCs w:val="0"/>
          <w:color w:val="auto"/>
          <w:sz w:val="32"/>
          <w:szCs w:val="32"/>
        </w:rPr>
        <w:t>部门预算表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一、《收支预算总表》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二、《部门收入总表》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三、《部门支出总表》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四、《财政拨款收支总表》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五、《一般公共预算支出表》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六、《一般公共预算基本支出表》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七、《一般公共预算“三公”经费支出表》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八、《政府性基金预算支出表》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w:t>
      </w:r>
      <w:r>
        <w:rPr>
          <w:rFonts w:hint="eastAsia" w:ascii="仿宋_GB2312" w:hAnsi="仿宋_GB2312" w:eastAsia="仿宋_GB2312" w:cs="仿宋_GB2312"/>
          <w:color w:val="auto"/>
          <w:sz w:val="32"/>
          <w:szCs w:val="32"/>
          <w:lang w:eastAsia="zh-CN"/>
        </w:rPr>
        <w:t>国有资本经营预算支出表</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十</w:t>
      </w:r>
      <w:r>
        <w:rPr>
          <w:rFonts w:hint="eastAsia" w:ascii="仿宋_GB2312" w:hAnsi="仿宋_GB2312" w:eastAsia="仿宋_GB2312" w:cs="仿宋_GB2312"/>
          <w:color w:val="auto"/>
          <w:sz w:val="32"/>
          <w:szCs w:val="32"/>
        </w:rPr>
        <w:t>、《部门整体支出绩效目标表》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黑体" w:hAnsi="黑体" w:eastAsia="黑体" w:cs="黑体"/>
          <w:b w:val="0"/>
          <w:bCs w:val="0"/>
          <w:color w:val="auto"/>
          <w:sz w:val="32"/>
          <w:szCs w:val="32"/>
        </w:rPr>
      </w:pPr>
      <w:r>
        <w:rPr>
          <w:rFonts w:hint="eastAsia" w:ascii="仿宋_GB2312" w:hAnsi="仿宋_GB2312" w:eastAsia="仿宋_GB2312" w:cs="仿宋_GB2312"/>
          <w:color w:val="auto"/>
          <w:sz w:val="32"/>
          <w:szCs w:val="32"/>
        </w:rPr>
        <w:t>十</w:t>
      </w: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、《项目支出绩效目标表》</w:t>
      </w:r>
      <w:r>
        <w:rPr>
          <w:rFonts w:hint="eastAsia" w:ascii="仿宋_GB2312" w:hAnsi="仿宋_GB2312" w:eastAsia="仿宋_GB2312" w:cs="仿宋_GB2312"/>
          <w:color w:val="auto"/>
          <w:sz w:val="32"/>
          <w:szCs w:val="32"/>
        </w:rPr>
        <w:cr/>
      </w:r>
      <w:r>
        <w:rPr>
          <w:rFonts w:hint="eastAsia" w:ascii="黑体" w:hAnsi="黑体" w:eastAsia="黑体" w:cs="黑体"/>
          <w:b w:val="0"/>
          <w:bCs w:val="0"/>
          <w:color w:val="auto"/>
          <w:sz w:val="32"/>
          <w:szCs w:val="32"/>
        </w:rPr>
        <w:t>第四部分 名词解释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江西兴国经济开发区管理委员会</w:t>
      </w:r>
      <w:r>
        <w:rPr>
          <w:rFonts w:hint="eastAsia" w:ascii="黑体" w:hAnsi="黑体" w:eastAsia="黑体" w:cs="黑体"/>
          <w:b w:val="0"/>
          <w:bCs w:val="0"/>
          <w:color w:val="auto"/>
          <w:sz w:val="32"/>
          <w:szCs w:val="32"/>
        </w:rPr>
        <w:t>部门概况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一、部门主要职责</w:t>
      </w:r>
    </w:p>
    <w:p>
      <w:pPr>
        <w:spacing w:line="600" w:lineRule="exact"/>
        <w:ind w:firstLine="630"/>
        <w:rPr>
          <w:rFonts w:hint="eastAsia" w:ascii="仿宋_GB2312" w:hAnsi="仿宋_GB2312" w:eastAsia="仿宋_GB2312"/>
          <w:sz w:val="32"/>
          <w:szCs w:val="32"/>
          <w:lang w:eastAsia="zh-CN"/>
        </w:rPr>
      </w:pPr>
      <w:r>
        <w:rPr>
          <w:rFonts w:hint="eastAsia" w:ascii="仿宋_GB2312" w:hAnsi="仿宋_GB2312" w:eastAsia="仿宋_GB2312"/>
          <w:sz w:val="32"/>
          <w:szCs w:val="32"/>
        </w:rPr>
        <w:t>(一)贯彻执行党的路线、方针、政策和国家有关法律、</w:t>
      </w:r>
      <w:r>
        <w:rPr>
          <w:rFonts w:hint="eastAsia" w:ascii="仿宋_GB2312" w:hAnsi="仿宋_GB2312" w:eastAsia="仿宋_GB2312"/>
          <w:sz w:val="32"/>
          <w:szCs w:val="32"/>
          <w:lang w:eastAsia="zh-CN"/>
        </w:rPr>
        <w:t>法规。</w:t>
      </w:r>
      <w:r>
        <w:rPr>
          <w:rFonts w:hint="eastAsia" w:ascii="仿宋_GB2312" w:hAnsi="仿宋_GB2312" w:eastAsia="仿宋_GB2312"/>
          <w:sz w:val="32"/>
          <w:szCs w:val="32"/>
        </w:rPr>
        <w:t>落实国家、省、市、县关于开发区改革创新工作的方针政策和决策部署。</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(二)负责制定经济开发区管理制度和管理办法，研究编制开发区经济社会发展总体规划、产业发展规划、控制性详规和促进经济开发区发展政策措施，按程序报批后组织实施。</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(三)统筹协调经济开发区经济建设发展服务，打造与工业发展相适应的产业承载平台，全面推进“管委会+平台公司”运营模式，加快园区建设、管理、运营的市场化改革步伐。</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(四)负责规划、设计、建设和管理经济开发区园区内各项基础设施、配套设施和公共设施，</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五)负责经济开发区招商引资、企业服务、营商环境、创新创业工作;积极做好入园企业和项目投产前、中、后全过程服务;参与企业和产业项目入园的审核、报批等工作，推进项目落地建设的协调服务，配合有关部门对入园项目规划建设情况进行监督管理。负责园区企业在科技创新、品牌创建、专利保护、节能减排等方面的引导和服务工作。</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(六)负责园区安全生产工作，履行安全生产属地管理职责，协助有关部门履行应急管理职责;协助推进园区经济统计和分析;负责入园企业生态环境保护指导、帮扶和服务工作。</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(七)根据国家有关法律、法规和县委、县政府的授权，承接办理上级有关部门下放园区的行政审批事项。</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(八)负责经济开发区党的建设、意识形态、综治维稳、群团和精神文明建设等工作。</w:t>
      </w:r>
    </w:p>
    <w:p>
      <w:pPr>
        <w:spacing w:line="600" w:lineRule="exact"/>
        <w:ind w:firstLine="630"/>
        <w:rPr>
          <w:rFonts w:hint="eastAsia" w:ascii="仿宋_GB2312" w:hAnsi="仿宋_GB2312" w:eastAsia="仿宋_GB2312"/>
          <w:sz w:val="32"/>
          <w:szCs w:val="32"/>
          <w:lang w:eastAsia="zh-CN"/>
        </w:rPr>
      </w:pPr>
      <w:r>
        <w:rPr>
          <w:rFonts w:hint="eastAsia" w:ascii="仿宋_GB2312" w:hAnsi="仿宋_GB2312" w:eastAsia="仿宋_GB2312"/>
          <w:sz w:val="32"/>
          <w:szCs w:val="32"/>
        </w:rPr>
        <w:t>(九)承办县委</w:t>
      </w:r>
      <w:r>
        <w:rPr>
          <w:rFonts w:hint="eastAsia" w:ascii="仿宋_GB2312" w:hAnsi="仿宋_GB2312" w:eastAsia="仿宋_GB2312"/>
          <w:sz w:val="32"/>
          <w:szCs w:val="32"/>
          <w:lang w:eastAsia="zh-CN"/>
        </w:rPr>
        <w:t>、县政府交办的其他工作。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二、部门基本情况</w:t>
      </w:r>
    </w:p>
    <w:p>
      <w:pPr>
        <w:ind w:firstLine="640" w:firstLineChars="200"/>
        <w:rPr>
          <w:rFonts w:hint="eastAsia" w:ascii="仿宋" w:hAnsi="仿宋" w:eastAsia="仿宋"/>
          <w:color w:val="FF0000"/>
          <w:sz w:val="32"/>
          <w:szCs w:val="32"/>
          <w:lang w:eastAsia="zh-CN"/>
        </w:rPr>
      </w:pPr>
      <w:r>
        <w:rPr>
          <w:rFonts w:hint="eastAsia" w:ascii="仿宋_GB2312" w:hAnsi="仿宋_GB2312" w:eastAsia="仿宋_GB2312" w:cs="仿宋_GB2312"/>
          <w:color w:val="auto"/>
          <w:sz w:val="32"/>
          <w:szCs w:val="32"/>
          <w:lang w:val="en-US" w:eastAsia="zh-CN"/>
        </w:rPr>
        <w:t>2023年兴国经开区部门共有预算单位__1__个，包括：江西兴国经济开发区管理委员会，4个内设机构，分别是党政办公室、产业发展规划部（规划建设部）、客商投资服务部（招商部）、企业运行服务部。</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MERGEFIELD ${page400644146.ds532982397_REP_JX_BAS_AGENCY_INFO_ZYFRS_S_BZRSXJ}</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编制人数小计_42_人,</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其中：</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MERGEFIELD ${page400644146.ds532982397_REP_JX_BAS_AGENCY_INFO_ZYFRS_S_BZRSMX}</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行政编制人数__0__人,参照公务员管理的事业编制人数__42人,全部补助事业编制人数__0__人,自收自支编制人数___0_人。</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MERGEFIELD ${page400644146.ds532982397_REP_JX_BAS_AGENCY_INFO_ZYFRS_S_SYRSXJ}</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实有人数小计__33__人,</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其中：</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MERGEFIELD ${page400644146.ds532982397_REP_JX_BAS_AGENCY_INFO_ZYFRS_S_ZZRSXJ}</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在职人数小计__33人,</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MERGEFIELD ${page400644146.ds532982397_REP_JX_BAS_AGENCY_INFO_ZYFRS_S_ZZRSMX}</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行政在职人数___0_人,参照公务员管理的事业单位在职人数__33__人,全部补助事业在职人数_0人。</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MERGEFIELD ${page400644146.ds532982397_REP_JX_BAS_AGENCY_INFO_ZYFRS_S_QTRSMX}</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离休人数小计__0__人,退休人数小计__3__人,退职人员__0__人,遗属人数___0_人。</w:t>
      </w:r>
      <w:r>
        <w:rPr>
          <w:rFonts w:hint="eastAsia" w:ascii="仿宋_GB2312" w:hAnsi="仿宋_GB2312" w:eastAsia="仿宋_GB2312" w:cs="仿宋_GB2312"/>
          <w:color w:val="auto"/>
          <w:sz w:val="32"/>
          <w:szCs w:val="32"/>
          <w:lang w:val="en-US" w:eastAsia="zh-CN"/>
        </w:rPr>
        <w:fldChar w:fldCharType="end"/>
      </w:r>
    </w:p>
    <w:p>
      <w:pPr>
        <w:ind w:firstLine="640" w:firstLineChars="200"/>
        <w:rPr>
          <w:rFonts w:hint="eastAsia" w:ascii="仿宋_GB2312" w:hAnsi="仿宋_GB2312" w:eastAsia="仿宋_GB2312" w:cs="仿宋_GB2312"/>
          <w:color w:val="auto"/>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color w:val="auto"/>
        </w:r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江西兴国经济开发区管理委员会</w:t>
      </w:r>
      <w:r>
        <w:rPr>
          <w:rFonts w:hint="eastAsia" w:ascii="黑体" w:hAnsi="黑体" w:eastAsia="黑体" w:cs="黑体"/>
          <w:b w:val="0"/>
          <w:bCs w:val="0"/>
          <w:color w:val="auto"/>
          <w:sz w:val="32"/>
          <w:szCs w:val="32"/>
        </w:rPr>
        <w:t>部门预算情况</w:t>
      </w:r>
    </w:p>
    <w:p>
      <w:pPr>
        <w:numPr>
          <w:ilvl w:val="0"/>
          <w:numId w:val="0"/>
        </w:numPr>
        <w:spacing w:line="560" w:lineRule="exact"/>
        <w:ind w:firstLine="3200" w:firstLineChars="100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说明</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w:t>
      </w:r>
      <w:r>
        <w:rPr>
          <w:rFonts w:hint="eastAsia" w:ascii="宋体" w:hAnsi="宋体" w:eastAsia="黑体" w:cs="黑体"/>
          <w:b/>
          <w:bCs/>
          <w:color w:val="auto"/>
          <w:sz w:val="32"/>
          <w:szCs w:val="32"/>
          <w:lang w:val="en-US" w:eastAsia="zh-CN"/>
        </w:rPr>
        <w:t>2023</w:t>
      </w:r>
      <w:r>
        <w:rPr>
          <w:rFonts w:hint="eastAsia" w:ascii="黑体" w:hAnsi="黑体" w:eastAsia="黑体" w:cs="黑体"/>
          <w:b w:val="0"/>
          <w:bCs w:val="0"/>
          <w:color w:val="auto"/>
          <w:sz w:val="32"/>
          <w:szCs w:val="32"/>
        </w:rPr>
        <w:t>年部门预算收支情况说明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（一）收入预算情况</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2023年本部门收入预算总额11164.75万元，较上年预算安排减650.93万元，减5.51%。增减变化主要原因是：工业污水处理服务费用未纳入预算。</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具体为：财政拨款收入1164.75万元，较上年预算安排减123.82万元；其他收入10000万元，较上年预算安排增2976.49万元；财政拨款结余结转0万元，较上年预算安排减少3751.23万元。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（二）支出预算情况</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2023年本部门支出预算总额11164.75万元，较上年预算安排减650.93万元，减5.51%。增减变化主要原因是：工业污水处理服务费用未纳入预算。具体为：</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按支出项目类别及经济分类科目划分：基本支出830.55万元，较上年预算安排增593.05万元，其中：工资福利支出794.66万元，商品服务支出32.65万元，对个人和家庭的补助0.24万元，资本性支出3万元。项目支出10334.2万元，较上年预算安排减1243.97万元，其中：工资福利支出50.4万元，商品服务支出108.8万元，资本性支出17.6万元，其他支出10157.4万元。</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按支出功能分类科目划分：一般公共服务支出904.86万元，较上年预算安排增66.50万元；社会保障和就业支出52.63万，较上年预算安排增19.61万元；卫生健康支出14.44万元，较上年预算安排增4.65万元；城乡社区支出147万元，上年预算安排减4625.65万元；住房保障支出35.42万元，上年预算安排增10.71万元；其他支出10010.40万元，上年预算安排增3578.34万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（三）财政拨款支出情况</w:t>
      </w:r>
    </w:p>
    <w:p>
      <w:pPr>
        <w:pStyle w:val="2"/>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2023年本部门财政拨款（补助）支出预算1164.75万元，占本年支出预算总额的10.43%，，较上年预算安排增123.82万元，增11.90%。增减变化主要原因是：</w:t>
      </w:r>
      <w:r>
        <w:rPr>
          <w:rFonts w:hint="eastAsia" w:cs="仿宋_GB2312"/>
          <w:color w:val="auto"/>
          <w:kern w:val="2"/>
          <w:sz w:val="32"/>
          <w:szCs w:val="32"/>
          <w:lang w:val="en-US" w:eastAsia="zh-CN" w:bidi="ar-SA"/>
        </w:rPr>
        <w:t>人员增加，</w:t>
      </w:r>
      <w:bookmarkStart w:id="0" w:name="_GoBack"/>
      <w:bookmarkEnd w:id="0"/>
      <w:r>
        <w:rPr>
          <w:rFonts w:hint="eastAsia" w:ascii="仿宋_GB2312" w:hAnsi="仿宋_GB2312" w:eastAsia="仿宋_GB2312" w:cs="仿宋_GB2312"/>
          <w:color w:val="auto"/>
          <w:kern w:val="2"/>
          <w:sz w:val="32"/>
          <w:szCs w:val="32"/>
          <w:lang w:val="en-US" w:eastAsia="zh-CN" w:bidi="ar-SA"/>
        </w:rPr>
        <w:t>项目增加。具体为：</w:t>
      </w:r>
    </w:p>
    <w:p>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按支出经济分类科目划分：基本支出830.55万元，较上年预算安排增593.05万元，其中：工资福利支出794.66万元，商品服务支出32.65万元，对个人和家庭的补助0.24万元，资本性支出3万元。项目支出334.20万元，较上年预算安排增102.2万元，其中：工资福利支出50.4万元，商品服务支出108.8万元，资本性支出17.60万元，其他支出157.40万元。</w:t>
      </w:r>
    </w:p>
    <w:p>
      <w:pPr>
        <w:spacing w:line="560" w:lineRule="exact"/>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按支出功能分类科目划分：一般公共服务支出904.86万元，较上年预算安排增509.47万元；社会保障和就业支出52.63万，较上年预算安排增22.79万元；卫生健康支出14.44万元，较上年预算安排增4.65万元；城乡社区支出147万元，上年预算安排减434.20万元；住房保障支出35.42万元，上年预算安排增10.71万元；其他支出10.40万元，上年预算安排增10.40万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（四）政府性基金情况</w:t>
      </w:r>
    </w:p>
    <w:p>
      <w:pPr>
        <w:spacing w:line="560" w:lineRule="exact"/>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2023年部门政府性基金支出总额0万元，较上年预算安排减581.20万元，减100%。</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年部门机关运行费预算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35.65</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万元，比</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年预算增加</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8.87</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万元，增长</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33.12</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增减变化主要原因是：人员增加。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（六）政府采购情况</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年部门所属各单位政府采购总额</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20.6</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万元，其中：政府采购货物预算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20.6</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万元、政府采购工程预算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0</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万元、政府采购服务预算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0</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（七）国有资产占有使用情况</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截至</w:t>
      </w:r>
      <w:r>
        <w:rPr>
          <w:rFonts w:hint="eastAsia" w:ascii="仿宋_GB2312" w:hAnsi="仿宋_GB2312" w:eastAsia="仿宋_GB2312" w:cs="仿宋_GB2312"/>
          <w:b w:val="0"/>
          <w:bCs w:val="0"/>
          <w:color w:val="auto"/>
          <w:sz w:val="32"/>
          <w:szCs w:val="32"/>
          <w:lang w:val="en-US" w:eastAsia="zh-CN"/>
        </w:rPr>
        <w:t>2022年</w:t>
      </w:r>
      <w:r>
        <w:rPr>
          <w:rFonts w:hint="eastAsia" w:ascii="仿宋_GB2312" w:hAnsi="仿宋_GB2312" w:eastAsia="仿宋_GB2312" w:cs="仿宋_GB2312"/>
          <w:color w:val="auto"/>
          <w:sz w:val="32"/>
          <w:szCs w:val="32"/>
        </w:rPr>
        <w:t>12月31日部门共有车辆</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0</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一般公务用车</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0</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辆、执法执勤用车</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0</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辆。</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2023年本</w:t>
      </w:r>
      <w:r>
        <w:rPr>
          <w:rFonts w:hint="eastAsia" w:ascii="仿宋_GB2312" w:hAnsi="仿宋_GB2312" w:eastAsia="仿宋_GB2312" w:cs="仿宋_GB2312"/>
          <w:color w:val="auto"/>
          <w:sz w:val="32"/>
          <w:szCs w:val="32"/>
        </w:rPr>
        <w:t>部门预算安排购置车辆</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0</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辆，安排购置单位价值200万元以上大型设备具体为：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eastAsia="zh-CN"/>
        </w:rPr>
        <w:t>无</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（八）绩效目标设置情况</w:t>
      </w:r>
    </w:p>
    <w:p>
      <w:pPr>
        <w:spacing w:line="560" w:lineRule="exact"/>
        <w:ind w:left="634" w:leftChars="284" w:hanging="38" w:hangingChars="12"/>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年实行绩效目标管理的项目</w:t>
      </w:r>
      <w:r>
        <w:rPr>
          <w:rFonts w:hint="eastAsia" w:ascii="仿宋_GB2312" w:hAnsi="仿宋_GB2312" w:eastAsia="仿宋_GB2312" w:cs="仿宋_GB2312"/>
          <w:color w:val="auto"/>
          <w:sz w:val="32"/>
          <w:szCs w:val="32"/>
          <w:u w:val="single"/>
          <w:lang w:val="en-US" w:eastAsia="zh-CN"/>
        </w:rPr>
        <w:t>5</w:t>
      </w:r>
      <w:r>
        <w:rPr>
          <w:rFonts w:hint="eastAsia" w:ascii="仿宋_GB2312" w:hAnsi="仿宋_GB2312" w:eastAsia="仿宋_GB2312" w:cs="仿宋_GB2312"/>
          <w:color w:val="auto"/>
          <w:sz w:val="32"/>
          <w:szCs w:val="32"/>
        </w:rPr>
        <w:t>个，涉及资金</w:t>
      </w:r>
      <w:r>
        <w:rPr>
          <w:rFonts w:hint="eastAsia" w:ascii="仿宋_GB2312" w:hAnsi="仿宋_GB2312" w:eastAsia="仿宋_GB2312" w:cs="仿宋_GB2312"/>
          <w:color w:val="auto"/>
          <w:sz w:val="32"/>
          <w:szCs w:val="32"/>
          <w:u w:val="single"/>
          <w:lang w:val="en-US" w:eastAsia="zh-CN"/>
        </w:rPr>
        <w:t>10334.2</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。其中：</w:t>
      </w:r>
    </w:p>
    <w:p>
      <w:pPr>
        <w:spacing w:line="560" w:lineRule="exact"/>
        <w:ind w:left="634" w:leftChars="284" w:hanging="38" w:hangingChars="12"/>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村土地租赁费用</w:t>
      </w:r>
    </w:p>
    <w:p>
      <w:pPr>
        <w:numPr>
          <w:ilvl w:val="0"/>
          <w:numId w:val="2"/>
        </w:num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项目概述</w:t>
      </w:r>
      <w:r>
        <w:rPr>
          <w:rFonts w:hint="eastAsia" w:ascii="仿宋_GB2312" w:hAnsi="仿宋_GB2312" w:eastAsia="仿宋_GB2312" w:cs="仿宋_GB2312"/>
          <w:sz w:val="32"/>
          <w:szCs w:val="32"/>
          <w:lang w:eastAsia="zh-CN"/>
        </w:rPr>
        <w:t>：支付埠头乡程水村、江背镇郑塘村、潋江镇红门村、潋江镇猫岭村土地租赁费</w:t>
      </w:r>
    </w:p>
    <w:p>
      <w:pPr>
        <w:numPr>
          <w:ilvl w:val="0"/>
          <w:numId w:val="0"/>
        </w:num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2.立项依据</w:t>
      </w:r>
      <w:r>
        <w:rPr>
          <w:rFonts w:hint="eastAsia" w:ascii="仿宋_GB2312" w:hAnsi="仿宋_GB2312" w:eastAsia="仿宋_GB2312" w:cs="仿宋_GB2312"/>
          <w:sz w:val="32"/>
          <w:szCs w:val="32"/>
          <w:lang w:eastAsia="zh-CN"/>
        </w:rPr>
        <w:t>：兴办字【</w:t>
      </w:r>
      <w:r>
        <w:rPr>
          <w:rFonts w:hint="eastAsia" w:ascii="仿宋_GB2312" w:hAnsi="仿宋_GB2312" w:eastAsia="仿宋_GB2312" w:cs="仿宋_GB2312"/>
          <w:sz w:val="32"/>
          <w:szCs w:val="32"/>
          <w:lang w:val="en-US" w:eastAsia="zh-CN"/>
        </w:rPr>
        <w:t>2002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133号</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3.实施主体</w:t>
      </w:r>
      <w:r>
        <w:rPr>
          <w:rFonts w:hint="eastAsia" w:ascii="仿宋_GB2312" w:hAnsi="仿宋_GB2312" w:eastAsia="仿宋_GB2312" w:cs="仿宋_GB2312"/>
          <w:sz w:val="32"/>
          <w:szCs w:val="32"/>
          <w:lang w:eastAsia="zh-CN"/>
        </w:rPr>
        <w:t>：江西兴国经济开发区管理委员会</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实施周期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2023年</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5.年度预算安排</w:t>
      </w:r>
      <w:r>
        <w:rPr>
          <w:rFonts w:hint="eastAsia" w:ascii="仿宋_GB2312" w:hAnsi="仿宋_GB2312" w:eastAsia="仿宋_GB2312" w:cs="仿宋_GB2312"/>
          <w:sz w:val="32"/>
          <w:szCs w:val="32"/>
          <w:lang w:eastAsia="zh-CN"/>
        </w:rPr>
        <w:t>：财政拨款</w:t>
      </w:r>
      <w:r>
        <w:rPr>
          <w:rFonts w:hint="eastAsia" w:ascii="仿宋_GB2312" w:hAnsi="仿宋_GB2312" w:eastAsia="仿宋_GB2312" w:cs="仿宋_GB2312"/>
          <w:sz w:val="32"/>
          <w:szCs w:val="32"/>
          <w:lang w:val="en-US" w:eastAsia="zh-CN"/>
        </w:rPr>
        <w:t>147万元，半年支付一次。</w:t>
      </w:r>
    </w:p>
    <w:p>
      <w:pPr>
        <w:numPr>
          <w:ilvl w:val="0"/>
          <w:numId w:val="0"/>
        </w:num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6.年度绩效目标</w:t>
      </w:r>
      <w:r>
        <w:rPr>
          <w:rFonts w:hint="eastAsia" w:ascii="仿宋_GB2312" w:hAnsi="仿宋_GB2312" w:eastAsia="仿宋_GB2312" w:cs="仿宋_GB2312"/>
          <w:sz w:val="32"/>
          <w:szCs w:val="32"/>
          <w:lang w:eastAsia="zh-CN"/>
        </w:rPr>
        <w:t>：及时支付埠头乡程水村、江背镇郑塘村、潋江镇红门村、潋江镇猫岭村土地租赁费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val="en-US" w:eastAsia="zh-CN"/>
        </w:rPr>
        <w:t>（九）</w:t>
      </w:r>
      <w:r>
        <w:rPr>
          <w:rFonts w:hint="eastAsia" w:ascii="楷体_GB2312" w:hAnsi="楷体_GB2312" w:eastAsia="楷体_GB2312" w:cs="楷体_GB2312"/>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w:t>
      </w:r>
      <w:r>
        <w:rPr>
          <w:rFonts w:hint="eastAsia" w:ascii="宋体" w:hAnsi="宋体" w:eastAsia="黑体" w:cs="黑体"/>
          <w:b/>
          <w:bCs/>
          <w:color w:val="auto"/>
          <w:sz w:val="32"/>
          <w:szCs w:val="32"/>
          <w:lang w:val="en-US" w:eastAsia="zh-CN"/>
        </w:rPr>
        <w:t>2023</w:t>
      </w:r>
      <w:r>
        <w:rPr>
          <w:rFonts w:hint="eastAsia" w:ascii="黑体" w:hAnsi="黑体" w:eastAsia="黑体" w:cs="黑体"/>
          <w:b w:val="0"/>
          <w:bCs w:val="0"/>
          <w:color w:val="auto"/>
          <w:sz w:val="32"/>
          <w:szCs w:val="32"/>
          <w:lang w:val="en-US" w:eastAsia="zh-CN"/>
        </w:rPr>
        <w:t>年</w:t>
      </w:r>
      <w:r>
        <w:rPr>
          <w:rFonts w:hint="eastAsia" w:ascii="黑体" w:hAnsi="黑体" w:eastAsia="黑体" w:cs="黑体"/>
          <w:b w:val="0"/>
          <w:bCs w:val="0"/>
          <w:color w:val="auto"/>
          <w:sz w:val="32"/>
          <w:szCs w:val="32"/>
        </w:rPr>
        <w:t>“三公”经费预算情况说明</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江西兴国经济开发区管理委员会</w:t>
      </w:r>
      <w:r>
        <w:rPr>
          <w:rFonts w:hint="eastAsia" w:ascii="仿宋_GB2312" w:hAnsi="仿宋_GB2312" w:eastAsia="仿宋_GB2312" w:cs="仿宋_GB2312"/>
          <w:color w:val="auto"/>
          <w:sz w:val="32"/>
          <w:szCs w:val="32"/>
        </w:rPr>
        <w:t>部门“三公”经费一般公共预算安排</w:t>
      </w:r>
      <w:r>
        <w:rPr>
          <w:rFonts w:hint="eastAsia" w:ascii="仿宋_GB2312" w:hAnsi="仿宋_GB2312" w:eastAsia="仿宋_GB2312" w:cs="仿宋_GB2312"/>
          <w:color w:val="auto"/>
          <w:sz w:val="32"/>
          <w:szCs w:val="32"/>
          <w:lang w:val="en-US" w:eastAsia="zh-CN"/>
        </w:rPr>
        <w:t>30.40</w:t>
      </w:r>
      <w:r>
        <w:rPr>
          <w:rFonts w:hint="eastAsia" w:ascii="仿宋_GB2312" w:hAnsi="仿宋_GB2312" w:eastAsia="仿宋_GB2312" w:cs="仿宋_GB2312"/>
          <w:color w:val="auto"/>
          <w:sz w:val="32"/>
          <w:szCs w:val="32"/>
        </w:rPr>
        <w:t>万元。其中：</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因公出国（境）费</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万元，比上年增（减）</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公务接待费</w:t>
      </w:r>
      <w:r>
        <w:rPr>
          <w:rFonts w:hint="eastAsia" w:ascii="仿宋_GB2312" w:hAnsi="仿宋_GB2312" w:eastAsia="仿宋_GB2312" w:cs="仿宋_GB2312"/>
          <w:color w:val="auto"/>
          <w:sz w:val="32"/>
          <w:szCs w:val="32"/>
          <w:lang w:val="en-US" w:eastAsia="zh-CN"/>
        </w:rPr>
        <w:t>30.40</w:t>
      </w:r>
      <w:r>
        <w:rPr>
          <w:rFonts w:hint="eastAsia" w:ascii="仿宋_GB2312" w:hAnsi="仿宋_GB2312" w:eastAsia="仿宋_GB2312" w:cs="仿宋_GB2312"/>
          <w:color w:val="auto"/>
          <w:sz w:val="32"/>
          <w:szCs w:val="32"/>
        </w:rPr>
        <w:t>万元，比上年减</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万元，主要原因</w:t>
      </w:r>
    </w:p>
    <w:p>
      <w:pPr>
        <w:spacing w:line="56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是：</w:t>
      </w:r>
      <w:r>
        <w:rPr>
          <w:rFonts w:hint="eastAsia" w:ascii="仿宋_GB2312" w:hAnsi="仿宋_GB2312" w:eastAsia="仿宋_GB2312" w:cs="仿宋_GB2312"/>
          <w:color w:val="auto"/>
          <w:sz w:val="32"/>
          <w:szCs w:val="32"/>
          <w:lang w:eastAsia="zh-CN"/>
        </w:rPr>
        <w:t>严格落实三公经费相比上年压缩</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公务用车运行维护费</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万元，比上年增（减）</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公务用车购置费</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万元，比上年增（减）</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p>
    <w:p>
      <w:pPr>
        <w:pStyle w:val="2"/>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auto"/>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kern w:val="2"/>
          <w:sz w:val="32"/>
          <w:szCs w:val="32"/>
          <w:lang w:val="en-US" w:eastAsia="zh-CN" w:bidi="ar-SA"/>
        </w:rPr>
        <w:t>第三部分 江西兴国经济开发区管理委员会</w:t>
      </w:r>
      <w:r>
        <w:rPr>
          <w:rFonts w:hint="eastAsia" w:ascii="宋体" w:hAnsi="宋体" w:eastAsia="黑体" w:cs="黑体"/>
          <w:b/>
          <w:bCs/>
          <w:color w:val="auto"/>
          <w:sz w:val="32"/>
          <w:szCs w:val="32"/>
          <w:lang w:val="en-US" w:eastAsia="zh-CN"/>
        </w:rPr>
        <w:t>2023</w:t>
      </w:r>
      <w:r>
        <w:rPr>
          <w:rFonts w:hint="eastAsia" w:ascii="黑体" w:hAnsi="黑体" w:eastAsia="黑体" w:cs="黑体"/>
          <w:b w:val="0"/>
          <w:bCs w:val="0"/>
          <w:color w:val="auto"/>
          <w:sz w:val="32"/>
          <w:szCs w:val="32"/>
          <w:lang w:val="en-US" w:eastAsia="zh-CN"/>
        </w:rPr>
        <w:t>年</w:t>
      </w:r>
      <w:r>
        <w:rPr>
          <w:rFonts w:hint="eastAsia" w:ascii="黑体" w:hAnsi="黑体" w:eastAsia="黑体" w:cs="黑体"/>
          <w:b w:val="0"/>
          <w:bCs w:val="0"/>
          <w:color w:val="auto"/>
          <w:sz w:val="32"/>
          <w:szCs w:val="32"/>
        </w:rPr>
        <w:t>部门预算表</w:t>
      </w:r>
    </w:p>
    <w:p>
      <w:pPr>
        <w:pStyle w:val="2"/>
      </w:pPr>
    </w:p>
    <w:p>
      <w:pPr>
        <w:spacing w:line="560" w:lineRule="exact"/>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一、《收支预算总表》</w:t>
      </w:r>
      <w:r>
        <w:rPr>
          <w:rFonts w:hint="eastAsia" w:ascii="仿宋_GB2312" w:hAnsi="仿宋_GB2312" w:eastAsia="仿宋_GB2312" w:cs="仿宋_GB2312"/>
          <w:b w:val="0"/>
          <w:bCs w:val="0"/>
          <w:color w:val="auto"/>
          <w:sz w:val="32"/>
          <w:szCs w:val="32"/>
          <w:lang w:eastAsia="zh-CN"/>
        </w:rPr>
        <w:t>（见附表）</w:t>
      </w:r>
    </w:p>
    <w:p>
      <w:pPr>
        <w:pStyle w:val="2"/>
        <w:numPr>
          <w:ilvl w:val="0"/>
          <w:numId w:val="0"/>
        </w:numP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zh-CN" w:eastAsia="zh-CN" w:bidi="zh-CN"/>
        </w:rPr>
        <w:t>二、</w:t>
      </w:r>
      <w:r>
        <w:rPr>
          <w:rFonts w:hint="eastAsia" w:ascii="仿宋_GB2312" w:hAnsi="仿宋_GB2312" w:eastAsia="仿宋_GB2312" w:cs="仿宋_GB2312"/>
          <w:b w:val="0"/>
          <w:bCs w:val="0"/>
          <w:color w:val="auto"/>
          <w:sz w:val="32"/>
          <w:szCs w:val="32"/>
        </w:rPr>
        <w:t>《部门收入总表》</w:t>
      </w:r>
      <w:r>
        <w:rPr>
          <w:rFonts w:hint="eastAsia" w:ascii="仿宋_GB2312" w:hAnsi="仿宋_GB2312" w:eastAsia="仿宋_GB2312" w:cs="仿宋_GB2312"/>
          <w:b w:val="0"/>
          <w:bCs w:val="0"/>
          <w:color w:val="auto"/>
          <w:sz w:val="32"/>
          <w:szCs w:val="32"/>
          <w:lang w:eastAsia="zh-CN"/>
        </w:rPr>
        <w:t>（见附表）</w:t>
      </w:r>
    </w:p>
    <w:p>
      <w:pPr>
        <w:numPr>
          <w:ilvl w:val="0"/>
          <w:numId w:val="0"/>
        </w:numPr>
        <w:spacing w:line="560" w:lineRule="exact"/>
        <w:ind w:left="0" w:leftChars="0" w:firstLine="0" w:firstLineChars="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三、</w:t>
      </w:r>
      <w:r>
        <w:rPr>
          <w:rFonts w:hint="eastAsia" w:ascii="仿宋_GB2312" w:hAnsi="仿宋_GB2312" w:eastAsia="仿宋_GB2312" w:cs="仿宋_GB2312"/>
          <w:b w:val="0"/>
          <w:bCs w:val="0"/>
          <w:color w:val="auto"/>
          <w:sz w:val="32"/>
          <w:szCs w:val="32"/>
        </w:rPr>
        <w:t>《部门支出总表》</w:t>
      </w:r>
      <w:r>
        <w:rPr>
          <w:rFonts w:hint="eastAsia" w:ascii="仿宋_GB2312" w:hAnsi="仿宋_GB2312" w:eastAsia="仿宋_GB2312" w:cs="仿宋_GB2312"/>
          <w:b w:val="0"/>
          <w:bCs w:val="0"/>
          <w:color w:val="auto"/>
          <w:sz w:val="32"/>
          <w:szCs w:val="32"/>
          <w:lang w:eastAsia="zh-CN"/>
        </w:rPr>
        <w:t>（见附表）</w:t>
      </w:r>
    </w:p>
    <w:p>
      <w:pPr>
        <w:numPr>
          <w:ilvl w:val="0"/>
          <w:numId w:val="0"/>
        </w:numPr>
        <w:spacing w:line="560" w:lineRule="exact"/>
        <w:ind w:left="0" w:leftChars="0" w:firstLine="0" w:firstLineChars="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四、</w:t>
      </w:r>
      <w:r>
        <w:rPr>
          <w:rFonts w:hint="eastAsia" w:ascii="仿宋_GB2312" w:hAnsi="仿宋_GB2312" w:eastAsia="仿宋_GB2312" w:cs="仿宋_GB2312"/>
          <w:b w:val="0"/>
          <w:bCs w:val="0"/>
          <w:color w:val="auto"/>
          <w:sz w:val="32"/>
          <w:szCs w:val="32"/>
        </w:rPr>
        <w:t>《财政拨款收支总表》</w:t>
      </w:r>
      <w:r>
        <w:rPr>
          <w:rFonts w:hint="eastAsia" w:ascii="仿宋_GB2312" w:hAnsi="仿宋_GB2312" w:eastAsia="仿宋_GB2312" w:cs="仿宋_GB2312"/>
          <w:b w:val="0"/>
          <w:bCs w:val="0"/>
          <w:color w:val="auto"/>
          <w:sz w:val="32"/>
          <w:szCs w:val="32"/>
          <w:lang w:eastAsia="zh-CN"/>
        </w:rPr>
        <w:t>（见附表）</w:t>
      </w:r>
    </w:p>
    <w:p>
      <w:pPr>
        <w:numPr>
          <w:ilvl w:val="0"/>
          <w:numId w:val="0"/>
        </w:numPr>
        <w:spacing w:line="560" w:lineRule="exact"/>
        <w:ind w:left="0" w:leftChars="0" w:firstLine="0" w:firstLineChars="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五、</w:t>
      </w:r>
      <w:r>
        <w:rPr>
          <w:rFonts w:hint="eastAsia" w:ascii="仿宋_GB2312" w:hAnsi="仿宋_GB2312" w:eastAsia="仿宋_GB2312" w:cs="仿宋_GB2312"/>
          <w:b w:val="0"/>
          <w:bCs w:val="0"/>
          <w:color w:val="auto"/>
          <w:sz w:val="32"/>
          <w:szCs w:val="32"/>
        </w:rPr>
        <w:t>《一般公共预算支出表》</w:t>
      </w:r>
      <w:r>
        <w:rPr>
          <w:rFonts w:hint="eastAsia" w:ascii="仿宋_GB2312" w:hAnsi="仿宋_GB2312" w:eastAsia="仿宋_GB2312" w:cs="仿宋_GB2312"/>
          <w:b w:val="0"/>
          <w:bCs w:val="0"/>
          <w:color w:val="auto"/>
          <w:sz w:val="32"/>
          <w:szCs w:val="32"/>
          <w:lang w:eastAsia="zh-CN"/>
        </w:rPr>
        <w:t>（见附表）</w:t>
      </w:r>
    </w:p>
    <w:p>
      <w:pPr>
        <w:numPr>
          <w:ilvl w:val="0"/>
          <w:numId w:val="0"/>
        </w:numPr>
        <w:spacing w:line="560" w:lineRule="exact"/>
        <w:ind w:left="0" w:leftChars="0" w:firstLine="0" w:firstLineChars="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六、</w:t>
      </w:r>
      <w:r>
        <w:rPr>
          <w:rFonts w:hint="eastAsia" w:ascii="仿宋_GB2312" w:hAnsi="仿宋_GB2312" w:eastAsia="仿宋_GB2312" w:cs="仿宋_GB2312"/>
          <w:b w:val="0"/>
          <w:bCs w:val="0"/>
          <w:color w:val="auto"/>
          <w:sz w:val="32"/>
          <w:szCs w:val="32"/>
        </w:rPr>
        <w:t>《一般公共预算基本支出表》</w:t>
      </w:r>
      <w:r>
        <w:rPr>
          <w:rFonts w:hint="eastAsia" w:ascii="仿宋_GB2312" w:hAnsi="仿宋_GB2312" w:eastAsia="仿宋_GB2312" w:cs="仿宋_GB2312"/>
          <w:b w:val="0"/>
          <w:bCs w:val="0"/>
          <w:color w:val="auto"/>
          <w:sz w:val="32"/>
          <w:szCs w:val="32"/>
          <w:lang w:eastAsia="zh-CN"/>
        </w:rPr>
        <w:t>（见附表）</w:t>
      </w:r>
    </w:p>
    <w:p>
      <w:pPr>
        <w:numPr>
          <w:ilvl w:val="0"/>
          <w:numId w:val="0"/>
        </w:numPr>
        <w:spacing w:line="560" w:lineRule="exact"/>
        <w:ind w:left="0" w:leftChars="0" w:firstLine="0" w:firstLineChars="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七、</w:t>
      </w:r>
      <w:r>
        <w:rPr>
          <w:rFonts w:hint="eastAsia" w:ascii="仿宋_GB2312" w:hAnsi="仿宋_GB2312" w:eastAsia="仿宋_GB2312" w:cs="仿宋_GB2312"/>
          <w:b w:val="0"/>
          <w:bCs w:val="0"/>
          <w:color w:val="auto"/>
          <w:sz w:val="32"/>
          <w:szCs w:val="32"/>
        </w:rPr>
        <w:t>《一般公共预算“三公”经费支出表》</w:t>
      </w:r>
      <w:r>
        <w:rPr>
          <w:rFonts w:hint="eastAsia" w:ascii="仿宋_GB2312" w:hAnsi="仿宋_GB2312" w:eastAsia="仿宋_GB2312" w:cs="仿宋_GB2312"/>
          <w:b w:val="0"/>
          <w:bCs w:val="0"/>
          <w:color w:val="auto"/>
          <w:sz w:val="32"/>
          <w:szCs w:val="32"/>
          <w:lang w:eastAsia="zh-CN"/>
        </w:rPr>
        <w:t>（见附表）</w:t>
      </w:r>
    </w:p>
    <w:p>
      <w:pPr>
        <w:numPr>
          <w:ilvl w:val="0"/>
          <w:numId w:val="0"/>
        </w:numPr>
        <w:spacing w:line="560" w:lineRule="exact"/>
        <w:ind w:left="0" w:leftChars="0" w:firstLine="0" w:firstLineChars="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八、</w:t>
      </w:r>
      <w:r>
        <w:rPr>
          <w:rFonts w:hint="eastAsia" w:ascii="仿宋_GB2312" w:hAnsi="仿宋_GB2312" w:eastAsia="仿宋_GB2312" w:cs="仿宋_GB2312"/>
          <w:b w:val="0"/>
          <w:bCs w:val="0"/>
          <w:color w:val="auto"/>
          <w:sz w:val="32"/>
          <w:szCs w:val="32"/>
        </w:rPr>
        <w:t>《政府性基金预算支出表》</w:t>
      </w:r>
      <w:r>
        <w:rPr>
          <w:rFonts w:hint="eastAsia" w:ascii="仿宋_GB2312" w:hAnsi="仿宋_GB2312" w:eastAsia="仿宋_GB2312" w:cs="仿宋_GB2312"/>
          <w:b w:val="0"/>
          <w:bCs w:val="0"/>
          <w:color w:val="auto"/>
          <w:sz w:val="32"/>
          <w:szCs w:val="32"/>
          <w:lang w:eastAsia="zh-CN"/>
        </w:rPr>
        <w:t>（见附表）</w:t>
      </w:r>
    </w:p>
    <w:p>
      <w:pPr>
        <w:pStyle w:val="2"/>
        <w:numPr>
          <w:ilvl w:val="0"/>
          <w:numId w:val="3"/>
        </w:numPr>
        <w:rPr>
          <w:rFonts w:hint="eastAsia" w:ascii="仿宋_GB2312" w:hAnsi="仿宋_GB2312" w:eastAsia="仿宋_GB2312" w:cs="仿宋_GB2312"/>
          <w:b w:val="0"/>
          <w:bCs w:val="0"/>
          <w:color w:val="auto"/>
          <w:lang w:eastAsia="zh-CN"/>
        </w:rPr>
      </w:pPr>
      <w:r>
        <w:rPr>
          <w:rFonts w:hint="eastAsia" w:ascii="仿宋_GB2312" w:hAnsi="仿宋_GB2312" w:eastAsia="仿宋_GB2312" w:cs="仿宋_GB2312"/>
          <w:b w:val="0"/>
          <w:bCs w:val="0"/>
          <w:color w:val="auto"/>
          <w:lang w:eastAsia="zh-CN"/>
        </w:rPr>
        <w:t>《国有资本经营预算支出表》</w:t>
      </w:r>
      <w:r>
        <w:rPr>
          <w:rFonts w:hint="eastAsia" w:ascii="仿宋_GB2312" w:hAnsi="仿宋_GB2312" w:eastAsia="仿宋_GB2312" w:cs="仿宋_GB2312"/>
          <w:b w:val="0"/>
          <w:bCs w:val="0"/>
          <w:color w:val="auto"/>
          <w:sz w:val="32"/>
          <w:szCs w:val="32"/>
          <w:lang w:eastAsia="zh-CN"/>
        </w:rPr>
        <w:t>（见附表）</w:t>
      </w:r>
    </w:p>
    <w:p>
      <w:pPr>
        <w:pStyle w:val="2"/>
        <w:rPr>
          <w:rFonts w:hint="eastAsia" w:ascii="仿宋_GB2312" w:hAnsi="仿宋_GB2312" w:eastAsia="仿宋_GB2312" w:cs="仿宋_GB2312"/>
          <w:b w:val="0"/>
          <w:bCs w:val="0"/>
        </w:rPr>
      </w:pPr>
    </w:p>
    <w:p>
      <w:pPr>
        <w:pStyle w:val="2"/>
      </w:pPr>
    </w:p>
    <w:p>
      <w:pPr>
        <w:pStyle w:val="2"/>
      </w:pPr>
    </w:p>
    <w:p>
      <w:pPr>
        <w:pStyle w:val="2"/>
      </w:pPr>
    </w:p>
    <w:p>
      <w:pPr>
        <w:pStyle w:val="2"/>
      </w:pPr>
    </w:p>
    <w:p>
      <w:pPr>
        <w:numPr>
          <w:ilvl w:val="0"/>
          <w:numId w:val="0"/>
        </w:numPr>
        <w:spacing w:line="560" w:lineRule="exact"/>
        <w:ind w:left="0" w:leftChars="0" w:firstLine="0" w:firstLineChars="0"/>
        <w:rPr>
          <w:rFonts w:hint="eastAsia" w:ascii="仿宋_GB2312" w:hAnsi="仿宋_GB2312" w:eastAsia="仿宋_GB2312" w:cs="仿宋_GB2312"/>
          <w:color w:val="auto"/>
          <w:kern w:val="2"/>
          <w:sz w:val="32"/>
          <w:szCs w:val="32"/>
          <w:lang w:val="en-US" w:eastAsia="zh-CN" w:bidi="ar-SA"/>
        </w:rPr>
      </w:pPr>
    </w:p>
    <w:p>
      <w:pPr>
        <w:numPr>
          <w:ilvl w:val="0"/>
          <w:numId w:val="0"/>
        </w:numPr>
        <w:spacing w:line="560" w:lineRule="exact"/>
        <w:ind w:left="0" w:leftChars="0" w:firstLine="0" w:firstLineChars="0"/>
        <w:rPr>
          <w:rFonts w:hint="eastAsia" w:ascii="仿宋_GB2312" w:hAnsi="仿宋_GB2312" w:eastAsia="仿宋_GB2312" w:cs="仿宋_GB2312"/>
          <w:color w:val="auto"/>
          <w:kern w:val="2"/>
          <w:sz w:val="32"/>
          <w:szCs w:val="32"/>
          <w:lang w:val="en-US" w:eastAsia="zh-CN" w:bidi="ar-SA"/>
        </w:rPr>
      </w:pPr>
    </w:p>
    <w:p>
      <w:pPr>
        <w:pStyle w:val="2"/>
        <w:rPr>
          <w:rFonts w:hint="eastAsia" w:ascii="仿宋_GB2312" w:hAnsi="仿宋_GB2312" w:eastAsia="仿宋_GB2312" w:cs="仿宋_GB2312"/>
          <w:color w:val="auto"/>
          <w:kern w:val="2"/>
          <w:sz w:val="32"/>
          <w:szCs w:val="32"/>
          <w:lang w:val="en-US" w:eastAsia="zh-CN" w:bidi="ar-SA"/>
        </w:rPr>
      </w:pPr>
    </w:p>
    <w:p>
      <w:pPr>
        <w:pStyle w:val="2"/>
        <w:rPr>
          <w:rFonts w:hint="eastAsia" w:ascii="仿宋_GB2312" w:hAnsi="仿宋_GB2312" w:eastAsia="仿宋_GB2312" w:cs="仿宋_GB2312"/>
          <w:color w:val="auto"/>
          <w:kern w:val="2"/>
          <w:sz w:val="32"/>
          <w:szCs w:val="32"/>
          <w:lang w:val="en-US" w:eastAsia="zh-CN" w:bidi="ar-SA"/>
        </w:rPr>
      </w:pPr>
    </w:p>
    <w:p>
      <w:pPr>
        <w:pStyle w:val="2"/>
        <w:rPr>
          <w:rFonts w:hint="eastAsia" w:ascii="仿宋_GB2312" w:hAnsi="仿宋_GB2312" w:eastAsia="仿宋_GB2312" w:cs="仿宋_GB2312"/>
          <w:color w:val="auto"/>
          <w:kern w:val="2"/>
          <w:sz w:val="32"/>
          <w:szCs w:val="32"/>
          <w:lang w:val="en-US" w:eastAsia="zh-CN" w:bidi="ar-SA"/>
        </w:rPr>
      </w:pPr>
    </w:p>
    <w:p>
      <w:pPr>
        <w:pStyle w:val="2"/>
        <w:rPr>
          <w:rFonts w:hint="eastAsia" w:ascii="仿宋_GB2312" w:hAnsi="仿宋_GB2312" w:eastAsia="仿宋_GB2312" w:cs="仿宋_GB2312"/>
          <w:color w:val="auto"/>
          <w:kern w:val="2"/>
          <w:sz w:val="32"/>
          <w:szCs w:val="32"/>
          <w:lang w:val="en-US" w:eastAsia="zh-CN" w:bidi="ar-SA"/>
        </w:rPr>
      </w:pPr>
    </w:p>
    <w:p>
      <w:pPr>
        <w:pStyle w:val="2"/>
        <w:rPr>
          <w:rFonts w:hint="eastAsia" w:ascii="仿宋_GB2312" w:hAnsi="仿宋_GB2312" w:eastAsia="仿宋_GB2312" w:cs="仿宋_GB2312"/>
          <w:color w:val="auto"/>
          <w:kern w:val="2"/>
          <w:sz w:val="32"/>
          <w:szCs w:val="32"/>
          <w:lang w:val="en-US" w:eastAsia="zh-CN" w:bidi="ar-SA"/>
        </w:rPr>
      </w:pPr>
    </w:p>
    <w:p>
      <w:pPr>
        <w:numPr>
          <w:ilvl w:val="0"/>
          <w:numId w:val="3"/>
        </w:numPr>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《部门整体支出绩效目标表》</w:t>
      </w:r>
    </w:p>
    <w:p>
      <w:pPr>
        <w:pStyle w:val="2"/>
        <w:numPr>
          <w:ilvl w:val="0"/>
          <w:numId w:val="0"/>
        </w:numPr>
        <w:ind w:leftChars="0"/>
      </w:pPr>
    </w:p>
    <w:p>
      <w:pPr>
        <w:pStyle w:val="2"/>
      </w:pPr>
      <w:r>
        <w:drawing>
          <wp:inline distT="0" distB="0" distL="114300" distR="114300">
            <wp:extent cx="5543550" cy="5991225"/>
            <wp:effectExtent l="0" t="0" r="0" b="9525"/>
            <wp:docPr id="3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9"/>
                    <pic:cNvPicPr>
                      <a:picLocks noChangeAspect="1"/>
                    </pic:cNvPicPr>
                  </pic:nvPicPr>
                  <pic:blipFill>
                    <a:blip r:embed="rId5"/>
                    <a:stretch>
                      <a:fillRect/>
                    </a:stretch>
                  </pic:blipFill>
                  <pic:spPr>
                    <a:xfrm>
                      <a:off x="0" y="0"/>
                      <a:ext cx="5543550" cy="5991225"/>
                    </a:xfrm>
                    <a:prstGeom prst="rect">
                      <a:avLst/>
                    </a:prstGeom>
                    <a:noFill/>
                    <a:ln>
                      <a:noFill/>
                    </a:ln>
                  </pic:spPr>
                </pic:pic>
              </a:graphicData>
            </a:graphic>
          </wp:inline>
        </w:drawing>
      </w: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_GB2312" w:hAnsi="仿宋_GB2312" w:eastAsia="仿宋_GB2312" w:cs="仿宋_GB2312"/>
          <w:color w:val="auto"/>
          <w:kern w:val="2"/>
          <w:sz w:val="32"/>
          <w:szCs w:val="32"/>
          <w:lang w:val="en-US" w:eastAsia="zh-CN" w:bidi="ar-SA"/>
        </w:rPr>
        <w:t>十一、</w:t>
      </w:r>
      <w:r>
        <w:rPr>
          <w:rFonts w:hint="eastAsia" w:ascii="仿宋_GB2312" w:hAnsi="仿宋_GB2312" w:eastAsia="仿宋_GB2312" w:cs="仿宋_GB2312"/>
          <w:color w:val="auto"/>
          <w:sz w:val="32"/>
          <w:szCs w:val="32"/>
        </w:rPr>
        <w:t>《项目支出绩效目标表》</w:t>
      </w:r>
    </w:p>
    <w:p>
      <w:pPr>
        <w:pStyle w:val="2"/>
        <w:sectPr>
          <w:footerReference r:id="rId3" w:type="default"/>
          <w:pgSz w:w="11906" w:h="16838"/>
          <w:pgMar w:top="1587" w:right="1587" w:bottom="1587" w:left="1587" w:header="851" w:footer="992" w:gutter="0"/>
          <w:cols w:space="0" w:num="1"/>
          <w:docGrid w:type="lines" w:linePitch="322" w:charSpace="0"/>
        </w:sectPr>
      </w:pPr>
      <w:r>
        <w:drawing>
          <wp:inline distT="0" distB="0" distL="114300" distR="114300">
            <wp:extent cx="5542915" cy="8265160"/>
            <wp:effectExtent l="0" t="0" r="635" b="2540"/>
            <wp:docPr id="3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8"/>
                    <pic:cNvPicPr>
                      <a:picLocks noChangeAspect="1"/>
                    </pic:cNvPicPr>
                  </pic:nvPicPr>
                  <pic:blipFill>
                    <a:blip r:embed="rId6"/>
                    <a:stretch>
                      <a:fillRect/>
                    </a:stretch>
                  </pic:blipFill>
                  <pic:spPr>
                    <a:xfrm>
                      <a:off x="0" y="0"/>
                      <a:ext cx="5542915" cy="8265160"/>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各部门结合实际进行解释。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（七）使用非财政拨款结余：填列历年滚存的非限定用途的非统计财政拨款结余弥补</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年收支差额的数额。</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（八）上年结转和结余：填列</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年全部结转和结余的资金数，包括当年结转结余资金和历年滚存结转结余资金。</w:t>
      </w:r>
    </w:p>
    <w:p>
      <w:pPr>
        <w:spacing w:line="560" w:lineRule="exact"/>
        <w:ind w:firstLine="607" w:firstLineChars="18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二、支出科目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对部门或单位预算中涉及的支出功能分类科目（明细到项级），结合部门实际，参照《</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年政府收支分类科目》的规范说明行解释。</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（四）行政单位医疗：反映行政事业单位基本医疗保险缴费经费。</w:t>
      </w:r>
    </w:p>
    <w:p>
      <w:pPr>
        <w:spacing w:line="560" w:lineRule="exact"/>
        <w:ind w:firstLine="681" w:firstLineChars="213"/>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（五）事业单位医疗：反映财政部门集中安排的事业单位基本医疗保险缴费经费。</w:t>
      </w:r>
    </w:p>
    <w:p>
      <w:pPr>
        <w:spacing w:line="560" w:lineRule="exact"/>
        <w:ind w:firstLine="640"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（六）死亡抚恤：反映单位遗属人员生活补助。</w:t>
      </w:r>
    </w:p>
    <w:p>
      <w:pPr>
        <w:rPr>
          <w:rFonts w:hint="eastAsia" w:ascii="仿宋_GB2312" w:hAnsi="仿宋_GB2312" w:eastAsia="仿宋_GB2312" w:cs="仿宋_GB2312"/>
          <w:sz w:val="32"/>
          <w:szCs w:val="32"/>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altName w:val="Arial Unicode MS"/>
    <w:panose1 w:val="02010609060101010101"/>
    <w:charset w:val="86"/>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00341AA2"/>
    <w:multiLevelType w:val="singleLevel"/>
    <w:tmpl w:val="00341AA2"/>
    <w:lvl w:ilvl="0" w:tentative="0">
      <w:start w:val="2"/>
      <w:numFmt w:val="chineseCounting"/>
      <w:suff w:val="space"/>
      <w:lvlText w:val="第%1部分"/>
      <w:lvlJc w:val="left"/>
      <w:rPr>
        <w:rFonts w:hint="eastAsia"/>
      </w:rPr>
    </w:lvl>
  </w:abstractNum>
  <w:abstractNum w:abstractNumId="2">
    <w:nsid w:val="59335CE8"/>
    <w:multiLevelType w:val="singleLevel"/>
    <w:tmpl w:val="59335CE8"/>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3819BC"/>
    <w:rsid w:val="003C3705"/>
    <w:rsid w:val="00522524"/>
    <w:rsid w:val="005B725E"/>
    <w:rsid w:val="0066073D"/>
    <w:rsid w:val="006A0DA2"/>
    <w:rsid w:val="006C0EA3"/>
    <w:rsid w:val="00B019F9"/>
    <w:rsid w:val="00BF6848"/>
    <w:rsid w:val="00DC5EFE"/>
    <w:rsid w:val="00FD05A6"/>
    <w:rsid w:val="01025E54"/>
    <w:rsid w:val="01252992"/>
    <w:rsid w:val="01391948"/>
    <w:rsid w:val="013E0954"/>
    <w:rsid w:val="01553212"/>
    <w:rsid w:val="01B56532"/>
    <w:rsid w:val="01D95B0E"/>
    <w:rsid w:val="01DF4C6A"/>
    <w:rsid w:val="01F35B59"/>
    <w:rsid w:val="01F74A4F"/>
    <w:rsid w:val="02644F34"/>
    <w:rsid w:val="028173A4"/>
    <w:rsid w:val="029A043D"/>
    <w:rsid w:val="02B152C4"/>
    <w:rsid w:val="02CC267B"/>
    <w:rsid w:val="0323140E"/>
    <w:rsid w:val="035C39FE"/>
    <w:rsid w:val="037149FC"/>
    <w:rsid w:val="03BF4415"/>
    <w:rsid w:val="03C72AE7"/>
    <w:rsid w:val="03CC4509"/>
    <w:rsid w:val="03FB0407"/>
    <w:rsid w:val="042820F4"/>
    <w:rsid w:val="045663D3"/>
    <w:rsid w:val="045A0E8A"/>
    <w:rsid w:val="04623C7B"/>
    <w:rsid w:val="04666B2B"/>
    <w:rsid w:val="049B385A"/>
    <w:rsid w:val="04B05921"/>
    <w:rsid w:val="04D5091C"/>
    <w:rsid w:val="04D6324E"/>
    <w:rsid w:val="04DF3725"/>
    <w:rsid w:val="04E42825"/>
    <w:rsid w:val="04EE7A30"/>
    <w:rsid w:val="050B3B33"/>
    <w:rsid w:val="05401EB6"/>
    <w:rsid w:val="054548D1"/>
    <w:rsid w:val="05523533"/>
    <w:rsid w:val="055D0B73"/>
    <w:rsid w:val="056A735B"/>
    <w:rsid w:val="058E5A94"/>
    <w:rsid w:val="059C76FB"/>
    <w:rsid w:val="05AA27BA"/>
    <w:rsid w:val="05DF5382"/>
    <w:rsid w:val="05FD7867"/>
    <w:rsid w:val="062A4D00"/>
    <w:rsid w:val="06522285"/>
    <w:rsid w:val="06584185"/>
    <w:rsid w:val="066B523B"/>
    <w:rsid w:val="067A6498"/>
    <w:rsid w:val="06B50DB0"/>
    <w:rsid w:val="06C2144C"/>
    <w:rsid w:val="06F74F5B"/>
    <w:rsid w:val="070C5FD9"/>
    <w:rsid w:val="07385B88"/>
    <w:rsid w:val="074D205C"/>
    <w:rsid w:val="0753257E"/>
    <w:rsid w:val="07670FE1"/>
    <w:rsid w:val="077A7DC9"/>
    <w:rsid w:val="0795374B"/>
    <w:rsid w:val="07B84DC5"/>
    <w:rsid w:val="07D14ACB"/>
    <w:rsid w:val="081E4993"/>
    <w:rsid w:val="081F14B5"/>
    <w:rsid w:val="08437E07"/>
    <w:rsid w:val="085C1D3F"/>
    <w:rsid w:val="08640268"/>
    <w:rsid w:val="087A641C"/>
    <w:rsid w:val="08AD67AF"/>
    <w:rsid w:val="08AE1512"/>
    <w:rsid w:val="08E735BA"/>
    <w:rsid w:val="08EC3B7E"/>
    <w:rsid w:val="093C2F4A"/>
    <w:rsid w:val="09774D3D"/>
    <w:rsid w:val="09B73ED9"/>
    <w:rsid w:val="09B7606C"/>
    <w:rsid w:val="09C45B7F"/>
    <w:rsid w:val="09EE5370"/>
    <w:rsid w:val="0A1F4070"/>
    <w:rsid w:val="0A2C4FC6"/>
    <w:rsid w:val="0A817152"/>
    <w:rsid w:val="0A9374B8"/>
    <w:rsid w:val="0AAA5655"/>
    <w:rsid w:val="0AB3720C"/>
    <w:rsid w:val="0ABB7268"/>
    <w:rsid w:val="0AFA56D8"/>
    <w:rsid w:val="0B0C090E"/>
    <w:rsid w:val="0B1B565F"/>
    <w:rsid w:val="0B4C5BEB"/>
    <w:rsid w:val="0B567AF0"/>
    <w:rsid w:val="0B7120B0"/>
    <w:rsid w:val="0BBF5362"/>
    <w:rsid w:val="0BD11F5B"/>
    <w:rsid w:val="0BD32A9C"/>
    <w:rsid w:val="0BED28E4"/>
    <w:rsid w:val="0C22163F"/>
    <w:rsid w:val="0C2C26BC"/>
    <w:rsid w:val="0C6C313A"/>
    <w:rsid w:val="0C7706B4"/>
    <w:rsid w:val="0C962F69"/>
    <w:rsid w:val="0CA4268F"/>
    <w:rsid w:val="0CBB1708"/>
    <w:rsid w:val="0CC74638"/>
    <w:rsid w:val="0CDA1D07"/>
    <w:rsid w:val="0CDA4B9F"/>
    <w:rsid w:val="0CF4443B"/>
    <w:rsid w:val="0CFF458F"/>
    <w:rsid w:val="0D195FDE"/>
    <w:rsid w:val="0D431F5E"/>
    <w:rsid w:val="0D43627A"/>
    <w:rsid w:val="0D502EB1"/>
    <w:rsid w:val="0D56612F"/>
    <w:rsid w:val="0D7E01AA"/>
    <w:rsid w:val="0D9B4EF6"/>
    <w:rsid w:val="0D9F0976"/>
    <w:rsid w:val="0E31107C"/>
    <w:rsid w:val="0E332C43"/>
    <w:rsid w:val="0E345BE9"/>
    <w:rsid w:val="0E5A04D8"/>
    <w:rsid w:val="0E716A09"/>
    <w:rsid w:val="0E8E13D0"/>
    <w:rsid w:val="0ED13766"/>
    <w:rsid w:val="0ED86122"/>
    <w:rsid w:val="0EF37B2B"/>
    <w:rsid w:val="0F193C1D"/>
    <w:rsid w:val="0F2841DD"/>
    <w:rsid w:val="0F47309B"/>
    <w:rsid w:val="0F825C4F"/>
    <w:rsid w:val="0F8F2D8D"/>
    <w:rsid w:val="0F917EAA"/>
    <w:rsid w:val="0FAD69DE"/>
    <w:rsid w:val="0FCA106D"/>
    <w:rsid w:val="100C3684"/>
    <w:rsid w:val="10266C9D"/>
    <w:rsid w:val="10A44BC8"/>
    <w:rsid w:val="10C63F32"/>
    <w:rsid w:val="11464A1B"/>
    <w:rsid w:val="1153379B"/>
    <w:rsid w:val="115F0C16"/>
    <w:rsid w:val="116D2DAA"/>
    <w:rsid w:val="118E1262"/>
    <w:rsid w:val="119F6B16"/>
    <w:rsid w:val="11A02501"/>
    <w:rsid w:val="11A91F9D"/>
    <w:rsid w:val="11B348DA"/>
    <w:rsid w:val="11E22E23"/>
    <w:rsid w:val="11F15B09"/>
    <w:rsid w:val="12162984"/>
    <w:rsid w:val="12166382"/>
    <w:rsid w:val="12264909"/>
    <w:rsid w:val="122F6CDC"/>
    <w:rsid w:val="12394F90"/>
    <w:rsid w:val="125F7EB8"/>
    <w:rsid w:val="12A74A37"/>
    <w:rsid w:val="12EF06E1"/>
    <w:rsid w:val="131529A4"/>
    <w:rsid w:val="13171E36"/>
    <w:rsid w:val="13272C8D"/>
    <w:rsid w:val="13320B4B"/>
    <w:rsid w:val="13E36C31"/>
    <w:rsid w:val="13F11C8A"/>
    <w:rsid w:val="13F7234C"/>
    <w:rsid w:val="1419216E"/>
    <w:rsid w:val="1419573F"/>
    <w:rsid w:val="141B361D"/>
    <w:rsid w:val="141E48C8"/>
    <w:rsid w:val="14210051"/>
    <w:rsid w:val="14222C9B"/>
    <w:rsid w:val="14476062"/>
    <w:rsid w:val="14696EF0"/>
    <w:rsid w:val="1472466A"/>
    <w:rsid w:val="14A74A18"/>
    <w:rsid w:val="14CC25D9"/>
    <w:rsid w:val="14D26DC1"/>
    <w:rsid w:val="14D759F6"/>
    <w:rsid w:val="14DC539D"/>
    <w:rsid w:val="14E5543C"/>
    <w:rsid w:val="14F709BA"/>
    <w:rsid w:val="15173882"/>
    <w:rsid w:val="153739EB"/>
    <w:rsid w:val="155700D2"/>
    <w:rsid w:val="15BD3734"/>
    <w:rsid w:val="15CC17F7"/>
    <w:rsid w:val="15EE50EE"/>
    <w:rsid w:val="15F32E03"/>
    <w:rsid w:val="161240A8"/>
    <w:rsid w:val="1663649F"/>
    <w:rsid w:val="166A70A2"/>
    <w:rsid w:val="16713709"/>
    <w:rsid w:val="16B9200E"/>
    <w:rsid w:val="16C202D2"/>
    <w:rsid w:val="16CA3FE6"/>
    <w:rsid w:val="16DF5A1C"/>
    <w:rsid w:val="16E0442F"/>
    <w:rsid w:val="17960CF1"/>
    <w:rsid w:val="17A30446"/>
    <w:rsid w:val="17A9473F"/>
    <w:rsid w:val="17F7367A"/>
    <w:rsid w:val="17F82F44"/>
    <w:rsid w:val="183C1C16"/>
    <w:rsid w:val="18555E32"/>
    <w:rsid w:val="18854059"/>
    <w:rsid w:val="18926A95"/>
    <w:rsid w:val="189F136B"/>
    <w:rsid w:val="18A070E7"/>
    <w:rsid w:val="18C926FE"/>
    <w:rsid w:val="18DA4CF1"/>
    <w:rsid w:val="1903063B"/>
    <w:rsid w:val="191A42CF"/>
    <w:rsid w:val="19226FA4"/>
    <w:rsid w:val="192A27B7"/>
    <w:rsid w:val="195731C3"/>
    <w:rsid w:val="195B7CD7"/>
    <w:rsid w:val="196D4670"/>
    <w:rsid w:val="19995817"/>
    <w:rsid w:val="19A07D7A"/>
    <w:rsid w:val="19A20C97"/>
    <w:rsid w:val="19E57313"/>
    <w:rsid w:val="19EB68CE"/>
    <w:rsid w:val="19FB7EC4"/>
    <w:rsid w:val="1A055169"/>
    <w:rsid w:val="1A080189"/>
    <w:rsid w:val="1A1715CC"/>
    <w:rsid w:val="1A4145FA"/>
    <w:rsid w:val="1A5C5252"/>
    <w:rsid w:val="1A8B1F7A"/>
    <w:rsid w:val="1AB5685E"/>
    <w:rsid w:val="1AC1517C"/>
    <w:rsid w:val="1B3251E3"/>
    <w:rsid w:val="1B417FC0"/>
    <w:rsid w:val="1B4819B8"/>
    <w:rsid w:val="1B560DD9"/>
    <w:rsid w:val="1B58541A"/>
    <w:rsid w:val="1B641B5D"/>
    <w:rsid w:val="1B650482"/>
    <w:rsid w:val="1B9E6850"/>
    <w:rsid w:val="1BA51E13"/>
    <w:rsid w:val="1BA619D2"/>
    <w:rsid w:val="1BEC4DB2"/>
    <w:rsid w:val="1C6D31E7"/>
    <w:rsid w:val="1C84619F"/>
    <w:rsid w:val="1CC97A0E"/>
    <w:rsid w:val="1CD501A7"/>
    <w:rsid w:val="1CD52DE3"/>
    <w:rsid w:val="1CFE6EBF"/>
    <w:rsid w:val="1D744CC7"/>
    <w:rsid w:val="1D7725D1"/>
    <w:rsid w:val="1D8E6916"/>
    <w:rsid w:val="1D8F4A58"/>
    <w:rsid w:val="1D97307F"/>
    <w:rsid w:val="1DAE4D45"/>
    <w:rsid w:val="1E15777C"/>
    <w:rsid w:val="1E1D6181"/>
    <w:rsid w:val="1E1D6264"/>
    <w:rsid w:val="1E315911"/>
    <w:rsid w:val="1E913375"/>
    <w:rsid w:val="1EDA6B6C"/>
    <w:rsid w:val="1EE11772"/>
    <w:rsid w:val="1F357755"/>
    <w:rsid w:val="1F423B2E"/>
    <w:rsid w:val="1F802325"/>
    <w:rsid w:val="1F8332BE"/>
    <w:rsid w:val="1F917EBD"/>
    <w:rsid w:val="1FA53307"/>
    <w:rsid w:val="1FAD608F"/>
    <w:rsid w:val="1FDB68D1"/>
    <w:rsid w:val="1FFE4BFD"/>
    <w:rsid w:val="20035A5C"/>
    <w:rsid w:val="200E2155"/>
    <w:rsid w:val="208D76B4"/>
    <w:rsid w:val="20D55F8D"/>
    <w:rsid w:val="20D94E0E"/>
    <w:rsid w:val="21087906"/>
    <w:rsid w:val="21133E2B"/>
    <w:rsid w:val="211860BF"/>
    <w:rsid w:val="212A5C6E"/>
    <w:rsid w:val="21401819"/>
    <w:rsid w:val="21580F68"/>
    <w:rsid w:val="215B6B94"/>
    <w:rsid w:val="21954AB7"/>
    <w:rsid w:val="21AF23EE"/>
    <w:rsid w:val="21E24C21"/>
    <w:rsid w:val="21E4724B"/>
    <w:rsid w:val="220C5085"/>
    <w:rsid w:val="22165555"/>
    <w:rsid w:val="22166404"/>
    <w:rsid w:val="223C60EA"/>
    <w:rsid w:val="22403F81"/>
    <w:rsid w:val="226C7F32"/>
    <w:rsid w:val="227C60D6"/>
    <w:rsid w:val="22EE48EC"/>
    <w:rsid w:val="23085DEE"/>
    <w:rsid w:val="23391EE3"/>
    <w:rsid w:val="23732271"/>
    <w:rsid w:val="238D5909"/>
    <w:rsid w:val="23A465EE"/>
    <w:rsid w:val="23DB0828"/>
    <w:rsid w:val="23F4592C"/>
    <w:rsid w:val="24027F39"/>
    <w:rsid w:val="24081325"/>
    <w:rsid w:val="2493172A"/>
    <w:rsid w:val="24A1350C"/>
    <w:rsid w:val="24B00C40"/>
    <w:rsid w:val="24CC12D6"/>
    <w:rsid w:val="24F474BE"/>
    <w:rsid w:val="24FC57A5"/>
    <w:rsid w:val="251967B3"/>
    <w:rsid w:val="255D0DD6"/>
    <w:rsid w:val="255D49DE"/>
    <w:rsid w:val="256839AE"/>
    <w:rsid w:val="25805D6B"/>
    <w:rsid w:val="259E31AC"/>
    <w:rsid w:val="25A04772"/>
    <w:rsid w:val="25CB5F8B"/>
    <w:rsid w:val="25F951E1"/>
    <w:rsid w:val="267D579D"/>
    <w:rsid w:val="26CC44B8"/>
    <w:rsid w:val="270B17D2"/>
    <w:rsid w:val="271F405D"/>
    <w:rsid w:val="27316815"/>
    <w:rsid w:val="278F76E2"/>
    <w:rsid w:val="279A62B9"/>
    <w:rsid w:val="279F17B3"/>
    <w:rsid w:val="27B342C4"/>
    <w:rsid w:val="27B56C2D"/>
    <w:rsid w:val="27F20674"/>
    <w:rsid w:val="283C595A"/>
    <w:rsid w:val="283F78AB"/>
    <w:rsid w:val="284A2EE2"/>
    <w:rsid w:val="287372A5"/>
    <w:rsid w:val="28C469FB"/>
    <w:rsid w:val="28EA1015"/>
    <w:rsid w:val="290849AB"/>
    <w:rsid w:val="29085F18"/>
    <w:rsid w:val="291A212E"/>
    <w:rsid w:val="29263CF6"/>
    <w:rsid w:val="29630ACA"/>
    <w:rsid w:val="29775E0F"/>
    <w:rsid w:val="29C77646"/>
    <w:rsid w:val="29D259DF"/>
    <w:rsid w:val="29E204A2"/>
    <w:rsid w:val="2A697D56"/>
    <w:rsid w:val="2A737CD7"/>
    <w:rsid w:val="2AAB12E6"/>
    <w:rsid w:val="2AE744D4"/>
    <w:rsid w:val="2AE767BE"/>
    <w:rsid w:val="2B0759C2"/>
    <w:rsid w:val="2B33124B"/>
    <w:rsid w:val="2B386423"/>
    <w:rsid w:val="2B585EDC"/>
    <w:rsid w:val="2B5F5D31"/>
    <w:rsid w:val="2B6D50E6"/>
    <w:rsid w:val="2B7E5A04"/>
    <w:rsid w:val="2BBD10AF"/>
    <w:rsid w:val="2BC96A38"/>
    <w:rsid w:val="2BD8178D"/>
    <w:rsid w:val="2BDB63CB"/>
    <w:rsid w:val="2BEA1980"/>
    <w:rsid w:val="2C3A1054"/>
    <w:rsid w:val="2C4E6BCA"/>
    <w:rsid w:val="2C84786B"/>
    <w:rsid w:val="2C8D621D"/>
    <w:rsid w:val="2CBA0AD4"/>
    <w:rsid w:val="2CC93F48"/>
    <w:rsid w:val="2CCA7954"/>
    <w:rsid w:val="2CCF0EA7"/>
    <w:rsid w:val="2CDD0255"/>
    <w:rsid w:val="2CE25724"/>
    <w:rsid w:val="2CF13B89"/>
    <w:rsid w:val="2D08284A"/>
    <w:rsid w:val="2D4C5F3C"/>
    <w:rsid w:val="2D5A5FDB"/>
    <w:rsid w:val="2D8D2B28"/>
    <w:rsid w:val="2DAB51C0"/>
    <w:rsid w:val="2DB32CDF"/>
    <w:rsid w:val="2DCE3277"/>
    <w:rsid w:val="2DE0003A"/>
    <w:rsid w:val="2DE64FE4"/>
    <w:rsid w:val="2E2547CA"/>
    <w:rsid w:val="2E45567B"/>
    <w:rsid w:val="2E836BB5"/>
    <w:rsid w:val="2EAF0F19"/>
    <w:rsid w:val="2EEA2B15"/>
    <w:rsid w:val="2EFA234E"/>
    <w:rsid w:val="2F1A767F"/>
    <w:rsid w:val="2F304615"/>
    <w:rsid w:val="2F4C5457"/>
    <w:rsid w:val="2F543229"/>
    <w:rsid w:val="2F5D4CAC"/>
    <w:rsid w:val="2FA814DE"/>
    <w:rsid w:val="2FAD2F8B"/>
    <w:rsid w:val="2FB37C56"/>
    <w:rsid w:val="30151B35"/>
    <w:rsid w:val="30302117"/>
    <w:rsid w:val="30330537"/>
    <w:rsid w:val="303345C8"/>
    <w:rsid w:val="305604DE"/>
    <w:rsid w:val="306939F6"/>
    <w:rsid w:val="307944FF"/>
    <w:rsid w:val="30C23462"/>
    <w:rsid w:val="30D7498B"/>
    <w:rsid w:val="31215F96"/>
    <w:rsid w:val="31480372"/>
    <w:rsid w:val="3175193B"/>
    <w:rsid w:val="31976F06"/>
    <w:rsid w:val="326D79FF"/>
    <w:rsid w:val="3291037F"/>
    <w:rsid w:val="32A84233"/>
    <w:rsid w:val="32B56192"/>
    <w:rsid w:val="32D37C4B"/>
    <w:rsid w:val="32E559B7"/>
    <w:rsid w:val="32EC6549"/>
    <w:rsid w:val="330E701C"/>
    <w:rsid w:val="331937E6"/>
    <w:rsid w:val="334E0A96"/>
    <w:rsid w:val="33505D0B"/>
    <w:rsid w:val="33772E2F"/>
    <w:rsid w:val="33A13BC1"/>
    <w:rsid w:val="33A63A05"/>
    <w:rsid w:val="33C370D4"/>
    <w:rsid w:val="33C55157"/>
    <w:rsid w:val="33DC79AE"/>
    <w:rsid w:val="342F156E"/>
    <w:rsid w:val="342F6D79"/>
    <w:rsid w:val="34824C04"/>
    <w:rsid w:val="34A56FF7"/>
    <w:rsid w:val="36055B17"/>
    <w:rsid w:val="362C4D24"/>
    <w:rsid w:val="363D2AA2"/>
    <w:rsid w:val="364A4EC0"/>
    <w:rsid w:val="365D0A23"/>
    <w:rsid w:val="366234FF"/>
    <w:rsid w:val="366251DC"/>
    <w:rsid w:val="366B1411"/>
    <w:rsid w:val="36AD4E14"/>
    <w:rsid w:val="370B3539"/>
    <w:rsid w:val="373C18D6"/>
    <w:rsid w:val="374A3887"/>
    <w:rsid w:val="377C7FE2"/>
    <w:rsid w:val="37916C1C"/>
    <w:rsid w:val="37986080"/>
    <w:rsid w:val="37C2158C"/>
    <w:rsid w:val="37C91B7E"/>
    <w:rsid w:val="37D46C67"/>
    <w:rsid w:val="38421E45"/>
    <w:rsid w:val="385F3FDB"/>
    <w:rsid w:val="38621843"/>
    <w:rsid w:val="389735FC"/>
    <w:rsid w:val="38B008E4"/>
    <w:rsid w:val="38B7396E"/>
    <w:rsid w:val="38CA041A"/>
    <w:rsid w:val="39075DC1"/>
    <w:rsid w:val="393D69FD"/>
    <w:rsid w:val="396E7B99"/>
    <w:rsid w:val="3986514C"/>
    <w:rsid w:val="39956980"/>
    <w:rsid w:val="39A14C30"/>
    <w:rsid w:val="39C50223"/>
    <w:rsid w:val="39C64769"/>
    <w:rsid w:val="39DE5C82"/>
    <w:rsid w:val="3A1377CA"/>
    <w:rsid w:val="3A197173"/>
    <w:rsid w:val="3A4013F4"/>
    <w:rsid w:val="3A881FA5"/>
    <w:rsid w:val="3AAF3A86"/>
    <w:rsid w:val="3AB03848"/>
    <w:rsid w:val="3ACD600C"/>
    <w:rsid w:val="3AEF12E9"/>
    <w:rsid w:val="3B1176AF"/>
    <w:rsid w:val="3B6A0C2C"/>
    <w:rsid w:val="3B6F79DB"/>
    <w:rsid w:val="3B7F4E74"/>
    <w:rsid w:val="3B926D42"/>
    <w:rsid w:val="3B936B4F"/>
    <w:rsid w:val="3BA34ABE"/>
    <w:rsid w:val="3BC17136"/>
    <w:rsid w:val="3BE54F8C"/>
    <w:rsid w:val="3BE6152D"/>
    <w:rsid w:val="3BF83947"/>
    <w:rsid w:val="3C150F59"/>
    <w:rsid w:val="3C1B5C78"/>
    <w:rsid w:val="3C4915F9"/>
    <w:rsid w:val="3CB432B4"/>
    <w:rsid w:val="3CCE3A3C"/>
    <w:rsid w:val="3CE4439D"/>
    <w:rsid w:val="3CE7065B"/>
    <w:rsid w:val="3CE851B3"/>
    <w:rsid w:val="3D164F77"/>
    <w:rsid w:val="3D5C728D"/>
    <w:rsid w:val="3DD1348E"/>
    <w:rsid w:val="3DDB702D"/>
    <w:rsid w:val="3DDE398B"/>
    <w:rsid w:val="3E0723DB"/>
    <w:rsid w:val="3E123C00"/>
    <w:rsid w:val="3E147979"/>
    <w:rsid w:val="3E1833A0"/>
    <w:rsid w:val="3E3A145C"/>
    <w:rsid w:val="3E4661D7"/>
    <w:rsid w:val="3E4E09AA"/>
    <w:rsid w:val="3EAF3C8F"/>
    <w:rsid w:val="3EB4287F"/>
    <w:rsid w:val="3EC61CC2"/>
    <w:rsid w:val="3EF54E06"/>
    <w:rsid w:val="3EF61210"/>
    <w:rsid w:val="3EFD1859"/>
    <w:rsid w:val="3F133616"/>
    <w:rsid w:val="3F4E045C"/>
    <w:rsid w:val="3F5F2902"/>
    <w:rsid w:val="3F6F1F50"/>
    <w:rsid w:val="3F8E790D"/>
    <w:rsid w:val="3FB267BF"/>
    <w:rsid w:val="3FB324F7"/>
    <w:rsid w:val="3FCC4975"/>
    <w:rsid w:val="3FFE2FA6"/>
    <w:rsid w:val="4004465F"/>
    <w:rsid w:val="40281D53"/>
    <w:rsid w:val="402A7695"/>
    <w:rsid w:val="407F3B07"/>
    <w:rsid w:val="409208AA"/>
    <w:rsid w:val="40A6112D"/>
    <w:rsid w:val="40AD1798"/>
    <w:rsid w:val="40D94B39"/>
    <w:rsid w:val="40DB1137"/>
    <w:rsid w:val="4157324D"/>
    <w:rsid w:val="41664DCD"/>
    <w:rsid w:val="41E70546"/>
    <w:rsid w:val="41FB1014"/>
    <w:rsid w:val="42057241"/>
    <w:rsid w:val="42256C45"/>
    <w:rsid w:val="422E0EBD"/>
    <w:rsid w:val="423906DF"/>
    <w:rsid w:val="423C70F6"/>
    <w:rsid w:val="425845A6"/>
    <w:rsid w:val="42820ACF"/>
    <w:rsid w:val="428A50FC"/>
    <w:rsid w:val="42AF5EDD"/>
    <w:rsid w:val="42C046C7"/>
    <w:rsid w:val="42C16617"/>
    <w:rsid w:val="42C44BE0"/>
    <w:rsid w:val="43216852"/>
    <w:rsid w:val="43314813"/>
    <w:rsid w:val="43622038"/>
    <w:rsid w:val="43743CC3"/>
    <w:rsid w:val="43784C1D"/>
    <w:rsid w:val="438B5F83"/>
    <w:rsid w:val="439B6337"/>
    <w:rsid w:val="439E046E"/>
    <w:rsid w:val="43BA5719"/>
    <w:rsid w:val="43C441A6"/>
    <w:rsid w:val="440A2C5C"/>
    <w:rsid w:val="44517134"/>
    <w:rsid w:val="44552852"/>
    <w:rsid w:val="445E02C8"/>
    <w:rsid w:val="448B22A1"/>
    <w:rsid w:val="448C3A2D"/>
    <w:rsid w:val="44BD4322"/>
    <w:rsid w:val="44DA1F59"/>
    <w:rsid w:val="44E161BE"/>
    <w:rsid w:val="44E23715"/>
    <w:rsid w:val="44E768F2"/>
    <w:rsid w:val="45AC1BAC"/>
    <w:rsid w:val="462058D5"/>
    <w:rsid w:val="46397BAC"/>
    <w:rsid w:val="46417542"/>
    <w:rsid w:val="46A53B7D"/>
    <w:rsid w:val="46DD47B6"/>
    <w:rsid w:val="46EC07C6"/>
    <w:rsid w:val="470973C6"/>
    <w:rsid w:val="47125844"/>
    <w:rsid w:val="4723701D"/>
    <w:rsid w:val="473A7EA3"/>
    <w:rsid w:val="473E2421"/>
    <w:rsid w:val="474B5DBA"/>
    <w:rsid w:val="475C7463"/>
    <w:rsid w:val="47801B19"/>
    <w:rsid w:val="47A00BB5"/>
    <w:rsid w:val="47A539F2"/>
    <w:rsid w:val="47CC1FA8"/>
    <w:rsid w:val="47DA7AEB"/>
    <w:rsid w:val="47DB15A8"/>
    <w:rsid w:val="47E360D7"/>
    <w:rsid w:val="480311C2"/>
    <w:rsid w:val="4831408C"/>
    <w:rsid w:val="483370FE"/>
    <w:rsid w:val="484B0C78"/>
    <w:rsid w:val="487D7A1B"/>
    <w:rsid w:val="48885719"/>
    <w:rsid w:val="48962893"/>
    <w:rsid w:val="48980473"/>
    <w:rsid w:val="489F31E7"/>
    <w:rsid w:val="48BF606D"/>
    <w:rsid w:val="48DB3968"/>
    <w:rsid w:val="48DE0B87"/>
    <w:rsid w:val="48F62D0A"/>
    <w:rsid w:val="490842E9"/>
    <w:rsid w:val="49307F7A"/>
    <w:rsid w:val="49404DF8"/>
    <w:rsid w:val="49524F5E"/>
    <w:rsid w:val="49DB7591"/>
    <w:rsid w:val="49E5557C"/>
    <w:rsid w:val="4A1B1245"/>
    <w:rsid w:val="4A5B34CA"/>
    <w:rsid w:val="4A866118"/>
    <w:rsid w:val="4A893BA2"/>
    <w:rsid w:val="4A9E7355"/>
    <w:rsid w:val="4AA446B0"/>
    <w:rsid w:val="4AB42B65"/>
    <w:rsid w:val="4ABA5BDB"/>
    <w:rsid w:val="4B1610C4"/>
    <w:rsid w:val="4B177326"/>
    <w:rsid w:val="4B362D3D"/>
    <w:rsid w:val="4B3739C3"/>
    <w:rsid w:val="4B7B0A1B"/>
    <w:rsid w:val="4BAF28A9"/>
    <w:rsid w:val="4BB231C4"/>
    <w:rsid w:val="4C1228B2"/>
    <w:rsid w:val="4C866719"/>
    <w:rsid w:val="4C9C2A03"/>
    <w:rsid w:val="4CC23450"/>
    <w:rsid w:val="4CD7240D"/>
    <w:rsid w:val="4CD72E97"/>
    <w:rsid w:val="4CDA40DB"/>
    <w:rsid w:val="4CEA7154"/>
    <w:rsid w:val="4D153FC5"/>
    <w:rsid w:val="4D1D62BA"/>
    <w:rsid w:val="4D4F2E7D"/>
    <w:rsid w:val="4DBE2CC1"/>
    <w:rsid w:val="4DBE761B"/>
    <w:rsid w:val="4DD14D83"/>
    <w:rsid w:val="4DE860A3"/>
    <w:rsid w:val="4E0B0CB7"/>
    <w:rsid w:val="4E384900"/>
    <w:rsid w:val="4E4A566D"/>
    <w:rsid w:val="4EBB1734"/>
    <w:rsid w:val="4EBF7BC8"/>
    <w:rsid w:val="4EC62622"/>
    <w:rsid w:val="4ED863FA"/>
    <w:rsid w:val="4EF30D91"/>
    <w:rsid w:val="4F1D35A2"/>
    <w:rsid w:val="4F3A7845"/>
    <w:rsid w:val="4F537B8D"/>
    <w:rsid w:val="4F836B4D"/>
    <w:rsid w:val="4FAD4CE5"/>
    <w:rsid w:val="4FBE2E67"/>
    <w:rsid w:val="4FC560A5"/>
    <w:rsid w:val="4FCA49F0"/>
    <w:rsid w:val="4FDC50F1"/>
    <w:rsid w:val="4FEA0BB2"/>
    <w:rsid w:val="500B350F"/>
    <w:rsid w:val="50226B07"/>
    <w:rsid w:val="505A2248"/>
    <w:rsid w:val="507068D7"/>
    <w:rsid w:val="507756E6"/>
    <w:rsid w:val="508758DD"/>
    <w:rsid w:val="50880ADB"/>
    <w:rsid w:val="50CD2303"/>
    <w:rsid w:val="50DC536A"/>
    <w:rsid w:val="50DE5D85"/>
    <w:rsid w:val="510427FE"/>
    <w:rsid w:val="512A23DC"/>
    <w:rsid w:val="51317441"/>
    <w:rsid w:val="51365848"/>
    <w:rsid w:val="513C235A"/>
    <w:rsid w:val="514B59BF"/>
    <w:rsid w:val="515C4B9B"/>
    <w:rsid w:val="519960FB"/>
    <w:rsid w:val="51A96617"/>
    <w:rsid w:val="51AF6232"/>
    <w:rsid w:val="52371058"/>
    <w:rsid w:val="524D718A"/>
    <w:rsid w:val="525750F2"/>
    <w:rsid w:val="528D79F6"/>
    <w:rsid w:val="529C1AA4"/>
    <w:rsid w:val="52F36EC0"/>
    <w:rsid w:val="530C3B00"/>
    <w:rsid w:val="53400EAB"/>
    <w:rsid w:val="5348396E"/>
    <w:rsid w:val="535635CF"/>
    <w:rsid w:val="53602438"/>
    <w:rsid w:val="537C01AE"/>
    <w:rsid w:val="538673D1"/>
    <w:rsid w:val="539D2D30"/>
    <w:rsid w:val="53D64B1B"/>
    <w:rsid w:val="53E5694C"/>
    <w:rsid w:val="53F7584B"/>
    <w:rsid w:val="541823C0"/>
    <w:rsid w:val="542F64D8"/>
    <w:rsid w:val="54380B76"/>
    <w:rsid w:val="54723233"/>
    <w:rsid w:val="547E3A43"/>
    <w:rsid w:val="54EA2E07"/>
    <w:rsid w:val="54F1327C"/>
    <w:rsid w:val="54F814AF"/>
    <w:rsid w:val="553178D9"/>
    <w:rsid w:val="554651FE"/>
    <w:rsid w:val="555711CC"/>
    <w:rsid w:val="55704A5A"/>
    <w:rsid w:val="55C11C9D"/>
    <w:rsid w:val="55E9617E"/>
    <w:rsid w:val="55F8057A"/>
    <w:rsid w:val="563E4B79"/>
    <w:rsid w:val="56441772"/>
    <w:rsid w:val="56473729"/>
    <w:rsid w:val="565F568A"/>
    <w:rsid w:val="56682513"/>
    <w:rsid w:val="5680552D"/>
    <w:rsid w:val="56883232"/>
    <w:rsid w:val="56901F26"/>
    <w:rsid w:val="56B81395"/>
    <w:rsid w:val="57093EF9"/>
    <w:rsid w:val="571A6BE3"/>
    <w:rsid w:val="57304E78"/>
    <w:rsid w:val="57435303"/>
    <w:rsid w:val="575B0888"/>
    <w:rsid w:val="576856A3"/>
    <w:rsid w:val="57876AE0"/>
    <w:rsid w:val="57A13D9B"/>
    <w:rsid w:val="57C976C5"/>
    <w:rsid w:val="57FD7157"/>
    <w:rsid w:val="583A278E"/>
    <w:rsid w:val="583D6C38"/>
    <w:rsid w:val="586B7654"/>
    <w:rsid w:val="58753ACB"/>
    <w:rsid w:val="588A514D"/>
    <w:rsid w:val="58AC7B47"/>
    <w:rsid w:val="58B1580D"/>
    <w:rsid w:val="58C65E47"/>
    <w:rsid w:val="58C94B52"/>
    <w:rsid w:val="58D70B21"/>
    <w:rsid w:val="58EE30E1"/>
    <w:rsid w:val="58FF4F83"/>
    <w:rsid w:val="5908720D"/>
    <w:rsid w:val="59142E18"/>
    <w:rsid w:val="59247809"/>
    <w:rsid w:val="5928359C"/>
    <w:rsid w:val="593B5D16"/>
    <w:rsid w:val="593E47AD"/>
    <w:rsid w:val="59B45D86"/>
    <w:rsid w:val="59BE21D8"/>
    <w:rsid w:val="59D0234A"/>
    <w:rsid w:val="5A040361"/>
    <w:rsid w:val="5A281383"/>
    <w:rsid w:val="5A554B0C"/>
    <w:rsid w:val="5A697C72"/>
    <w:rsid w:val="5A6D3C5E"/>
    <w:rsid w:val="5A975549"/>
    <w:rsid w:val="5AA93750"/>
    <w:rsid w:val="5AC409F8"/>
    <w:rsid w:val="5B0B4BAC"/>
    <w:rsid w:val="5B211C78"/>
    <w:rsid w:val="5BB436A9"/>
    <w:rsid w:val="5BEB20F1"/>
    <w:rsid w:val="5C1E6959"/>
    <w:rsid w:val="5C205242"/>
    <w:rsid w:val="5C5E38A9"/>
    <w:rsid w:val="5C6C78CA"/>
    <w:rsid w:val="5C9032FD"/>
    <w:rsid w:val="5C93621E"/>
    <w:rsid w:val="5CA066CE"/>
    <w:rsid w:val="5CB92B52"/>
    <w:rsid w:val="5CE932E4"/>
    <w:rsid w:val="5D1A354C"/>
    <w:rsid w:val="5D1F2E64"/>
    <w:rsid w:val="5D5742E6"/>
    <w:rsid w:val="5D861954"/>
    <w:rsid w:val="5DA8144E"/>
    <w:rsid w:val="5DF362C3"/>
    <w:rsid w:val="5E366DEA"/>
    <w:rsid w:val="5E415E78"/>
    <w:rsid w:val="5E6675E4"/>
    <w:rsid w:val="5E6C2EF1"/>
    <w:rsid w:val="5E781994"/>
    <w:rsid w:val="5E892E65"/>
    <w:rsid w:val="5EAF1B1B"/>
    <w:rsid w:val="5EBA4218"/>
    <w:rsid w:val="5EC94495"/>
    <w:rsid w:val="5F410564"/>
    <w:rsid w:val="5F560898"/>
    <w:rsid w:val="5F5D78FC"/>
    <w:rsid w:val="5F77216D"/>
    <w:rsid w:val="5F892CA1"/>
    <w:rsid w:val="5FAA4007"/>
    <w:rsid w:val="5FC42195"/>
    <w:rsid w:val="5FC76140"/>
    <w:rsid w:val="5FF23F91"/>
    <w:rsid w:val="5FFB7499"/>
    <w:rsid w:val="60013090"/>
    <w:rsid w:val="600D14B2"/>
    <w:rsid w:val="601B5EC9"/>
    <w:rsid w:val="60205FAF"/>
    <w:rsid w:val="604C594A"/>
    <w:rsid w:val="604D6C81"/>
    <w:rsid w:val="60635092"/>
    <w:rsid w:val="60756DB3"/>
    <w:rsid w:val="60947CBC"/>
    <w:rsid w:val="60A4588E"/>
    <w:rsid w:val="60CD4E40"/>
    <w:rsid w:val="60F94C40"/>
    <w:rsid w:val="611C5634"/>
    <w:rsid w:val="613B21C7"/>
    <w:rsid w:val="61446AD6"/>
    <w:rsid w:val="61594BF0"/>
    <w:rsid w:val="615F6C49"/>
    <w:rsid w:val="618F282E"/>
    <w:rsid w:val="619F130A"/>
    <w:rsid w:val="61A00D63"/>
    <w:rsid w:val="61A17122"/>
    <w:rsid w:val="61C23117"/>
    <w:rsid w:val="61D237EE"/>
    <w:rsid w:val="61EE31B9"/>
    <w:rsid w:val="620E1590"/>
    <w:rsid w:val="622447FD"/>
    <w:rsid w:val="6238513D"/>
    <w:rsid w:val="625D1CA5"/>
    <w:rsid w:val="62903E45"/>
    <w:rsid w:val="62B740B6"/>
    <w:rsid w:val="62C7217E"/>
    <w:rsid w:val="62D678FB"/>
    <w:rsid w:val="62E66D11"/>
    <w:rsid w:val="6310098B"/>
    <w:rsid w:val="6322668E"/>
    <w:rsid w:val="63832454"/>
    <w:rsid w:val="638F3360"/>
    <w:rsid w:val="63A3318F"/>
    <w:rsid w:val="63A80DC2"/>
    <w:rsid w:val="63D8722A"/>
    <w:rsid w:val="640873F7"/>
    <w:rsid w:val="640950EB"/>
    <w:rsid w:val="64105315"/>
    <w:rsid w:val="64134B00"/>
    <w:rsid w:val="643B32D2"/>
    <w:rsid w:val="64444C85"/>
    <w:rsid w:val="646D215D"/>
    <w:rsid w:val="647D5D21"/>
    <w:rsid w:val="64967BC3"/>
    <w:rsid w:val="64A86DA7"/>
    <w:rsid w:val="64AF271E"/>
    <w:rsid w:val="64B9151A"/>
    <w:rsid w:val="64CA4956"/>
    <w:rsid w:val="652944E9"/>
    <w:rsid w:val="652C4E11"/>
    <w:rsid w:val="65487B94"/>
    <w:rsid w:val="656B73AD"/>
    <w:rsid w:val="65743197"/>
    <w:rsid w:val="65B60E90"/>
    <w:rsid w:val="65C65A8C"/>
    <w:rsid w:val="65D37F4B"/>
    <w:rsid w:val="65D73F0E"/>
    <w:rsid w:val="65DB3E06"/>
    <w:rsid w:val="65E9797E"/>
    <w:rsid w:val="65F641E7"/>
    <w:rsid w:val="65FA1A59"/>
    <w:rsid w:val="66147F66"/>
    <w:rsid w:val="66182520"/>
    <w:rsid w:val="66190F58"/>
    <w:rsid w:val="661F30F8"/>
    <w:rsid w:val="66301FE2"/>
    <w:rsid w:val="66483453"/>
    <w:rsid w:val="664B32FD"/>
    <w:rsid w:val="66770CD8"/>
    <w:rsid w:val="66832315"/>
    <w:rsid w:val="66852082"/>
    <w:rsid w:val="669158DC"/>
    <w:rsid w:val="66B3772E"/>
    <w:rsid w:val="66B41033"/>
    <w:rsid w:val="66B947D5"/>
    <w:rsid w:val="66C165EF"/>
    <w:rsid w:val="66C71D93"/>
    <w:rsid w:val="66E5328A"/>
    <w:rsid w:val="66F80514"/>
    <w:rsid w:val="67086555"/>
    <w:rsid w:val="67337DDD"/>
    <w:rsid w:val="678A6742"/>
    <w:rsid w:val="678B78EC"/>
    <w:rsid w:val="67D4141E"/>
    <w:rsid w:val="67D56E9E"/>
    <w:rsid w:val="67F803A0"/>
    <w:rsid w:val="6802627B"/>
    <w:rsid w:val="68147E4A"/>
    <w:rsid w:val="683520F0"/>
    <w:rsid w:val="684A370B"/>
    <w:rsid w:val="68506154"/>
    <w:rsid w:val="68682166"/>
    <w:rsid w:val="687779C7"/>
    <w:rsid w:val="68951147"/>
    <w:rsid w:val="689A00CE"/>
    <w:rsid w:val="68A00A3A"/>
    <w:rsid w:val="68A4634D"/>
    <w:rsid w:val="68AE2A93"/>
    <w:rsid w:val="691678FA"/>
    <w:rsid w:val="699E3385"/>
    <w:rsid w:val="69A47C90"/>
    <w:rsid w:val="69D556E5"/>
    <w:rsid w:val="69D56DED"/>
    <w:rsid w:val="69DD09AA"/>
    <w:rsid w:val="69F15BD0"/>
    <w:rsid w:val="6A0C4A12"/>
    <w:rsid w:val="6A427B5F"/>
    <w:rsid w:val="6A46243B"/>
    <w:rsid w:val="6A560107"/>
    <w:rsid w:val="6A630082"/>
    <w:rsid w:val="6A6F001A"/>
    <w:rsid w:val="6A84060C"/>
    <w:rsid w:val="6A9A47FB"/>
    <w:rsid w:val="6A9A7C79"/>
    <w:rsid w:val="6ABC208F"/>
    <w:rsid w:val="6ABC5506"/>
    <w:rsid w:val="6ABE3DC5"/>
    <w:rsid w:val="6AC82DA9"/>
    <w:rsid w:val="6ACA7E36"/>
    <w:rsid w:val="6AD871F8"/>
    <w:rsid w:val="6AF63DF7"/>
    <w:rsid w:val="6B1772E1"/>
    <w:rsid w:val="6B4129A3"/>
    <w:rsid w:val="6B680DA9"/>
    <w:rsid w:val="6B821BA5"/>
    <w:rsid w:val="6B8663A4"/>
    <w:rsid w:val="6BD65BF7"/>
    <w:rsid w:val="6BFE3503"/>
    <w:rsid w:val="6C1C530C"/>
    <w:rsid w:val="6C5B038E"/>
    <w:rsid w:val="6C682D52"/>
    <w:rsid w:val="6C7F75DB"/>
    <w:rsid w:val="6C83136B"/>
    <w:rsid w:val="6C9650CC"/>
    <w:rsid w:val="6C997EC7"/>
    <w:rsid w:val="6CA97E84"/>
    <w:rsid w:val="6CB144A6"/>
    <w:rsid w:val="6CD421BF"/>
    <w:rsid w:val="6CDA7BA2"/>
    <w:rsid w:val="6CDD6393"/>
    <w:rsid w:val="6D032FDB"/>
    <w:rsid w:val="6D1758D4"/>
    <w:rsid w:val="6D4430E8"/>
    <w:rsid w:val="6D775A49"/>
    <w:rsid w:val="6D8D0149"/>
    <w:rsid w:val="6D950372"/>
    <w:rsid w:val="6DD42242"/>
    <w:rsid w:val="6DFF78CF"/>
    <w:rsid w:val="6E1508CE"/>
    <w:rsid w:val="6E290108"/>
    <w:rsid w:val="6E6F04D5"/>
    <w:rsid w:val="6E740570"/>
    <w:rsid w:val="6E854535"/>
    <w:rsid w:val="6EB01E33"/>
    <w:rsid w:val="6EE92DC1"/>
    <w:rsid w:val="6F17160B"/>
    <w:rsid w:val="6F3338D9"/>
    <w:rsid w:val="6F3B4057"/>
    <w:rsid w:val="6F6668D7"/>
    <w:rsid w:val="6F715E86"/>
    <w:rsid w:val="6FAE4B5D"/>
    <w:rsid w:val="70192EAF"/>
    <w:rsid w:val="70236293"/>
    <w:rsid w:val="70293126"/>
    <w:rsid w:val="703C65F6"/>
    <w:rsid w:val="705D618B"/>
    <w:rsid w:val="709C365D"/>
    <w:rsid w:val="70BA0CF3"/>
    <w:rsid w:val="70CC18CE"/>
    <w:rsid w:val="71187F85"/>
    <w:rsid w:val="711C2947"/>
    <w:rsid w:val="712C6D28"/>
    <w:rsid w:val="714B2FED"/>
    <w:rsid w:val="71543FD3"/>
    <w:rsid w:val="715E1342"/>
    <w:rsid w:val="71724DA6"/>
    <w:rsid w:val="717B6D59"/>
    <w:rsid w:val="71834FC7"/>
    <w:rsid w:val="71AB3693"/>
    <w:rsid w:val="71D55ADD"/>
    <w:rsid w:val="71D6795F"/>
    <w:rsid w:val="71E27849"/>
    <w:rsid w:val="71FE13D4"/>
    <w:rsid w:val="72143C81"/>
    <w:rsid w:val="72487E1C"/>
    <w:rsid w:val="725B1768"/>
    <w:rsid w:val="72683AD8"/>
    <w:rsid w:val="72692D84"/>
    <w:rsid w:val="72B33176"/>
    <w:rsid w:val="730F60FB"/>
    <w:rsid w:val="736D6078"/>
    <w:rsid w:val="73AF3898"/>
    <w:rsid w:val="73CC56CE"/>
    <w:rsid w:val="73CF2DFE"/>
    <w:rsid w:val="73D72E79"/>
    <w:rsid w:val="73DD7E6E"/>
    <w:rsid w:val="73EE24EE"/>
    <w:rsid w:val="73FE1187"/>
    <w:rsid w:val="74191AF0"/>
    <w:rsid w:val="743048B7"/>
    <w:rsid w:val="743321AA"/>
    <w:rsid w:val="744D0A21"/>
    <w:rsid w:val="74697277"/>
    <w:rsid w:val="74A82BD2"/>
    <w:rsid w:val="74A8711C"/>
    <w:rsid w:val="74C806F7"/>
    <w:rsid w:val="74DB5C53"/>
    <w:rsid w:val="750E45DF"/>
    <w:rsid w:val="75400371"/>
    <w:rsid w:val="75634321"/>
    <w:rsid w:val="75795263"/>
    <w:rsid w:val="75982769"/>
    <w:rsid w:val="75B07892"/>
    <w:rsid w:val="75DA085C"/>
    <w:rsid w:val="75E84E79"/>
    <w:rsid w:val="75FF0F81"/>
    <w:rsid w:val="761B22DC"/>
    <w:rsid w:val="762D4296"/>
    <w:rsid w:val="76657ECE"/>
    <w:rsid w:val="766C3094"/>
    <w:rsid w:val="774660D0"/>
    <w:rsid w:val="779B50EC"/>
    <w:rsid w:val="77A26164"/>
    <w:rsid w:val="77CC202F"/>
    <w:rsid w:val="7808331E"/>
    <w:rsid w:val="78120541"/>
    <w:rsid w:val="78172837"/>
    <w:rsid w:val="7821521D"/>
    <w:rsid w:val="78612862"/>
    <w:rsid w:val="788779A4"/>
    <w:rsid w:val="788A252A"/>
    <w:rsid w:val="78A42B61"/>
    <w:rsid w:val="78BA7BFB"/>
    <w:rsid w:val="78D73FDB"/>
    <w:rsid w:val="78DB4544"/>
    <w:rsid w:val="78FE6E36"/>
    <w:rsid w:val="79037FB0"/>
    <w:rsid w:val="790E37FD"/>
    <w:rsid w:val="791D4A80"/>
    <w:rsid w:val="795A0A1C"/>
    <w:rsid w:val="795F7FAB"/>
    <w:rsid w:val="79662CED"/>
    <w:rsid w:val="79931CEC"/>
    <w:rsid w:val="79B53658"/>
    <w:rsid w:val="79BD6ACA"/>
    <w:rsid w:val="79F233F5"/>
    <w:rsid w:val="79FC7047"/>
    <w:rsid w:val="7A0C7DEE"/>
    <w:rsid w:val="7A313805"/>
    <w:rsid w:val="7A6228FE"/>
    <w:rsid w:val="7A7234B1"/>
    <w:rsid w:val="7A7A1C14"/>
    <w:rsid w:val="7A8B3B2D"/>
    <w:rsid w:val="7AE840C9"/>
    <w:rsid w:val="7AF272E0"/>
    <w:rsid w:val="7AF47F34"/>
    <w:rsid w:val="7B0C3788"/>
    <w:rsid w:val="7B12613D"/>
    <w:rsid w:val="7B186BA7"/>
    <w:rsid w:val="7B1B63BA"/>
    <w:rsid w:val="7B2C2356"/>
    <w:rsid w:val="7B3A0E50"/>
    <w:rsid w:val="7B6D5913"/>
    <w:rsid w:val="7BBD394E"/>
    <w:rsid w:val="7BCC0F0D"/>
    <w:rsid w:val="7BD928D3"/>
    <w:rsid w:val="7BE63F60"/>
    <w:rsid w:val="7BF50FA0"/>
    <w:rsid w:val="7C327B53"/>
    <w:rsid w:val="7C8B46FC"/>
    <w:rsid w:val="7CAD4E93"/>
    <w:rsid w:val="7CFF08C3"/>
    <w:rsid w:val="7D02500C"/>
    <w:rsid w:val="7D063438"/>
    <w:rsid w:val="7D163D2E"/>
    <w:rsid w:val="7D192EB2"/>
    <w:rsid w:val="7D1C7A6E"/>
    <w:rsid w:val="7D2E647F"/>
    <w:rsid w:val="7D323B94"/>
    <w:rsid w:val="7D352FC6"/>
    <w:rsid w:val="7D9A46BC"/>
    <w:rsid w:val="7DA326FA"/>
    <w:rsid w:val="7DB51B01"/>
    <w:rsid w:val="7DB82A5A"/>
    <w:rsid w:val="7DE5540E"/>
    <w:rsid w:val="7E370DA8"/>
    <w:rsid w:val="7E375031"/>
    <w:rsid w:val="7E4E34F1"/>
    <w:rsid w:val="7E4E4A83"/>
    <w:rsid w:val="7E8230F2"/>
    <w:rsid w:val="7E862ECF"/>
    <w:rsid w:val="7EB45613"/>
    <w:rsid w:val="7EBB3783"/>
    <w:rsid w:val="7ECD3FE1"/>
    <w:rsid w:val="7EDA56C3"/>
    <w:rsid w:val="7F111C22"/>
    <w:rsid w:val="7F19605D"/>
    <w:rsid w:val="7F5F754F"/>
    <w:rsid w:val="7F880B0A"/>
    <w:rsid w:val="7FB85982"/>
    <w:rsid w:val="7FD944D3"/>
    <w:rsid w:val="7FE31055"/>
    <w:rsid w:val="7FF215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3092</Words>
  <Characters>3278</Characters>
  <Lines>0</Lines>
  <Paragraphs>0</Paragraphs>
  <TotalTime>22</TotalTime>
  <ScaleCrop>false</ScaleCrop>
  <LinksUpToDate>false</LinksUpToDate>
  <CharactersWithSpaces>3369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WPS_1606182915</cp:lastModifiedBy>
  <dcterms:modified xsi:type="dcterms:W3CDTF">2024-05-31T01:39:46Z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DE8D0C3DFDBF4D6AB216AFD0F1733705</vt:lpwstr>
  </property>
</Properties>
</file>