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Cs/>
          <w:sz w:val="44"/>
          <w:szCs w:val="44"/>
        </w:rPr>
      </w:pPr>
      <w:r>
        <w:rPr>
          <w:rFonts w:ascii="方正小标宋简体" w:hAnsi="方正小标宋简体" w:eastAsia="方正小标宋简体" w:cs="方正小标宋简体"/>
          <w:bCs/>
          <w:sz w:val="44"/>
          <w:szCs w:val="44"/>
        </w:rPr>
        <w:t>兴国县工业和信息化局</w:t>
      </w:r>
      <w:r>
        <w:rPr>
          <w:rFonts w:hint="eastAsia" w:ascii="方正小标宋简体" w:hAnsi="方正小标宋简体" w:eastAsia="方正小标宋简体" w:cs="方正小标宋简体"/>
          <w:bCs/>
          <w:sz w:val="44"/>
          <w:szCs w:val="44"/>
        </w:rPr>
        <w:t>2023年部门预算</w:t>
      </w: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ascii="黑体" w:hAnsi="黑体" w:eastAsia="黑体" w:cs="黑体"/>
          <w:sz w:val="32"/>
          <w:szCs w:val="32"/>
        </w:rPr>
      </w:pP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兴国县工业和信息化局部门概况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第二部分兴国县工业和信息化局部门预算情况说明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一、2023年部门预算收支情况说明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二、2023年“三公”经费预算情况说明</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第三部分兴国县工业和信息化局部门预算表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九、《国有资本经营预算支出表》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十、《部门整体支出绩效目标表》</w:t>
      </w:r>
    </w:p>
    <w:p>
      <w:pPr>
        <w:spacing w:line="560" w:lineRule="exact"/>
        <w:ind w:left="10" w:leftChars="5" w:firstLine="620" w:firstLineChars="194"/>
        <w:rPr>
          <w:rFonts w:ascii="仿宋" w:hAnsi="仿宋" w:eastAsia="仿宋" w:cs="仿宋"/>
          <w:b/>
          <w:bCs/>
          <w:sz w:val="32"/>
          <w:szCs w:val="32"/>
        </w:rPr>
      </w:pPr>
      <w:r>
        <w:rPr>
          <w:rFonts w:hint="eastAsia" w:ascii="仿宋" w:hAnsi="仿宋" w:eastAsia="仿宋" w:cs="仿宋"/>
          <w:sz w:val="32"/>
          <w:szCs w:val="32"/>
        </w:rPr>
        <w:t>十一、《项目支出绩效目标表》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ascii="仿宋" w:hAnsi="仿宋" w:eastAsia="仿宋" w:cs="仿宋"/>
          <w:b/>
          <w:bCs/>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w:t>
      </w:r>
      <w:r>
        <w:rPr>
          <w:rFonts w:ascii="黑体" w:hAnsi="黑体" w:eastAsia="黑体" w:cs="黑体"/>
          <w:sz w:val="32"/>
          <w:szCs w:val="32"/>
        </w:rPr>
        <w:t>兴国县工业和信息化局</w:t>
      </w:r>
      <w:r>
        <w:rPr>
          <w:rFonts w:hint="eastAsia" w:ascii="黑体" w:hAnsi="黑体" w:eastAsia="黑体" w:cs="黑体"/>
          <w:sz w:val="32"/>
          <w:szCs w:val="32"/>
        </w:rPr>
        <w:t>部门概况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一、部门主要职责</w:t>
      </w:r>
    </w:p>
    <w:p>
      <w:pPr>
        <w:ind w:firstLine="640" w:firstLineChars="200"/>
        <w:rPr>
          <w:sz w:val="32"/>
          <w:szCs w:val="32"/>
        </w:rPr>
      </w:pPr>
      <w:r>
        <w:rPr>
          <w:rFonts w:hint="eastAsia"/>
          <w:sz w:val="32"/>
          <w:szCs w:val="32"/>
        </w:rPr>
        <w:t>1、</w:t>
      </w:r>
      <w:r>
        <w:rPr>
          <w:rFonts w:hint="eastAsia"/>
          <w:b/>
          <w:sz w:val="32"/>
          <w:szCs w:val="32"/>
        </w:rPr>
        <w:t>基本职能：</w:t>
      </w:r>
      <w:r>
        <w:rPr>
          <w:rFonts w:hint="eastAsia"/>
          <w:sz w:val="32"/>
          <w:szCs w:val="32"/>
        </w:rPr>
        <w:t>兴国县工业和信息化局是政府部门。其主要职责：负责全县工业行业的管理和监管，提出全县新型工业发展战略和政策措施，监测、分析工业经济运行态势；指导工业企业加强技术创新和技术改造，推进产学研结合和重大产业项目的实施；承担全县工业节能管理和监察工作；负责新型墙体材料、散装水泥和预拌混凝土、预拌砂浆的行政管理和执法工作；统筹推进全县信息化工作等</w:t>
      </w:r>
    </w:p>
    <w:p>
      <w:pPr>
        <w:ind w:firstLine="640" w:firstLineChars="200"/>
        <w:rPr>
          <w:sz w:val="32"/>
          <w:szCs w:val="32"/>
        </w:rPr>
      </w:pPr>
      <w:r>
        <w:rPr>
          <w:rFonts w:hint="eastAsia"/>
          <w:sz w:val="32"/>
          <w:szCs w:val="32"/>
        </w:rPr>
        <w:t>2、</w:t>
      </w:r>
      <w:r>
        <w:rPr>
          <w:rFonts w:hint="eastAsia"/>
          <w:b/>
          <w:sz w:val="32"/>
          <w:szCs w:val="32"/>
        </w:rPr>
        <w:t>机构设置：</w:t>
      </w:r>
      <w:r>
        <w:rPr>
          <w:rFonts w:hint="eastAsia"/>
          <w:sz w:val="32"/>
          <w:szCs w:val="32"/>
        </w:rPr>
        <w:t>根据职责，县工业和信息化局内设4个职能股，办公室、经济运行股、投资股、产业政策股。</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二、部门基本情况</w:t>
      </w:r>
    </w:p>
    <w:p>
      <w:pPr>
        <w:ind w:firstLine="640" w:firstLineChars="200"/>
        <w:rPr>
          <w:rFonts w:ascii="仿宋" w:hAnsi="仿宋" w:eastAsia="仿宋"/>
          <w:sz w:val="32"/>
          <w:szCs w:val="32"/>
        </w:rPr>
      </w:pPr>
      <w:r>
        <w:rPr>
          <w:rFonts w:hint="eastAsia" w:ascii="仿宋" w:hAnsi="仿宋" w:eastAsia="仿宋" w:cs="仿宋"/>
          <w:sz w:val="32"/>
          <w:szCs w:val="32"/>
        </w:rPr>
        <w:t>2023年</w:t>
      </w:r>
      <w:r>
        <w:rPr>
          <w:rFonts w:ascii="仿宋" w:hAnsi="仿宋" w:eastAsia="仿宋"/>
          <w:sz w:val="32"/>
          <w:szCs w:val="32"/>
        </w:rPr>
        <w:t>兴国县工业和信息化局</w:t>
      </w:r>
      <w:r>
        <w:rPr>
          <w:rFonts w:hint="eastAsia" w:ascii="仿宋" w:hAnsi="仿宋" w:eastAsia="仿宋"/>
          <w:sz w:val="32"/>
          <w:szCs w:val="32"/>
        </w:rPr>
        <w:t>部门共有预算单位</w:t>
      </w:r>
      <w:r>
        <w:rPr>
          <w:rFonts w:hint="eastAsia" w:ascii="仿宋" w:hAnsi="仿宋" w:eastAsia="仿宋"/>
          <w:sz w:val="32"/>
          <w:szCs w:val="32"/>
          <w:u w:val="single"/>
        </w:rPr>
        <w:t>1</w:t>
      </w:r>
      <w:r>
        <w:rPr>
          <w:rFonts w:ascii="仿宋" w:hAnsi="仿宋" w:eastAsia="仿宋"/>
          <w:sz w:val="32"/>
          <w:szCs w:val="32"/>
        </w:rPr>
        <w:t>个</w:t>
      </w:r>
      <w:r>
        <w:rPr>
          <w:rFonts w:hint="eastAsia" w:ascii="仿宋" w:hAnsi="仿宋" w:eastAsia="仿宋"/>
          <w:sz w:val="32"/>
          <w:szCs w:val="32"/>
        </w:rPr>
        <w:t>。</w:t>
      </w:r>
    </w:p>
    <w:p>
      <w:pPr>
        <w:spacing w:line="560" w:lineRule="exact"/>
        <w:ind w:firstLine="640" w:firstLineChars="200"/>
        <w:rPr>
          <w:rFonts w:ascii="仿宋" w:hAnsi="仿宋" w:eastAsia="仿宋" w:cs="仿宋"/>
          <w:sz w:val="24"/>
          <w:szCs w:val="24"/>
        </w:rPr>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kern w:val="0"/>
          <w:sz w:val="32"/>
          <w:szCs w:val="32"/>
        </w:rPr>
        <w:t>43</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kern w:val="0"/>
          <w:sz w:val="32"/>
          <w:szCs w:val="32"/>
        </w:rPr>
        <w:t>13</w:t>
      </w:r>
      <w:r>
        <w:rPr>
          <w:rFonts w:ascii="仿宋" w:hAnsi="仿宋" w:eastAsia="仿宋"/>
          <w:sz w:val="32"/>
          <w:szCs w:val="32"/>
        </w:rPr>
        <w:t>人,参照公务员管理的事业编制人数</w:t>
      </w:r>
      <w:r>
        <w:rPr>
          <w:rFonts w:hint="eastAsia" w:ascii="仿宋" w:hAnsi="仿宋" w:eastAsia="仿宋"/>
          <w:kern w:val="0"/>
          <w:sz w:val="32"/>
          <w:szCs w:val="32"/>
        </w:rPr>
        <w:t>0</w:t>
      </w:r>
      <w:r>
        <w:rPr>
          <w:rFonts w:ascii="仿宋" w:hAnsi="仿宋" w:eastAsia="仿宋"/>
          <w:sz w:val="32"/>
          <w:szCs w:val="32"/>
        </w:rPr>
        <w:t>人,全部补助事业编制人数</w:t>
      </w:r>
      <w:r>
        <w:rPr>
          <w:rFonts w:hint="eastAsia" w:ascii="仿宋" w:hAnsi="仿宋" w:eastAsia="仿宋"/>
          <w:kern w:val="0"/>
          <w:sz w:val="32"/>
          <w:szCs w:val="32"/>
        </w:rPr>
        <w:t>13</w:t>
      </w:r>
      <w:r>
        <w:rPr>
          <w:rFonts w:ascii="仿宋" w:hAnsi="仿宋" w:eastAsia="仿宋"/>
          <w:sz w:val="32"/>
          <w:szCs w:val="32"/>
        </w:rPr>
        <w:t>人,自收自支编制人数</w:t>
      </w:r>
      <w:r>
        <w:rPr>
          <w:rFonts w:hint="eastAsia" w:ascii="仿宋" w:hAnsi="仿宋" w:eastAsia="仿宋"/>
          <w:kern w:val="0"/>
          <w:sz w:val="32"/>
          <w:szCs w:val="32"/>
        </w:rPr>
        <w:t>2</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kern w:val="0"/>
          <w:sz w:val="32"/>
          <w:szCs w:val="32"/>
        </w:rPr>
        <w:t>197</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kern w:val="0"/>
          <w:sz w:val="32"/>
          <w:szCs w:val="32"/>
        </w:rPr>
        <w:t>35</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kern w:val="0"/>
          <w:sz w:val="32"/>
          <w:szCs w:val="32"/>
        </w:rPr>
        <w:t>9</w:t>
      </w:r>
      <w:r>
        <w:rPr>
          <w:rFonts w:ascii="仿宋" w:hAnsi="仿宋" w:eastAsia="仿宋"/>
          <w:sz w:val="32"/>
          <w:szCs w:val="32"/>
        </w:rPr>
        <w:t>人,参照公务员管理的事业单位在职人数</w:t>
      </w:r>
      <w:r>
        <w:rPr>
          <w:rFonts w:hint="eastAsia" w:ascii="仿宋" w:hAnsi="仿宋" w:eastAsia="仿宋"/>
          <w:kern w:val="0"/>
          <w:sz w:val="32"/>
          <w:szCs w:val="32"/>
        </w:rPr>
        <w:t>0</w:t>
      </w:r>
      <w:r>
        <w:rPr>
          <w:rFonts w:ascii="仿宋" w:hAnsi="仿宋" w:eastAsia="仿宋"/>
          <w:sz w:val="32"/>
          <w:szCs w:val="32"/>
        </w:rPr>
        <w:t>人,全部补助事业在职人数</w:t>
      </w:r>
      <w:r>
        <w:rPr>
          <w:rFonts w:hint="eastAsia" w:ascii="仿宋" w:hAnsi="仿宋" w:eastAsia="仿宋"/>
          <w:kern w:val="0"/>
          <w:sz w:val="32"/>
          <w:szCs w:val="32"/>
        </w:rPr>
        <w:t>27</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kern w:val="0"/>
          <w:sz w:val="32"/>
          <w:szCs w:val="32"/>
        </w:rPr>
        <w:t>1</w:t>
      </w:r>
      <w:r>
        <w:rPr>
          <w:rFonts w:ascii="仿宋" w:hAnsi="仿宋" w:eastAsia="仿宋"/>
          <w:sz w:val="32"/>
          <w:szCs w:val="32"/>
        </w:rPr>
        <w:t>人,退休人数小计</w:t>
      </w:r>
      <w:r>
        <w:rPr>
          <w:rFonts w:hint="eastAsia" w:ascii="仿宋" w:hAnsi="仿宋" w:eastAsia="仿宋"/>
          <w:kern w:val="0"/>
          <w:sz w:val="32"/>
          <w:szCs w:val="32"/>
        </w:rPr>
        <w:t>141</w:t>
      </w:r>
      <w:r>
        <w:rPr>
          <w:rFonts w:ascii="仿宋" w:hAnsi="仿宋" w:eastAsia="仿宋"/>
          <w:sz w:val="32"/>
          <w:szCs w:val="32"/>
        </w:rPr>
        <w:t>人,退职人员</w:t>
      </w:r>
      <w:r>
        <w:rPr>
          <w:rFonts w:hint="eastAsia" w:ascii="仿宋" w:hAnsi="仿宋" w:eastAsia="仿宋"/>
          <w:kern w:val="0"/>
          <w:sz w:val="32"/>
          <w:szCs w:val="32"/>
        </w:rPr>
        <w:t>0</w:t>
      </w:r>
      <w:r>
        <w:rPr>
          <w:rFonts w:ascii="仿宋" w:hAnsi="仿宋" w:eastAsia="仿宋"/>
          <w:sz w:val="32"/>
          <w:szCs w:val="32"/>
        </w:rPr>
        <w:t>人,遗属人数</w:t>
      </w:r>
      <w:r>
        <w:rPr>
          <w:rFonts w:hint="eastAsia" w:ascii="仿宋" w:hAnsi="仿宋" w:eastAsia="仿宋"/>
          <w:kern w:val="0"/>
          <w:sz w:val="32"/>
          <w:szCs w:val="32"/>
        </w:rPr>
        <w:t>17</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${page400644146.ds532982397_REP_JX_BAS_AGENCY_INFO_ZYFRS_S_ZXXSMX}</w:instrText>
      </w:r>
      <w:r>
        <w:rPr>
          <w:rFonts w:ascii="仿宋" w:hAnsi="仿宋" w:eastAsia="仿宋"/>
          <w:sz w:val="32"/>
          <w:szCs w:val="32"/>
        </w:rPr>
        <w:fldChar w:fldCharType="end"/>
      </w:r>
    </w:p>
    <w:p>
      <w:pPr>
        <w:spacing w:line="560" w:lineRule="exact"/>
        <w:rPr>
          <w:rFonts w:ascii="仿宋" w:hAnsi="仿宋" w:eastAsia="仿宋" w:cs="仿宋"/>
          <w:sz w:val="32"/>
          <w:szCs w:val="32"/>
        </w:rPr>
      </w:pPr>
    </w:p>
    <w:p>
      <w:pPr>
        <w:spacing w:line="560" w:lineRule="exact"/>
        <w:jc w:val="center"/>
        <w:rPr>
          <w:rFonts w:hint="eastAsia" w:ascii="黑体" w:hAnsi="黑体" w:eastAsia="黑体" w:cs="黑体"/>
          <w:sz w:val="32"/>
          <w:szCs w:val="32"/>
        </w:rPr>
      </w:pPr>
    </w:p>
    <w:p>
      <w:pPr>
        <w:spacing w:line="560" w:lineRule="exact"/>
        <w:jc w:val="center"/>
        <w:rPr>
          <w:rFonts w:ascii="黑体" w:hAnsi="黑体" w:eastAsia="黑体" w:cs="黑体"/>
          <w:sz w:val="32"/>
          <w:szCs w:val="32"/>
        </w:rPr>
      </w:pPr>
      <w:bookmarkStart w:id="0" w:name="_GoBack"/>
      <w:bookmarkEnd w:id="0"/>
      <w:r>
        <w:rPr>
          <w:rFonts w:hint="eastAsia" w:ascii="黑体" w:hAnsi="黑体" w:eastAsia="黑体" w:cs="黑体"/>
          <w:sz w:val="32"/>
          <w:szCs w:val="32"/>
        </w:rPr>
        <w:t xml:space="preserve">第二部分 </w:t>
      </w:r>
      <w:r>
        <w:rPr>
          <w:rFonts w:ascii="黑体" w:hAnsi="黑体" w:eastAsia="黑体" w:cs="黑体"/>
          <w:sz w:val="32"/>
          <w:szCs w:val="32"/>
        </w:rPr>
        <w:t>兴国县工业和信息化局</w:t>
      </w:r>
      <w:r>
        <w:rPr>
          <w:rFonts w:hint="eastAsia" w:ascii="黑体" w:hAnsi="黑体" w:eastAsia="黑体" w:cs="黑体"/>
          <w:sz w:val="32"/>
          <w:szCs w:val="32"/>
        </w:rPr>
        <w:t>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一、2023年部门预算收支情况说明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w:t>
      </w:r>
      <w:r>
        <w:rPr>
          <w:rFonts w:hint="eastAsia" w:ascii="仿宋" w:hAnsi="仿宋" w:eastAsia="仿宋" w:cs="仿宋"/>
          <w:sz w:val="30"/>
          <w:szCs w:val="30"/>
        </w:rPr>
        <w:t>本部门收入预算总额</w:t>
      </w:r>
      <w:r>
        <w:rPr>
          <w:rFonts w:hint="eastAsia" w:ascii="仿宋" w:hAnsi="仿宋" w:eastAsia="仿宋" w:cs="仿宋"/>
          <w:sz w:val="32"/>
          <w:szCs w:val="32"/>
        </w:rPr>
        <w:t>10844.94</w:t>
      </w:r>
      <w:r>
        <w:rPr>
          <w:rFonts w:hint="eastAsia" w:ascii="仿宋" w:hAnsi="仿宋" w:eastAsia="仿宋" w:cs="仿宋"/>
          <w:sz w:val="30"/>
          <w:szCs w:val="30"/>
        </w:rPr>
        <w:t>万元，</w:t>
      </w:r>
      <w:r>
        <w:rPr>
          <w:rFonts w:hint="eastAsia" w:ascii="仿宋" w:hAnsi="仿宋" w:eastAsia="仿宋" w:cs="仿宋"/>
          <w:sz w:val="32"/>
          <w:szCs w:val="32"/>
        </w:rPr>
        <w:t>较上年预算安排增10142.96万元，增加93.53%。增减变化主要原因是：新项目个数增加及原项目基数递增。</w:t>
      </w:r>
    </w:p>
    <w:p>
      <w:pPr>
        <w:spacing w:line="560" w:lineRule="exact"/>
        <w:ind w:firstLine="600" w:firstLineChars="200"/>
        <w:rPr>
          <w:rFonts w:ascii="仿宋" w:hAnsi="仿宋" w:eastAsia="仿宋" w:cs="仿宋"/>
          <w:sz w:val="32"/>
          <w:szCs w:val="32"/>
        </w:rPr>
      </w:pPr>
      <w:r>
        <w:rPr>
          <w:rFonts w:hint="eastAsia" w:ascii="仿宋" w:hAnsi="仿宋" w:eastAsia="仿宋" w:cs="仿宋"/>
          <w:sz w:val="30"/>
          <w:szCs w:val="30"/>
        </w:rPr>
        <w:t>具体为：</w:t>
      </w:r>
      <w:r>
        <w:rPr>
          <w:rFonts w:hint="eastAsia" w:ascii="仿宋" w:hAnsi="仿宋" w:eastAsia="仿宋" w:cs="仿宋"/>
          <w:sz w:val="32"/>
          <w:szCs w:val="32"/>
        </w:rPr>
        <w:t>财政拨款</w:t>
      </w:r>
      <w:r>
        <w:rPr>
          <w:rFonts w:hint="eastAsia" w:ascii="仿宋" w:hAnsi="仿宋" w:eastAsia="仿宋" w:cs="仿宋"/>
          <w:sz w:val="30"/>
          <w:szCs w:val="30"/>
        </w:rPr>
        <w:t>收入</w:t>
      </w:r>
      <w:r>
        <w:rPr>
          <w:rFonts w:hint="eastAsia" w:ascii="仿宋" w:hAnsi="仿宋" w:eastAsia="仿宋" w:cs="仿宋"/>
          <w:sz w:val="32"/>
          <w:szCs w:val="32"/>
        </w:rPr>
        <w:t>7751.31</w:t>
      </w:r>
      <w:r>
        <w:rPr>
          <w:rFonts w:hint="eastAsia" w:ascii="仿宋" w:hAnsi="仿宋" w:eastAsia="仿宋" w:cs="仿宋"/>
          <w:sz w:val="30"/>
          <w:szCs w:val="30"/>
        </w:rPr>
        <w:t>万元，</w:t>
      </w:r>
      <w:r>
        <w:rPr>
          <w:rFonts w:hint="eastAsia" w:ascii="仿宋" w:hAnsi="仿宋" w:eastAsia="仿宋" w:cs="仿宋"/>
          <w:sz w:val="32"/>
          <w:szCs w:val="32"/>
        </w:rPr>
        <w:t>较上年预算安排增加7049.33万元, 其他收入3093.63万元，较上年预算安排3093.63万元。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ascii="仿宋" w:hAnsi="仿宋" w:eastAsia="仿宋" w:cs="仿宋"/>
          <w:sz w:val="30"/>
          <w:szCs w:val="30"/>
        </w:rPr>
      </w:pPr>
      <w:r>
        <w:rPr>
          <w:rFonts w:hint="eastAsia" w:ascii="仿宋" w:hAnsi="仿宋" w:eastAsia="仿宋" w:cs="仿宋"/>
          <w:sz w:val="32"/>
          <w:szCs w:val="32"/>
        </w:rPr>
        <w:t>2023年</w:t>
      </w:r>
      <w:r>
        <w:rPr>
          <w:rFonts w:hint="eastAsia" w:ascii="仿宋" w:hAnsi="仿宋" w:eastAsia="仿宋" w:cs="仿宋"/>
          <w:sz w:val="30"/>
          <w:szCs w:val="30"/>
        </w:rPr>
        <w:t>本部门支出预算总额</w:t>
      </w:r>
      <w:r>
        <w:rPr>
          <w:rFonts w:hint="eastAsia" w:ascii="仿宋" w:hAnsi="仿宋" w:eastAsia="仿宋" w:cs="仿宋"/>
          <w:sz w:val="32"/>
          <w:szCs w:val="32"/>
        </w:rPr>
        <w:t>10844.94</w:t>
      </w:r>
      <w:r>
        <w:rPr>
          <w:rFonts w:hint="eastAsia" w:ascii="仿宋" w:hAnsi="仿宋" w:eastAsia="仿宋" w:cs="仿宋"/>
          <w:sz w:val="30"/>
          <w:szCs w:val="30"/>
        </w:rPr>
        <w:t>万元，</w:t>
      </w:r>
      <w:r>
        <w:rPr>
          <w:rFonts w:hint="eastAsia" w:ascii="仿宋" w:hAnsi="仿宋" w:eastAsia="仿宋" w:cs="仿宋"/>
          <w:sz w:val="32"/>
          <w:szCs w:val="32"/>
        </w:rPr>
        <w:t>较上年预算安排增10142.96万元，增加93.53%。增减变化主要原因是：新项目个数增加及原项目基数递增。</w:t>
      </w:r>
      <w:r>
        <w:rPr>
          <w:rFonts w:hint="eastAsia" w:ascii="仿宋" w:hAnsi="仿宋" w:eastAsia="仿宋" w:cs="仿宋"/>
          <w:sz w:val="30"/>
          <w:szCs w:val="30"/>
        </w:rPr>
        <w:t>具体为：</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按支出项目类别及经济分类科目划分：基本支出</w:t>
      </w:r>
      <w:r>
        <w:rPr>
          <w:rFonts w:hint="eastAsia" w:ascii="仿宋" w:hAnsi="仿宋" w:eastAsia="仿宋" w:cs="仿宋"/>
          <w:sz w:val="32"/>
          <w:szCs w:val="32"/>
        </w:rPr>
        <w:t>626.98</w:t>
      </w:r>
      <w:r>
        <w:rPr>
          <w:rFonts w:hint="eastAsia" w:ascii="仿宋" w:hAnsi="仿宋" w:eastAsia="仿宋" w:cs="仿宋"/>
          <w:sz w:val="30"/>
          <w:szCs w:val="30"/>
        </w:rPr>
        <w:t>万元，</w:t>
      </w:r>
      <w:r>
        <w:rPr>
          <w:rFonts w:hint="eastAsia" w:ascii="仿宋" w:hAnsi="仿宋" w:eastAsia="仿宋" w:cs="仿宋"/>
          <w:sz w:val="32"/>
          <w:szCs w:val="32"/>
        </w:rPr>
        <w:t>较上年预算安排增加110.08万元，</w:t>
      </w:r>
      <w:r>
        <w:rPr>
          <w:rFonts w:hint="eastAsia" w:ascii="仿宋" w:hAnsi="仿宋" w:eastAsia="仿宋" w:cs="仿宋"/>
          <w:sz w:val="30"/>
          <w:szCs w:val="30"/>
        </w:rPr>
        <w:t>其中：工资福利支出590.31万元，</w:t>
      </w:r>
      <w:r>
        <w:rPr>
          <w:rFonts w:hint="eastAsia" w:ascii="仿宋" w:hAnsi="仿宋" w:eastAsia="仿宋" w:cs="仿宋"/>
          <w:sz w:val="32"/>
          <w:szCs w:val="32"/>
        </w:rPr>
        <w:t>公用经费36.67万元</w:t>
      </w:r>
      <w:r>
        <w:rPr>
          <w:rFonts w:hint="eastAsia" w:ascii="仿宋" w:hAnsi="仿宋" w:eastAsia="仿宋" w:cs="仿宋"/>
          <w:sz w:val="30"/>
          <w:szCs w:val="30"/>
        </w:rPr>
        <w:t>；项目支出</w:t>
      </w:r>
      <w:r>
        <w:rPr>
          <w:rFonts w:hint="eastAsia" w:ascii="仿宋" w:hAnsi="仿宋" w:eastAsia="仿宋" w:cs="仿宋"/>
          <w:sz w:val="32"/>
          <w:szCs w:val="32"/>
        </w:rPr>
        <w:t>10217.96</w:t>
      </w:r>
      <w:r>
        <w:rPr>
          <w:rFonts w:hint="eastAsia" w:ascii="仿宋" w:hAnsi="仿宋" w:eastAsia="仿宋" w:cs="仿宋"/>
          <w:sz w:val="30"/>
          <w:szCs w:val="30"/>
        </w:rPr>
        <w:t>万元，</w:t>
      </w:r>
      <w:r>
        <w:rPr>
          <w:rFonts w:hint="eastAsia" w:ascii="仿宋" w:hAnsi="仿宋" w:eastAsia="仿宋" w:cs="仿宋"/>
          <w:sz w:val="32"/>
          <w:szCs w:val="32"/>
        </w:rPr>
        <w:t>较上年预算安排增加10032.96万元，</w:t>
      </w:r>
      <w:r>
        <w:rPr>
          <w:rFonts w:hint="eastAsia" w:ascii="仿宋" w:hAnsi="仿宋" w:eastAsia="仿宋" w:cs="仿宋"/>
          <w:sz w:val="30"/>
          <w:szCs w:val="30"/>
        </w:rPr>
        <w:t>其中：其他运转类3173.56万元，</w:t>
      </w:r>
      <w:r>
        <w:rPr>
          <w:rFonts w:hint="eastAsia" w:ascii="仿宋" w:hAnsi="仿宋" w:eastAsia="仿宋" w:cs="仿宋"/>
          <w:sz w:val="32"/>
          <w:szCs w:val="32"/>
        </w:rPr>
        <w:t>其他支出7044.4万元</w:t>
      </w:r>
      <w:r>
        <w:rPr>
          <w:rFonts w:hint="eastAsia" w:ascii="仿宋" w:hAnsi="仿宋" w:eastAsia="仿宋" w:cs="仿宋"/>
          <w:sz w:val="30"/>
          <w:szCs w:val="30"/>
        </w:rPr>
        <w:t>。</w:t>
      </w:r>
    </w:p>
    <w:p>
      <w:pPr>
        <w:spacing w:line="560" w:lineRule="exact"/>
        <w:ind w:firstLine="600" w:firstLineChars="200"/>
        <w:rPr>
          <w:rFonts w:ascii="仿宋" w:hAnsi="仿宋" w:eastAsia="仿宋" w:cs="仿宋"/>
          <w:sz w:val="24"/>
          <w:szCs w:val="24"/>
        </w:rPr>
      </w:pPr>
      <w:r>
        <w:rPr>
          <w:rFonts w:hint="eastAsia" w:ascii="仿宋" w:hAnsi="仿宋" w:eastAsia="仿宋" w:cs="仿宋"/>
          <w:sz w:val="30"/>
          <w:szCs w:val="30"/>
        </w:rPr>
        <w:t>按支出功能分类科目划分：</w:t>
      </w:r>
      <w:r>
        <w:rPr>
          <w:rFonts w:hint="eastAsia" w:ascii="仿宋" w:hAnsi="仿宋" w:eastAsia="仿宋" w:cs="仿宋"/>
          <w:sz w:val="32"/>
          <w:szCs w:val="32"/>
        </w:rPr>
        <w:t>社会保障和就业支出50.64</w:t>
      </w:r>
      <w:r>
        <w:rPr>
          <w:rFonts w:hint="eastAsia" w:ascii="仿宋" w:hAnsi="仿宋" w:eastAsia="仿宋" w:cs="仿宋"/>
          <w:sz w:val="30"/>
          <w:szCs w:val="30"/>
        </w:rPr>
        <w:t>万元，</w:t>
      </w:r>
      <w:r>
        <w:rPr>
          <w:rFonts w:hint="eastAsia" w:ascii="仿宋" w:hAnsi="仿宋" w:eastAsia="仿宋" w:cs="仿宋"/>
          <w:sz w:val="32"/>
          <w:szCs w:val="32"/>
        </w:rPr>
        <w:t>较上年预算安排增加3.17万元；</w:t>
      </w:r>
      <w:r>
        <w:rPr>
          <w:rFonts w:hint="eastAsia" w:ascii="仿宋" w:hAnsi="仿宋" w:eastAsia="仿宋" w:cs="仿宋"/>
          <w:sz w:val="30"/>
          <w:szCs w:val="30"/>
        </w:rPr>
        <w:t>其他</w:t>
      </w:r>
      <w:r>
        <w:rPr>
          <w:rFonts w:hint="eastAsia" w:ascii="仿宋" w:hAnsi="仿宋" w:eastAsia="仿宋" w:cs="仿宋"/>
          <w:sz w:val="32"/>
          <w:szCs w:val="32"/>
        </w:rPr>
        <w:t>社会保障和就业</w:t>
      </w:r>
      <w:r>
        <w:rPr>
          <w:rFonts w:hint="eastAsia" w:ascii="仿宋" w:hAnsi="仿宋" w:eastAsia="仿宋" w:cs="仿宋"/>
          <w:sz w:val="30"/>
          <w:szCs w:val="30"/>
        </w:rPr>
        <w:t>支出</w:t>
      </w:r>
      <w:r>
        <w:rPr>
          <w:rFonts w:hint="eastAsia" w:ascii="仿宋" w:hAnsi="仿宋" w:eastAsia="仿宋" w:cs="仿宋"/>
          <w:sz w:val="32"/>
          <w:szCs w:val="32"/>
        </w:rPr>
        <w:t>0.89</w:t>
      </w:r>
      <w:r>
        <w:rPr>
          <w:rFonts w:hint="eastAsia" w:ascii="仿宋" w:hAnsi="仿宋" w:eastAsia="仿宋" w:cs="仿宋"/>
          <w:sz w:val="30"/>
          <w:szCs w:val="30"/>
        </w:rPr>
        <w:t>万元，</w:t>
      </w:r>
      <w:r>
        <w:rPr>
          <w:rFonts w:hint="eastAsia" w:ascii="仿宋" w:hAnsi="仿宋" w:eastAsia="仿宋" w:cs="仿宋"/>
          <w:sz w:val="32"/>
          <w:szCs w:val="32"/>
        </w:rPr>
        <w:t>较上年预算安排增加0.89万元，卫生健康支出122.43万元，较上年预算安排增加10.06万元；行政运行支出411.4万元，较上年预算安排增加110.1万元；住房保障支出42.51万元，较上年预算安排增加0.96万元；其他支出10217.96万元，较上年预算安排增加10032.96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2"/>
        <w:ind w:firstLine="640" w:firstLineChars="200"/>
        <w:rPr>
          <w:rFonts w:ascii="仿宋" w:hAnsi="仿宋" w:eastAsia="仿宋" w:cs="仿宋"/>
          <w:sz w:val="30"/>
          <w:szCs w:val="30"/>
        </w:rPr>
      </w:pPr>
      <w:r>
        <w:rPr>
          <w:rFonts w:hint="eastAsia" w:ascii="仿宋" w:hAnsi="仿宋" w:eastAsia="仿宋" w:cs="仿宋"/>
          <w:lang w:val="en-US"/>
        </w:rPr>
        <w:t>2023</w:t>
      </w:r>
      <w:r>
        <w:rPr>
          <w:rFonts w:hint="eastAsia" w:ascii="仿宋" w:hAnsi="仿宋" w:eastAsia="仿宋" w:cs="仿宋"/>
        </w:rPr>
        <w:t>年</w:t>
      </w:r>
      <w:r>
        <w:rPr>
          <w:rFonts w:hint="eastAsia" w:ascii="仿宋" w:hAnsi="仿宋" w:eastAsia="仿宋" w:cs="仿宋"/>
          <w:sz w:val="30"/>
          <w:szCs w:val="30"/>
        </w:rPr>
        <w:t>本部门财政拨款（补助）支出预算</w:t>
      </w:r>
      <w:r>
        <w:rPr>
          <w:rFonts w:hint="eastAsia" w:ascii="仿宋" w:hAnsi="仿宋" w:eastAsia="仿宋" w:cs="仿宋"/>
          <w:color w:val="000000" w:themeColor="text1"/>
        </w:rPr>
        <w:t>7751.31</w:t>
      </w:r>
      <w:r>
        <w:rPr>
          <w:rFonts w:hint="eastAsia" w:ascii="仿宋" w:hAnsi="仿宋" w:eastAsia="仿宋" w:cs="仿宋"/>
          <w:color w:val="000000" w:themeColor="text1"/>
          <w:sz w:val="30"/>
          <w:szCs w:val="30"/>
        </w:rPr>
        <w:t>万元</w:t>
      </w:r>
      <w:r>
        <w:rPr>
          <w:rFonts w:hint="eastAsia" w:ascii="仿宋" w:hAnsi="仿宋" w:eastAsia="仿宋" w:cs="仿宋"/>
          <w:color w:val="000000" w:themeColor="text1"/>
        </w:rPr>
        <w:t>，</w:t>
      </w:r>
      <w:r>
        <w:rPr>
          <w:rFonts w:hint="eastAsia" w:ascii="仿宋" w:hAnsi="仿宋" w:eastAsia="仿宋" w:cs="仿宋"/>
          <w:sz w:val="30"/>
          <w:szCs w:val="30"/>
        </w:rPr>
        <w:t>占本年支出预算额的</w:t>
      </w:r>
      <w:r>
        <w:rPr>
          <w:rFonts w:hint="eastAsia" w:ascii="仿宋" w:hAnsi="仿宋" w:eastAsia="仿宋" w:cs="仿宋"/>
        </w:rPr>
        <w:t>71.47</w:t>
      </w:r>
      <w:r>
        <w:rPr>
          <w:rFonts w:hint="eastAsia" w:ascii="仿宋" w:hAnsi="仿宋" w:eastAsia="仿宋" w:cs="仿宋"/>
          <w:sz w:val="30"/>
          <w:szCs w:val="30"/>
        </w:rPr>
        <w:t>%,</w:t>
      </w:r>
      <w:r>
        <w:rPr>
          <w:rFonts w:hint="eastAsia" w:ascii="仿宋" w:hAnsi="仿宋" w:eastAsia="仿宋" w:cs="仿宋"/>
        </w:rPr>
        <w:t>较上年预算安排增加7049.36万元，增90.94</w:t>
      </w:r>
      <w:r>
        <w:rPr>
          <w:rFonts w:hint="eastAsia" w:ascii="仿宋" w:hAnsi="仿宋" w:eastAsia="仿宋" w:cs="仿宋"/>
          <w:lang w:val="en-US"/>
        </w:rPr>
        <w:t>%</w:t>
      </w:r>
      <w:r>
        <w:rPr>
          <w:rFonts w:hint="eastAsia" w:ascii="仿宋" w:hAnsi="仿宋" w:eastAsia="仿宋" w:cs="仿宋"/>
        </w:rPr>
        <w:t>。增减变化主要原因是：今年商务局转移过来的援企稳岗经费补助7000万元。具体为：</w:t>
      </w:r>
    </w:p>
    <w:p>
      <w:pPr>
        <w:ind w:firstLine="600" w:firstLineChars="200"/>
        <w:rPr>
          <w:rFonts w:ascii="仿宋" w:hAnsi="仿宋" w:eastAsia="仿宋" w:cs="仿宋"/>
          <w:sz w:val="24"/>
          <w:szCs w:val="24"/>
        </w:rPr>
      </w:pPr>
      <w:r>
        <w:rPr>
          <w:rFonts w:hint="eastAsia" w:ascii="仿宋" w:hAnsi="仿宋" w:eastAsia="仿宋" w:cs="仿宋"/>
          <w:sz w:val="30"/>
          <w:szCs w:val="30"/>
        </w:rPr>
        <w:t>按支出经济分类科目划分：基本支出</w:t>
      </w:r>
      <w:r>
        <w:rPr>
          <w:rFonts w:hint="eastAsia" w:ascii="仿宋" w:hAnsi="仿宋" w:eastAsia="仿宋" w:cs="仿宋"/>
          <w:sz w:val="32"/>
          <w:szCs w:val="32"/>
        </w:rPr>
        <w:t>533.35</w:t>
      </w:r>
      <w:r>
        <w:rPr>
          <w:rFonts w:hint="eastAsia" w:ascii="仿宋" w:hAnsi="仿宋" w:eastAsia="仿宋" w:cs="仿宋"/>
          <w:sz w:val="30"/>
          <w:szCs w:val="30"/>
        </w:rPr>
        <w:t>万元，</w:t>
      </w:r>
      <w:r>
        <w:rPr>
          <w:rFonts w:hint="eastAsia" w:ascii="仿宋" w:hAnsi="仿宋" w:eastAsia="仿宋" w:cs="仿宋"/>
          <w:sz w:val="32"/>
          <w:szCs w:val="32"/>
        </w:rPr>
        <w:t>较上年预算安排增加16.4万元，</w:t>
      </w:r>
      <w:r>
        <w:rPr>
          <w:rFonts w:hint="eastAsia" w:ascii="仿宋" w:hAnsi="仿宋" w:eastAsia="仿宋" w:cs="仿宋"/>
          <w:sz w:val="30"/>
          <w:szCs w:val="30"/>
        </w:rPr>
        <w:t>其中：工资福利支出466.77万元，商品和服务支出32.67万元，对个人和家庭的补助29.91万元，资本性支出4万元；项目支出</w:t>
      </w:r>
      <w:r>
        <w:rPr>
          <w:rFonts w:hint="eastAsia" w:ascii="仿宋" w:hAnsi="仿宋" w:eastAsia="仿宋" w:cs="仿宋"/>
          <w:sz w:val="32"/>
          <w:szCs w:val="32"/>
        </w:rPr>
        <w:t>7217.96</w:t>
      </w:r>
      <w:r>
        <w:rPr>
          <w:rFonts w:hint="eastAsia" w:ascii="仿宋" w:hAnsi="仿宋" w:eastAsia="仿宋" w:cs="仿宋"/>
          <w:sz w:val="30"/>
          <w:szCs w:val="30"/>
        </w:rPr>
        <w:t>万元，</w:t>
      </w:r>
      <w:r>
        <w:rPr>
          <w:rFonts w:hint="eastAsia" w:ascii="仿宋" w:hAnsi="仿宋" w:eastAsia="仿宋" w:cs="仿宋"/>
          <w:sz w:val="32"/>
          <w:szCs w:val="32"/>
        </w:rPr>
        <w:t>较上年预算安排增加7032.96万元，</w:t>
      </w:r>
      <w:r>
        <w:rPr>
          <w:rFonts w:hint="eastAsia" w:ascii="仿宋" w:hAnsi="仿宋" w:eastAsia="仿宋" w:cs="仿宋"/>
          <w:sz w:val="30"/>
          <w:szCs w:val="30"/>
        </w:rPr>
        <w:t>其他相关支出7217.96万元。</w:t>
      </w:r>
    </w:p>
    <w:p>
      <w:pPr>
        <w:spacing w:line="560" w:lineRule="exact"/>
        <w:ind w:firstLine="600" w:firstLineChars="200"/>
        <w:rPr>
          <w:rFonts w:ascii="仿宋" w:hAnsi="仿宋" w:eastAsia="仿宋" w:cs="仿宋"/>
          <w:sz w:val="24"/>
          <w:szCs w:val="24"/>
        </w:rPr>
      </w:pPr>
      <w:r>
        <w:rPr>
          <w:rFonts w:hint="eastAsia" w:ascii="仿宋" w:hAnsi="仿宋" w:eastAsia="仿宋" w:cs="仿宋"/>
          <w:sz w:val="30"/>
          <w:szCs w:val="30"/>
        </w:rPr>
        <w:t>按支出功能分类科目划分：</w:t>
      </w:r>
      <w:r>
        <w:rPr>
          <w:rFonts w:hint="eastAsia" w:ascii="仿宋" w:hAnsi="仿宋" w:eastAsia="仿宋" w:cs="仿宋"/>
          <w:sz w:val="32"/>
          <w:szCs w:val="32"/>
        </w:rPr>
        <w:t>社会保障和就业</w:t>
      </w:r>
      <w:r>
        <w:rPr>
          <w:rFonts w:hint="eastAsia" w:ascii="仿宋" w:hAnsi="仿宋" w:eastAsia="仿宋" w:cs="仿宋"/>
          <w:sz w:val="30"/>
          <w:szCs w:val="30"/>
        </w:rPr>
        <w:t>支出</w:t>
      </w:r>
      <w:r>
        <w:rPr>
          <w:rFonts w:hint="eastAsia" w:ascii="仿宋" w:hAnsi="仿宋" w:eastAsia="仿宋" w:cs="仿宋"/>
          <w:sz w:val="32"/>
          <w:szCs w:val="32"/>
        </w:rPr>
        <w:t>50.64</w:t>
      </w:r>
      <w:r>
        <w:rPr>
          <w:rFonts w:hint="eastAsia" w:ascii="仿宋" w:hAnsi="仿宋" w:eastAsia="仿宋" w:cs="仿宋"/>
          <w:sz w:val="30"/>
          <w:szCs w:val="30"/>
        </w:rPr>
        <w:t>万元，</w:t>
      </w:r>
      <w:r>
        <w:rPr>
          <w:rFonts w:hint="eastAsia" w:ascii="仿宋" w:hAnsi="仿宋" w:eastAsia="仿宋" w:cs="仿宋"/>
          <w:sz w:val="32"/>
          <w:szCs w:val="32"/>
        </w:rPr>
        <w:t>较上年预算安排增加3.13万元，</w:t>
      </w:r>
      <w:r>
        <w:rPr>
          <w:rFonts w:hint="eastAsia" w:ascii="仿宋" w:hAnsi="仿宋" w:eastAsia="仿宋" w:cs="仿宋"/>
          <w:sz w:val="30"/>
          <w:szCs w:val="30"/>
        </w:rPr>
        <w:t>其他</w:t>
      </w:r>
      <w:r>
        <w:rPr>
          <w:rFonts w:hint="eastAsia" w:ascii="仿宋" w:hAnsi="仿宋" w:eastAsia="仿宋" w:cs="仿宋"/>
          <w:sz w:val="32"/>
          <w:szCs w:val="32"/>
        </w:rPr>
        <w:t>社会保障和就业</w:t>
      </w:r>
      <w:r>
        <w:rPr>
          <w:rFonts w:hint="eastAsia" w:ascii="仿宋" w:hAnsi="仿宋" w:eastAsia="仿宋" w:cs="仿宋"/>
          <w:sz w:val="30"/>
          <w:szCs w:val="30"/>
        </w:rPr>
        <w:t>支出</w:t>
      </w:r>
      <w:r>
        <w:rPr>
          <w:rFonts w:hint="eastAsia" w:ascii="仿宋" w:hAnsi="仿宋" w:eastAsia="仿宋" w:cs="仿宋"/>
          <w:sz w:val="32"/>
          <w:szCs w:val="32"/>
        </w:rPr>
        <w:t>0.89</w:t>
      </w:r>
      <w:r>
        <w:rPr>
          <w:rFonts w:hint="eastAsia" w:ascii="仿宋" w:hAnsi="仿宋" w:eastAsia="仿宋" w:cs="仿宋"/>
          <w:sz w:val="30"/>
          <w:szCs w:val="30"/>
        </w:rPr>
        <w:t>万元，</w:t>
      </w:r>
      <w:r>
        <w:rPr>
          <w:rFonts w:hint="eastAsia" w:ascii="仿宋" w:hAnsi="仿宋" w:eastAsia="仿宋" w:cs="仿宋"/>
          <w:sz w:val="32"/>
          <w:szCs w:val="32"/>
        </w:rPr>
        <w:t>较上年预算安排增加0.89万元，卫生健康</w:t>
      </w:r>
      <w:r>
        <w:rPr>
          <w:rFonts w:hint="eastAsia" w:ascii="仿宋" w:hAnsi="仿宋" w:eastAsia="仿宋" w:cs="仿宋"/>
          <w:sz w:val="30"/>
          <w:szCs w:val="30"/>
        </w:rPr>
        <w:t>支出</w:t>
      </w:r>
      <w:r>
        <w:rPr>
          <w:rFonts w:hint="eastAsia" w:ascii="仿宋" w:hAnsi="仿宋" w:eastAsia="仿宋" w:cs="仿宋"/>
          <w:sz w:val="32"/>
          <w:szCs w:val="32"/>
        </w:rPr>
        <w:t>122.43</w:t>
      </w:r>
      <w:r>
        <w:rPr>
          <w:rFonts w:hint="eastAsia" w:ascii="仿宋" w:hAnsi="仿宋" w:eastAsia="仿宋" w:cs="仿宋"/>
          <w:sz w:val="30"/>
          <w:szCs w:val="30"/>
        </w:rPr>
        <w:t>万元，</w:t>
      </w:r>
      <w:r>
        <w:rPr>
          <w:rFonts w:hint="eastAsia" w:ascii="仿宋" w:hAnsi="仿宋" w:eastAsia="仿宋" w:cs="仿宋"/>
          <w:sz w:val="32"/>
          <w:szCs w:val="32"/>
        </w:rPr>
        <w:t>较上年预算安排增加10.06万元，行政运行支出411.4万元，较上年预算安排增加110.1万元；住房保障</w:t>
      </w:r>
      <w:r>
        <w:rPr>
          <w:rFonts w:hint="eastAsia" w:ascii="仿宋" w:hAnsi="仿宋" w:eastAsia="仿宋" w:cs="仿宋"/>
          <w:sz w:val="30"/>
          <w:szCs w:val="30"/>
        </w:rPr>
        <w:t>支出</w:t>
      </w:r>
      <w:r>
        <w:rPr>
          <w:rFonts w:hint="eastAsia" w:ascii="仿宋" w:hAnsi="仿宋" w:eastAsia="仿宋" w:cs="仿宋"/>
          <w:sz w:val="32"/>
          <w:szCs w:val="32"/>
        </w:rPr>
        <w:t>42.51</w:t>
      </w:r>
      <w:r>
        <w:rPr>
          <w:rFonts w:hint="eastAsia" w:ascii="仿宋" w:hAnsi="仿宋" w:eastAsia="仿宋" w:cs="仿宋"/>
          <w:sz w:val="30"/>
          <w:szCs w:val="30"/>
        </w:rPr>
        <w:t>万元，</w:t>
      </w:r>
      <w:r>
        <w:rPr>
          <w:rFonts w:hint="eastAsia" w:ascii="仿宋" w:hAnsi="仿宋" w:eastAsia="仿宋" w:cs="仿宋"/>
          <w:sz w:val="32"/>
          <w:szCs w:val="32"/>
        </w:rPr>
        <w:t>较上年预算安排增加0.96万元，其他支出10217.96万元，较上年预算安排增加10032.96万元。</w:t>
      </w:r>
    </w:p>
    <w:p>
      <w:pPr>
        <w:spacing w:line="560" w:lineRule="exact"/>
        <w:ind w:firstLine="480" w:firstLineChars="200"/>
        <w:rPr>
          <w:rFonts w:ascii="仿宋" w:hAnsi="仿宋" w:eastAsia="仿宋" w:cs="仿宋"/>
          <w:sz w:val="24"/>
          <w:szCs w:val="24"/>
          <w:highlight w:val="yellow"/>
        </w:rPr>
      </w:pP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ascii="仿宋" w:hAnsi="仿宋" w:eastAsia="仿宋" w:cs="仿宋"/>
          <w:sz w:val="24"/>
          <w:szCs w:val="24"/>
        </w:rPr>
      </w:pPr>
      <w:r>
        <w:rPr>
          <w:rFonts w:hint="eastAsia" w:ascii="仿宋" w:hAnsi="仿宋" w:eastAsia="仿宋" w:cs="仿宋"/>
          <w:sz w:val="32"/>
          <w:szCs w:val="32"/>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2023年部门机关运行费预算28.8万元，比2022年(上一年度）预算减少0.8万元，下降2.78％，减少0.8万元的原因是在编在岗人员由36人减少为35人。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2023年部门所属各单位政府采购总额4万元，其中：政府采购货物预算4万元、政府采购工程预算0万元、政府采购服务预算0万元。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截至2022年12月31日部门共有车辆0辆，其中：一般公务用车0辆、执法执勤用车0辆。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2023年本部门预算安排购置车辆辆，安排购置单位价值200万元以上大型设备具体为：0。</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2023年实行绩效目标管理的项目12个，涉及资金10217.96万元。</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其中：业务费</w:t>
      </w:r>
    </w:p>
    <w:p>
      <w:pPr>
        <w:ind w:firstLine="640" w:firstLineChars="200"/>
        <w:rPr>
          <w:rFonts w:ascii="仿宋" w:hAnsi="仿宋" w:eastAsia="仿宋" w:cs="仿宋"/>
          <w:sz w:val="32"/>
          <w:szCs w:val="32"/>
        </w:rPr>
      </w:pPr>
      <w:r>
        <w:rPr>
          <w:rFonts w:hint="eastAsia" w:ascii="仿宋" w:hAnsi="仿宋" w:eastAsia="仿宋" w:cs="仿宋"/>
          <w:sz w:val="32"/>
          <w:szCs w:val="32"/>
        </w:rPr>
        <w:t>1.项目概述：</w:t>
      </w:r>
      <w:r>
        <w:rPr>
          <w:rFonts w:hint="eastAsia" w:ascii="宋体" w:hAnsi="宋体" w:cs="宋体"/>
          <w:kern w:val="0"/>
          <w:sz w:val="32"/>
          <w:szCs w:val="32"/>
        </w:rPr>
        <w:t>工信局43人日常企业及脱贫户帮扶等费用。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2.立项依据：历年安排。</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3.实施主体：</w:t>
      </w:r>
      <w:r>
        <w:rPr>
          <w:rFonts w:ascii="仿宋" w:hAnsi="仿宋" w:eastAsia="仿宋" w:cs="仿宋"/>
          <w:sz w:val="32"/>
          <w:szCs w:val="32"/>
        </w:rPr>
        <w:t>兴国县工业和信息化局</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4.实施周期：2023年一年。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5.年度预算安排：40万元。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6.年度绩效目标：40万元。</w:t>
      </w:r>
    </w:p>
    <w:p>
      <w:pPr>
        <w:pStyle w:val="2"/>
        <w:ind w:firstLine="800" w:firstLineChars="250"/>
        <w:rPr>
          <w:b/>
          <w:lang w:val="en-US" w:bidi="ar-SA"/>
        </w:rPr>
      </w:pPr>
      <w:r>
        <w:rPr>
          <w:rFonts w:hint="eastAsia"/>
          <w:lang w:val="en-US" w:bidi="ar-SA"/>
        </w:rPr>
        <w:t>（</w:t>
      </w:r>
      <w:r>
        <w:rPr>
          <w:rFonts w:hint="eastAsia"/>
          <w:b/>
          <w:lang w:val="en-US" w:bidi="ar-SA"/>
        </w:rPr>
        <w:t>九）国有资本经营情况</w:t>
      </w:r>
    </w:p>
    <w:p>
      <w:pPr>
        <w:pStyle w:val="2"/>
        <w:ind w:firstLine="800" w:firstLineChars="250"/>
        <w:rPr>
          <w:lang w:val="en-US" w:bidi="ar-SA"/>
        </w:rPr>
      </w:pPr>
      <w:r>
        <w:rPr>
          <w:rFonts w:hint="eastAsia"/>
          <w:lang w:val="en-US" w:bidi="ar-SA"/>
        </w:rPr>
        <w:t>无使用国有资本经营预算拨款安排的支出。</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二、2023年“三公”经费预算情况说明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w:t>
      </w:r>
      <w:r>
        <w:rPr>
          <w:rFonts w:ascii="仿宋" w:hAnsi="仿宋" w:eastAsia="仿宋" w:cs="仿宋"/>
          <w:sz w:val="32"/>
          <w:szCs w:val="32"/>
        </w:rPr>
        <w:t>兴国县工业和信息化局</w:t>
      </w:r>
      <w:r>
        <w:rPr>
          <w:rFonts w:hint="eastAsia" w:ascii="仿宋" w:hAnsi="仿宋" w:eastAsia="仿宋" w:cs="仿宋"/>
          <w:sz w:val="32"/>
          <w:szCs w:val="32"/>
        </w:rPr>
        <w:t>部门“三公”经费一般公共预算安排4.75万元。其中：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因公出国（境）费0万元，比上年增（减）0万元，主</w:t>
      </w:r>
    </w:p>
    <w:p>
      <w:pPr>
        <w:spacing w:line="560" w:lineRule="exact"/>
        <w:rPr>
          <w:rFonts w:ascii="仿宋" w:hAnsi="仿宋" w:eastAsia="仿宋" w:cs="仿宋"/>
          <w:sz w:val="32"/>
          <w:szCs w:val="32"/>
        </w:rPr>
      </w:pPr>
      <w:r>
        <w:rPr>
          <w:rFonts w:hint="eastAsia" w:ascii="仿宋" w:hAnsi="仿宋" w:eastAsia="仿宋" w:cs="仿宋"/>
          <w:sz w:val="32"/>
          <w:szCs w:val="32"/>
        </w:rPr>
        <w:t>要原因是：无此类业务。</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公务接待费4.75万元，比上年减少0.25万元，主要原因</w:t>
      </w:r>
    </w:p>
    <w:p>
      <w:pPr>
        <w:spacing w:line="560" w:lineRule="exact"/>
        <w:rPr>
          <w:rFonts w:ascii="仿宋" w:hAnsi="仿宋" w:eastAsia="仿宋" w:cs="仿宋"/>
          <w:sz w:val="32"/>
          <w:szCs w:val="32"/>
        </w:rPr>
      </w:pPr>
      <w:r>
        <w:rPr>
          <w:rFonts w:hint="eastAsia" w:ascii="仿宋" w:hAnsi="仿宋" w:eastAsia="仿宋" w:cs="仿宋"/>
          <w:sz w:val="32"/>
          <w:szCs w:val="32"/>
        </w:rPr>
        <w:t>是：控制不必要的公务接待。</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公务用车运行维护费0万元，比上年增（减）0万元，</w:t>
      </w:r>
    </w:p>
    <w:p>
      <w:pPr>
        <w:spacing w:line="560" w:lineRule="exact"/>
        <w:rPr>
          <w:rFonts w:ascii="仿宋" w:hAnsi="仿宋" w:eastAsia="仿宋" w:cs="仿宋"/>
          <w:sz w:val="32"/>
          <w:szCs w:val="32"/>
        </w:rPr>
      </w:pPr>
      <w:r>
        <w:rPr>
          <w:rFonts w:hint="eastAsia" w:ascii="仿宋" w:hAnsi="仿宋" w:eastAsia="仿宋" w:cs="仿宋"/>
          <w:sz w:val="32"/>
          <w:szCs w:val="32"/>
        </w:rPr>
        <w:t>主要原因是：无此类业务。</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公务用车购置费0万元，比上年增（减）0万元，主要</w:t>
      </w:r>
    </w:p>
    <w:p>
      <w:pPr>
        <w:spacing w:line="560" w:lineRule="exact"/>
        <w:rPr>
          <w:rFonts w:ascii="仿宋" w:hAnsi="仿宋" w:eastAsia="仿宋" w:cs="仿宋"/>
          <w:sz w:val="32"/>
          <w:szCs w:val="32"/>
        </w:rPr>
      </w:pPr>
      <w:r>
        <w:rPr>
          <w:rFonts w:hint="eastAsia" w:ascii="仿宋" w:hAnsi="仿宋" w:eastAsia="仿宋" w:cs="仿宋"/>
          <w:sz w:val="32"/>
          <w:szCs w:val="32"/>
        </w:rPr>
        <w:t>原因是：无此类业务。</w:t>
      </w:r>
    </w:p>
    <w:p>
      <w:pPr>
        <w:pStyle w:val="2"/>
        <w:rPr>
          <w:lang w:val="en-US" w:bidi="ar-SA"/>
        </w:rPr>
      </w:pPr>
    </w:p>
    <w:p>
      <w:pPr>
        <w:pStyle w:val="2"/>
        <w:rPr>
          <w:lang w:val="en-US" w:bidi="ar-SA"/>
        </w:rPr>
      </w:pPr>
    </w:p>
    <w:p>
      <w:pPr>
        <w:pStyle w:val="2"/>
        <w:rPr>
          <w:rFonts w:hint="eastAsia"/>
          <w:lang w:val="en-US" w:bidi="ar-SA"/>
        </w:rPr>
      </w:pPr>
    </w:p>
    <w:p>
      <w:pPr>
        <w:pStyle w:val="2"/>
        <w:rPr>
          <w:rFonts w:hint="eastAsia"/>
          <w:lang w:val="en-US" w:bidi="ar-SA"/>
        </w:rPr>
      </w:pPr>
    </w:p>
    <w:p>
      <w:pPr>
        <w:pStyle w:val="2"/>
        <w:rPr>
          <w:rFonts w:hint="eastAsia"/>
          <w:lang w:val="en-US" w:bidi="ar-SA"/>
        </w:rPr>
      </w:pPr>
    </w:p>
    <w:p>
      <w:pPr>
        <w:pStyle w:val="2"/>
        <w:rPr>
          <w:lang w:val="en-US" w:bidi="ar-SA"/>
        </w:rPr>
      </w:pPr>
    </w:p>
    <w:p>
      <w:pPr>
        <w:pStyle w:val="2"/>
        <w:rPr>
          <w:lang w:val="en-US" w:bidi="ar-SA"/>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第三部分 兴国县工业和信息化局2023年部门预算表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tbl>
      <w:tblPr>
        <w:tblStyle w:val="6"/>
        <w:tblW w:w="8336" w:type="dxa"/>
        <w:tblInd w:w="93" w:type="dxa"/>
        <w:tblLayout w:type="autofit"/>
        <w:tblCellMar>
          <w:top w:w="0" w:type="dxa"/>
          <w:left w:w="108" w:type="dxa"/>
          <w:bottom w:w="0" w:type="dxa"/>
          <w:right w:w="108" w:type="dxa"/>
        </w:tblCellMar>
      </w:tblPr>
      <w:tblGrid>
        <w:gridCol w:w="1657"/>
        <w:gridCol w:w="978"/>
        <w:gridCol w:w="1764"/>
        <w:gridCol w:w="978"/>
        <w:gridCol w:w="1981"/>
        <w:gridCol w:w="978"/>
      </w:tblGrid>
      <w:tr>
        <w:tblPrEx>
          <w:tblCellMar>
            <w:top w:w="0" w:type="dxa"/>
            <w:left w:w="108" w:type="dxa"/>
            <w:bottom w:w="0" w:type="dxa"/>
            <w:right w:w="108" w:type="dxa"/>
          </w:tblCellMar>
        </w:tblPrEx>
        <w:trPr>
          <w:trHeight w:val="312" w:hRule="atLeast"/>
        </w:trPr>
        <w:tc>
          <w:tcPr>
            <w:tcW w:w="1657" w:type="dxa"/>
            <w:tcBorders>
              <w:top w:val="single" w:color="auto" w:sz="4" w:space="0"/>
              <w:left w:val="single" w:color="auto" w:sz="4" w:space="0"/>
              <w:bottom w:val="nil"/>
              <w:right w:val="nil"/>
            </w:tcBorders>
            <w:shd w:val="clear" w:color="auto" w:fill="auto"/>
            <w:noWrap/>
            <w:vAlign w:val="bottom"/>
          </w:tcPr>
          <w:p>
            <w:pPr>
              <w:widowControl/>
              <w:jc w:val="left"/>
              <w:rPr>
                <w:rFonts w:ascii="宋体" w:hAnsi="宋体" w:cs="宋体"/>
                <w:kern w:val="0"/>
                <w:sz w:val="12"/>
                <w:szCs w:val="12"/>
              </w:rPr>
            </w:pPr>
          </w:p>
        </w:tc>
        <w:tc>
          <w:tcPr>
            <w:tcW w:w="978" w:type="dxa"/>
            <w:tcBorders>
              <w:top w:val="single" w:color="auto" w:sz="4" w:space="0"/>
              <w:left w:val="nil"/>
              <w:bottom w:val="nil"/>
              <w:right w:val="nil"/>
            </w:tcBorders>
            <w:shd w:val="clear" w:color="auto" w:fill="auto"/>
            <w:noWrap/>
            <w:vAlign w:val="bottom"/>
          </w:tcPr>
          <w:p>
            <w:pPr>
              <w:widowControl/>
              <w:jc w:val="left"/>
              <w:rPr>
                <w:rFonts w:ascii="宋体" w:hAnsi="宋体" w:cs="宋体"/>
                <w:kern w:val="0"/>
                <w:sz w:val="12"/>
                <w:szCs w:val="12"/>
              </w:rPr>
            </w:pPr>
          </w:p>
        </w:tc>
        <w:tc>
          <w:tcPr>
            <w:tcW w:w="1764" w:type="dxa"/>
            <w:tcBorders>
              <w:top w:val="single" w:color="auto" w:sz="4" w:space="0"/>
              <w:left w:val="nil"/>
              <w:bottom w:val="nil"/>
              <w:right w:val="nil"/>
            </w:tcBorders>
            <w:shd w:val="clear" w:color="auto" w:fill="auto"/>
            <w:noWrap/>
            <w:vAlign w:val="bottom"/>
          </w:tcPr>
          <w:p>
            <w:pPr>
              <w:widowControl/>
              <w:jc w:val="left"/>
              <w:rPr>
                <w:rFonts w:ascii="宋体" w:hAnsi="宋体" w:cs="宋体"/>
                <w:kern w:val="0"/>
                <w:sz w:val="12"/>
                <w:szCs w:val="12"/>
              </w:rPr>
            </w:pPr>
          </w:p>
        </w:tc>
        <w:tc>
          <w:tcPr>
            <w:tcW w:w="978" w:type="dxa"/>
            <w:tcBorders>
              <w:top w:val="single" w:color="auto" w:sz="4" w:space="0"/>
              <w:left w:val="nil"/>
              <w:bottom w:val="nil"/>
              <w:right w:val="nil"/>
            </w:tcBorders>
            <w:shd w:val="clear" w:color="auto" w:fill="auto"/>
            <w:noWrap/>
            <w:vAlign w:val="bottom"/>
          </w:tcPr>
          <w:p>
            <w:pPr>
              <w:widowControl/>
              <w:jc w:val="left"/>
              <w:rPr>
                <w:rFonts w:ascii="宋体" w:hAnsi="宋体" w:cs="宋体"/>
                <w:kern w:val="0"/>
                <w:sz w:val="12"/>
                <w:szCs w:val="12"/>
              </w:rPr>
            </w:pPr>
          </w:p>
        </w:tc>
        <w:tc>
          <w:tcPr>
            <w:tcW w:w="1981" w:type="dxa"/>
            <w:tcBorders>
              <w:top w:val="single" w:color="auto" w:sz="4" w:space="0"/>
              <w:left w:val="nil"/>
              <w:bottom w:val="nil"/>
              <w:right w:val="nil"/>
            </w:tcBorders>
            <w:shd w:val="clear" w:color="auto" w:fill="auto"/>
            <w:noWrap/>
            <w:vAlign w:val="bottom"/>
          </w:tcPr>
          <w:p>
            <w:pPr>
              <w:widowControl/>
              <w:jc w:val="left"/>
              <w:rPr>
                <w:rFonts w:ascii="宋体" w:hAnsi="宋体" w:cs="宋体"/>
                <w:kern w:val="0"/>
                <w:sz w:val="12"/>
                <w:szCs w:val="12"/>
              </w:rPr>
            </w:pPr>
          </w:p>
        </w:tc>
        <w:tc>
          <w:tcPr>
            <w:tcW w:w="978" w:type="dxa"/>
            <w:tcBorders>
              <w:top w:val="single" w:color="auto" w:sz="4" w:space="0"/>
              <w:left w:val="nil"/>
              <w:bottom w:val="nil"/>
              <w:right w:val="single" w:color="auto"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预算01表</w:t>
            </w:r>
          </w:p>
        </w:tc>
      </w:tr>
      <w:tr>
        <w:tblPrEx>
          <w:tblCellMar>
            <w:top w:w="0" w:type="dxa"/>
            <w:left w:w="108" w:type="dxa"/>
            <w:bottom w:w="0" w:type="dxa"/>
            <w:right w:w="108" w:type="dxa"/>
          </w:tblCellMar>
        </w:tblPrEx>
        <w:trPr>
          <w:trHeight w:val="302" w:hRule="atLeast"/>
        </w:trPr>
        <w:tc>
          <w:tcPr>
            <w:tcW w:w="8336" w:type="dxa"/>
            <w:gridSpan w:val="6"/>
            <w:tcBorders>
              <w:top w:val="nil"/>
              <w:left w:val="single" w:color="auto" w:sz="4" w:space="0"/>
              <w:bottom w:val="nil"/>
              <w:right w:val="single" w:color="auto" w:sz="4" w:space="0"/>
            </w:tcBorders>
            <w:shd w:val="clear" w:color="auto" w:fill="auto"/>
            <w:noWrap/>
            <w:vAlign w:val="center"/>
          </w:tcPr>
          <w:p>
            <w:pPr>
              <w:widowControl/>
              <w:jc w:val="center"/>
              <w:rPr>
                <w:rFonts w:ascii="Arial" w:hAnsi="Arial" w:cs="Arial"/>
                <w:kern w:val="0"/>
                <w:sz w:val="12"/>
                <w:szCs w:val="12"/>
              </w:rPr>
            </w:pPr>
            <w:r>
              <w:rPr>
                <w:rFonts w:ascii="Arial" w:hAnsi="Arial" w:cs="Arial"/>
                <w:kern w:val="0"/>
                <w:sz w:val="12"/>
                <w:szCs w:val="12"/>
              </w:rPr>
              <w:t>收支预算总表</w:t>
            </w:r>
          </w:p>
        </w:tc>
      </w:tr>
      <w:tr>
        <w:tblPrEx>
          <w:tblCellMar>
            <w:top w:w="0" w:type="dxa"/>
            <w:left w:w="108" w:type="dxa"/>
            <w:bottom w:w="0" w:type="dxa"/>
            <w:right w:w="108" w:type="dxa"/>
          </w:tblCellMar>
        </w:tblPrEx>
        <w:trPr>
          <w:trHeight w:val="302" w:hRule="atLeast"/>
        </w:trPr>
        <w:tc>
          <w:tcPr>
            <w:tcW w:w="5377" w:type="dxa"/>
            <w:gridSpan w:val="4"/>
            <w:tcBorders>
              <w:top w:val="nil"/>
              <w:left w:val="single" w:color="auto" w:sz="4" w:space="0"/>
              <w:bottom w:val="single" w:color="auto" w:sz="4" w:space="0"/>
              <w:right w:val="nil"/>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填报单位:[306]兴国县工业和信息化局 , [306001]兴国县工业和信息化局</w:t>
            </w:r>
          </w:p>
        </w:tc>
        <w:tc>
          <w:tcPr>
            <w:tcW w:w="1981" w:type="dxa"/>
            <w:tcBorders>
              <w:top w:val="nil"/>
              <w:left w:val="nil"/>
              <w:bottom w:val="single" w:color="auto" w:sz="4" w:space="0"/>
              <w:right w:val="nil"/>
            </w:tcBorders>
            <w:shd w:val="clear" w:color="auto" w:fill="auto"/>
            <w:noWrap/>
            <w:vAlign w:val="bottom"/>
          </w:tcPr>
          <w:p>
            <w:pPr>
              <w:widowControl/>
              <w:jc w:val="left"/>
              <w:rPr>
                <w:rFonts w:ascii="Calibri" w:hAnsi="Calibri" w:cs="宋体"/>
                <w:kern w:val="0"/>
                <w:sz w:val="12"/>
                <w:szCs w:val="12"/>
              </w:rPr>
            </w:pPr>
          </w:p>
        </w:tc>
        <w:tc>
          <w:tcPr>
            <w:tcW w:w="9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单位：万元</w:t>
            </w:r>
          </w:p>
        </w:tc>
      </w:tr>
      <w:tr>
        <w:tblPrEx>
          <w:tblCellMar>
            <w:top w:w="0" w:type="dxa"/>
            <w:left w:w="108" w:type="dxa"/>
            <w:bottom w:w="0" w:type="dxa"/>
            <w:right w:w="108" w:type="dxa"/>
          </w:tblCellMar>
        </w:tblPrEx>
        <w:trPr>
          <w:trHeight w:val="312" w:hRule="atLeast"/>
        </w:trPr>
        <w:tc>
          <w:tcPr>
            <w:tcW w:w="2635" w:type="dxa"/>
            <w:gridSpan w:val="2"/>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kern w:val="0"/>
                <w:sz w:val="12"/>
                <w:szCs w:val="12"/>
              </w:rPr>
            </w:pPr>
            <w:r>
              <w:rPr>
                <w:rFonts w:hint="eastAsia" w:ascii="宋体" w:hAnsi="宋体" w:cs="宋体"/>
                <w:kern w:val="0"/>
                <w:sz w:val="12"/>
                <w:szCs w:val="12"/>
              </w:rPr>
              <w:t>收      入</w:t>
            </w:r>
          </w:p>
        </w:tc>
        <w:tc>
          <w:tcPr>
            <w:tcW w:w="5701" w:type="dxa"/>
            <w:gridSpan w:val="4"/>
            <w:tcBorders>
              <w:top w:val="single" w:color="auto" w:sz="4" w:space="0"/>
              <w:left w:val="nil"/>
              <w:bottom w:val="single" w:color="000000" w:sz="4" w:space="0"/>
              <w:right w:val="single" w:color="000000" w:sz="4" w:space="0"/>
            </w:tcBorders>
            <w:shd w:val="clear" w:color="auto" w:fill="auto"/>
            <w:noWrap/>
            <w:vAlign w:val="center"/>
          </w:tcPr>
          <w:p>
            <w:pPr>
              <w:widowControl/>
              <w:jc w:val="center"/>
              <w:rPr>
                <w:rFonts w:ascii="宋体" w:hAnsi="宋体" w:cs="宋体"/>
                <w:kern w:val="0"/>
                <w:sz w:val="12"/>
                <w:szCs w:val="12"/>
              </w:rPr>
            </w:pPr>
            <w:r>
              <w:rPr>
                <w:rFonts w:hint="eastAsia" w:ascii="宋体" w:hAnsi="宋体" w:cs="宋体"/>
                <w:kern w:val="0"/>
                <w:sz w:val="12"/>
                <w:szCs w:val="12"/>
              </w:rPr>
              <w:t>支          出</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kern w:val="0"/>
                <w:sz w:val="12"/>
                <w:szCs w:val="12"/>
              </w:rPr>
            </w:pPr>
            <w:r>
              <w:rPr>
                <w:rFonts w:hint="eastAsia" w:ascii="宋体" w:hAnsi="宋体" w:cs="宋体"/>
                <w:kern w:val="0"/>
                <w:sz w:val="12"/>
                <w:szCs w:val="12"/>
              </w:rPr>
              <w:t>项目</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kern w:val="0"/>
                <w:sz w:val="12"/>
                <w:szCs w:val="12"/>
              </w:rPr>
            </w:pPr>
            <w:r>
              <w:rPr>
                <w:rFonts w:hint="eastAsia" w:ascii="宋体" w:hAnsi="宋体" w:cs="宋体"/>
                <w:kern w:val="0"/>
                <w:sz w:val="12"/>
                <w:szCs w:val="12"/>
              </w:rPr>
              <w:t>预算数</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kern w:val="0"/>
                <w:sz w:val="12"/>
                <w:szCs w:val="12"/>
              </w:rPr>
            </w:pPr>
            <w:r>
              <w:rPr>
                <w:rFonts w:hint="eastAsia" w:ascii="宋体" w:hAnsi="宋体" w:cs="宋体"/>
                <w:kern w:val="0"/>
                <w:sz w:val="12"/>
                <w:szCs w:val="12"/>
              </w:rPr>
              <w:t>按支出经济分类（款级）</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kern w:val="0"/>
                <w:sz w:val="12"/>
                <w:szCs w:val="12"/>
              </w:rPr>
            </w:pPr>
            <w:r>
              <w:rPr>
                <w:rFonts w:hint="eastAsia" w:ascii="宋体" w:hAnsi="宋体" w:cs="宋体"/>
                <w:kern w:val="0"/>
                <w:sz w:val="12"/>
                <w:szCs w:val="12"/>
              </w:rPr>
              <w:t>预算数</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kern w:val="0"/>
                <w:sz w:val="12"/>
                <w:szCs w:val="12"/>
              </w:rPr>
            </w:pPr>
            <w:r>
              <w:rPr>
                <w:rFonts w:hint="eastAsia" w:ascii="宋体" w:hAnsi="宋体" w:cs="宋体"/>
                <w:kern w:val="0"/>
                <w:sz w:val="12"/>
                <w:szCs w:val="12"/>
              </w:rPr>
              <w:t>按支出功能科目（项级）</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kern w:val="0"/>
                <w:sz w:val="12"/>
                <w:szCs w:val="12"/>
              </w:rPr>
            </w:pPr>
            <w:r>
              <w:rPr>
                <w:rFonts w:hint="eastAsia" w:ascii="宋体" w:hAnsi="宋体" w:cs="宋体"/>
                <w:kern w:val="0"/>
                <w:sz w:val="12"/>
                <w:szCs w:val="12"/>
              </w:rPr>
              <w:t>预算数</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一、财政拨款收入</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7751.31</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人员类</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590.31</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社会保障和就业支出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50.64</w:t>
            </w:r>
          </w:p>
        </w:tc>
      </w:tr>
      <w:tr>
        <w:tblPrEx>
          <w:tblCellMar>
            <w:top w:w="0" w:type="dxa"/>
            <w:left w:w="108" w:type="dxa"/>
            <w:bottom w:w="0" w:type="dxa"/>
            <w:right w:w="108" w:type="dxa"/>
          </w:tblCellMar>
        </w:tblPrEx>
        <w:trPr>
          <w:trHeight w:val="614" w:hRule="atLeast"/>
        </w:trPr>
        <w:tc>
          <w:tcPr>
            <w:tcW w:w="165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xml:space="preserve">    （一）一般公共预算收入</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7751.31</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工资福利支出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560.40</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行政事业单位养老支出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49.76</w:t>
            </w:r>
          </w:p>
        </w:tc>
      </w:tr>
      <w:tr>
        <w:tblPrEx>
          <w:tblCellMar>
            <w:top w:w="0" w:type="dxa"/>
            <w:left w:w="108" w:type="dxa"/>
            <w:bottom w:w="0" w:type="dxa"/>
            <w:right w:w="108" w:type="dxa"/>
          </w:tblCellMar>
        </w:tblPrEx>
        <w:trPr>
          <w:trHeight w:val="614" w:hRule="atLeast"/>
        </w:trPr>
        <w:tc>
          <w:tcPr>
            <w:tcW w:w="165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xml:space="preserve">    （二）政府性基金预算收入</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基本工资</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149.90</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机关事业单位基本养老保险缴费支出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49.76</w:t>
            </w:r>
          </w:p>
        </w:tc>
      </w:tr>
      <w:tr>
        <w:tblPrEx>
          <w:tblCellMar>
            <w:top w:w="0" w:type="dxa"/>
            <w:left w:w="108" w:type="dxa"/>
            <w:bottom w:w="0" w:type="dxa"/>
            <w:right w:w="108" w:type="dxa"/>
          </w:tblCellMar>
        </w:tblPrEx>
        <w:trPr>
          <w:trHeight w:val="614" w:hRule="atLeast"/>
        </w:trPr>
        <w:tc>
          <w:tcPr>
            <w:tcW w:w="165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xml:space="preserve">    （三）国有资本经营预算收入</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津贴补贴</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70.19</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其他社会保障和就业支出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0.89</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二、教育收费资金收入</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奖金</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12.49</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其他社会保障和就业支出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0.89</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三、事业收入</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伙食补助费</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11.40</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卫生健康支出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122.43</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四、事业单位经营收入</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绩效工资</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93.63</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行政事业单位医疗</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122.43</w:t>
            </w:r>
          </w:p>
        </w:tc>
      </w:tr>
      <w:tr>
        <w:tblPrEx>
          <w:tblCellMar>
            <w:top w:w="0" w:type="dxa"/>
            <w:left w:w="108" w:type="dxa"/>
            <w:bottom w:w="0" w:type="dxa"/>
            <w:right w:w="108" w:type="dxa"/>
          </w:tblCellMar>
        </w:tblPrEx>
        <w:trPr>
          <w:trHeight w:val="614" w:hRule="atLeast"/>
        </w:trPr>
        <w:tc>
          <w:tcPr>
            <w:tcW w:w="165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五、附属单位上缴收入</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机关事业单位基本养老保险缴费</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49.76</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行政单位医疗</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62.16</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六、上级补助收入</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职工基本医疗保险缴费</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62.16</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公务员医疗补助</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60.26</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七、其他收入</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3093.63</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公务员医疗补助缴费</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60.26</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资源勘探工业信息等支出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411.40</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其他社会保障缴费</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0.89</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支持中小企业发展和管理支出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411.40</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住房公积金</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42.51</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行政运行</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411.40</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其他工资福利支出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7.20</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住房保障支出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42.51</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对个人和家庭的补助</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29.91</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住房改革支出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42.51</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离休费</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12.22</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住房公积金</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42.51</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生活补助</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15.29</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其他支出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10217.96</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奖励金</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2.40</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其他支出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10217.96</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公用经费</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36.67</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其他支出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10217.96</w:t>
            </w: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商品和服务支出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32.67</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c>
          <w:tcPr>
            <w:tcW w:w="9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办公费</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20.05</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c>
          <w:tcPr>
            <w:tcW w:w="9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公务接待费</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4.75</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c>
          <w:tcPr>
            <w:tcW w:w="9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福利费</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0.86</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c>
          <w:tcPr>
            <w:tcW w:w="9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其他交通费用</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7.01</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c>
          <w:tcPr>
            <w:tcW w:w="9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资本性支出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4.00</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c>
          <w:tcPr>
            <w:tcW w:w="9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办公设备购置</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4.00</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c>
          <w:tcPr>
            <w:tcW w:w="9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其他运转类</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3173.56</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c>
          <w:tcPr>
            <w:tcW w:w="9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其他支出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3173.56</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c>
          <w:tcPr>
            <w:tcW w:w="9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其他支出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3173.56</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c>
          <w:tcPr>
            <w:tcW w:w="9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特定目标类</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7044.40</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c>
          <w:tcPr>
            <w:tcW w:w="9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其他支出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7044.40</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c>
          <w:tcPr>
            <w:tcW w:w="9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r>
      <w:tr>
        <w:tblPrEx>
          <w:tblCellMar>
            <w:top w:w="0" w:type="dxa"/>
            <w:left w:w="108" w:type="dxa"/>
            <w:bottom w:w="0" w:type="dxa"/>
            <w:right w:w="108" w:type="dxa"/>
          </w:tblCellMar>
        </w:tblPrEx>
        <w:trPr>
          <w:trHeight w:val="312" w:hRule="atLeast"/>
        </w:trPr>
        <w:tc>
          <w:tcPr>
            <w:tcW w:w="1657" w:type="dxa"/>
            <w:tcBorders>
              <w:top w:val="nil"/>
              <w:left w:val="single" w:color="000000" w:sz="4" w:space="0"/>
              <w:bottom w:val="single" w:color="000000" w:sz="4" w:space="0"/>
              <w:right w:val="single" w:color="000000" w:sz="4" w:space="0"/>
            </w:tcBorders>
            <w:shd w:val="clear" w:color="auto" w:fill="auto"/>
            <w:noWrap/>
            <w:vAlign w:val="bottom"/>
          </w:tcPr>
          <w:p>
            <w:pPr>
              <w:widowControl/>
              <w:jc w:val="left"/>
              <w:rPr>
                <w:rFonts w:ascii="宋体" w:hAnsi="宋体" w:cs="宋体"/>
                <w:kern w:val="0"/>
                <w:sz w:val="12"/>
                <w:szCs w:val="12"/>
              </w:rPr>
            </w:pPr>
            <w:r>
              <w:rPr>
                <w:rFonts w:hint="eastAsia" w:ascii="宋体" w:hAnsi="宋体" w:cs="宋体"/>
                <w:kern w:val="0"/>
                <w:sz w:val="12"/>
                <w:szCs w:val="12"/>
              </w:rPr>
              <w:t>　</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　</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r>
              <w:rPr>
                <w:rFonts w:hint="eastAsia" w:ascii="宋体" w:hAnsi="宋体" w:cs="宋体"/>
                <w:kern w:val="0"/>
                <w:sz w:val="12"/>
                <w:szCs w:val="12"/>
              </w:rPr>
              <w:t>　　其他支出</w:t>
            </w:r>
          </w:p>
        </w:tc>
        <w:tc>
          <w:tcPr>
            <w:tcW w:w="97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宋体"/>
                <w:kern w:val="0"/>
                <w:sz w:val="12"/>
                <w:szCs w:val="12"/>
              </w:rPr>
            </w:pPr>
            <w:r>
              <w:rPr>
                <w:rFonts w:hint="eastAsia" w:ascii="宋体" w:hAnsi="宋体" w:cs="宋体"/>
                <w:kern w:val="0"/>
                <w:sz w:val="12"/>
                <w:szCs w:val="12"/>
              </w:rPr>
              <w:t>7044.40</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c>
          <w:tcPr>
            <w:tcW w:w="9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宋体"/>
                <w:kern w:val="0"/>
                <w:sz w:val="12"/>
                <w:szCs w:val="12"/>
              </w:rPr>
            </w:pPr>
          </w:p>
        </w:tc>
      </w:tr>
      <w:tr>
        <w:tblPrEx>
          <w:tblCellMar>
            <w:top w:w="0" w:type="dxa"/>
            <w:left w:w="108" w:type="dxa"/>
            <w:bottom w:w="0" w:type="dxa"/>
            <w:right w:w="108" w:type="dxa"/>
          </w:tblCellMar>
        </w:tblPrEx>
        <w:trPr>
          <w:trHeight w:val="321" w:hRule="atLeast"/>
        </w:trPr>
        <w:tc>
          <w:tcPr>
            <w:tcW w:w="1657"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宋体"/>
                <w:kern w:val="0"/>
                <w:sz w:val="12"/>
                <w:szCs w:val="12"/>
              </w:rPr>
            </w:pPr>
            <w:r>
              <w:rPr>
                <w:rFonts w:hint="eastAsia" w:ascii="宋体" w:hAnsi="宋体" w:cs="宋体"/>
                <w:kern w:val="0"/>
                <w:sz w:val="12"/>
                <w:szCs w:val="12"/>
              </w:rPr>
              <w:t>本年收入合计</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10844.94</w:t>
            </w:r>
          </w:p>
        </w:tc>
        <w:tc>
          <w:tcPr>
            <w:tcW w:w="1764"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kern w:val="0"/>
                <w:sz w:val="12"/>
                <w:szCs w:val="12"/>
              </w:rPr>
            </w:pPr>
            <w:r>
              <w:rPr>
                <w:rFonts w:hint="eastAsia" w:ascii="宋体" w:hAnsi="宋体" w:cs="宋体"/>
                <w:kern w:val="0"/>
                <w:sz w:val="12"/>
                <w:szCs w:val="12"/>
              </w:rPr>
              <w:t>本年支出合计</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10844.94</w:t>
            </w:r>
          </w:p>
        </w:tc>
        <w:tc>
          <w:tcPr>
            <w:tcW w:w="1981"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宋体"/>
                <w:kern w:val="0"/>
                <w:sz w:val="12"/>
                <w:szCs w:val="12"/>
              </w:rPr>
            </w:pPr>
            <w:r>
              <w:rPr>
                <w:rFonts w:hint="eastAsia" w:ascii="宋体" w:hAnsi="宋体" w:cs="宋体"/>
                <w:kern w:val="0"/>
                <w:sz w:val="12"/>
                <w:szCs w:val="12"/>
              </w:rPr>
              <w:t>本年支出合计</w:t>
            </w:r>
          </w:p>
        </w:tc>
        <w:tc>
          <w:tcPr>
            <w:tcW w:w="97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10844.94</w:t>
            </w:r>
          </w:p>
        </w:tc>
      </w:tr>
    </w:tbl>
    <w:p>
      <w:pPr>
        <w:spacing w:line="560" w:lineRule="exact"/>
        <w:ind w:left="634" w:leftChars="284" w:hanging="38" w:hangingChars="12"/>
        <w:rPr>
          <w:rFonts w:ascii="仿宋" w:hAnsi="仿宋" w:eastAsia="仿宋" w:cs="仿宋"/>
          <w:sz w:val="32"/>
          <w:szCs w:val="32"/>
        </w:rPr>
        <w:sectPr>
          <w:footerReference r:id="rId3" w:type="default"/>
          <w:pgSz w:w="11906" w:h="16838"/>
          <w:pgMar w:top="1587" w:right="1587" w:bottom="1587" w:left="1587" w:header="851" w:footer="992" w:gutter="0"/>
          <w:cols w:space="0" w:num="1"/>
          <w:docGrid w:type="lines" w:linePitch="322" w:charSpace="0"/>
        </w:sectPr>
      </w:pPr>
    </w:p>
    <w:p>
      <w:pPr>
        <w:pStyle w:val="2"/>
        <w:numPr>
          <w:ilvl w:val="0"/>
          <w:numId w:val="1"/>
        </w:numPr>
        <w:rPr>
          <w:lang w:val="en-US"/>
        </w:rPr>
      </w:pPr>
      <w:r>
        <w:rPr>
          <w:rFonts w:hint="eastAsia"/>
          <w:lang w:val="en-US"/>
        </w:rPr>
        <w:t>《收入预算总表》</w:t>
      </w:r>
    </w:p>
    <w:p>
      <w:pPr>
        <w:pStyle w:val="2"/>
        <w:rPr>
          <w:lang w:val="en-US" w:bidi="ar-SA"/>
        </w:rPr>
      </w:pPr>
      <w:r>
        <w:rPr>
          <w:rFonts w:hint="eastAsia"/>
          <w:lang w:val="en-US" w:bidi="ar-SA"/>
        </w:rPr>
        <w:drawing>
          <wp:inline distT="0" distB="0" distL="114300" distR="114300">
            <wp:extent cx="8670925" cy="4750435"/>
            <wp:effectExtent l="0" t="0" r="15875" b="12065"/>
            <wp:docPr id="1" name="图片 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
                    <pic:cNvPicPr>
                      <a:picLocks noChangeAspect="1"/>
                    </pic:cNvPicPr>
                  </pic:nvPicPr>
                  <pic:blipFill>
                    <a:blip r:embed="rId5"/>
                    <a:stretch>
                      <a:fillRect/>
                    </a:stretch>
                  </pic:blipFill>
                  <pic:spPr>
                    <a:xfrm>
                      <a:off x="0" y="0"/>
                      <a:ext cx="8670925" cy="4750435"/>
                    </a:xfrm>
                    <a:prstGeom prst="rect">
                      <a:avLst/>
                    </a:prstGeom>
                  </pic:spPr>
                </pic:pic>
              </a:graphicData>
            </a:graphic>
          </wp:inline>
        </w:drawing>
      </w:r>
    </w:p>
    <w:p>
      <w:pPr>
        <w:pStyle w:val="2"/>
        <w:numPr>
          <w:ilvl w:val="0"/>
          <w:numId w:val="1"/>
        </w:numPr>
        <w:rPr>
          <w:lang w:val="en-US" w:bidi="ar-SA"/>
        </w:rPr>
      </w:pPr>
      <w:r>
        <w:rPr>
          <w:rFonts w:hint="eastAsia"/>
          <w:lang w:val="en-US" w:bidi="ar-SA"/>
        </w:rPr>
        <w:t>《支出预算总表》</w:t>
      </w:r>
    </w:p>
    <w:p>
      <w:pPr>
        <w:pStyle w:val="2"/>
        <w:rPr>
          <w:lang w:val="en-US" w:bidi="ar-SA"/>
        </w:rPr>
        <w:sectPr>
          <w:pgSz w:w="16838" w:h="11906" w:orient="landscape"/>
          <w:pgMar w:top="1587" w:right="1587" w:bottom="1587" w:left="1587" w:header="851" w:footer="992" w:gutter="0"/>
          <w:cols w:space="0" w:num="1"/>
          <w:docGrid w:type="lines" w:linePitch="322" w:charSpace="0"/>
        </w:sectPr>
      </w:pPr>
      <w:r>
        <w:rPr>
          <w:lang w:val="en-US" w:bidi="ar-SA"/>
        </w:rPr>
        <w:drawing>
          <wp:inline distT="0" distB="0" distL="114300" distR="114300">
            <wp:extent cx="8301355" cy="4751070"/>
            <wp:effectExtent l="0" t="0" r="4445" b="11430"/>
            <wp:docPr id="2" name="图片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
                    <pic:cNvPicPr>
                      <a:picLocks noChangeAspect="1"/>
                    </pic:cNvPicPr>
                  </pic:nvPicPr>
                  <pic:blipFill>
                    <a:blip r:embed="rId6"/>
                    <a:stretch>
                      <a:fillRect/>
                    </a:stretch>
                  </pic:blipFill>
                  <pic:spPr>
                    <a:xfrm>
                      <a:off x="0" y="0"/>
                      <a:ext cx="8301355" cy="4751070"/>
                    </a:xfrm>
                    <a:prstGeom prst="rect">
                      <a:avLst/>
                    </a:prstGeom>
                  </pic:spPr>
                </pic:pic>
              </a:graphicData>
            </a:graphic>
          </wp:inline>
        </w:drawing>
      </w:r>
    </w:p>
    <w:p>
      <w:pPr>
        <w:pStyle w:val="2"/>
        <w:numPr>
          <w:ilvl w:val="0"/>
          <w:numId w:val="1"/>
        </w:numPr>
        <w:rPr>
          <w:lang w:val="en-US" w:bidi="ar-SA"/>
        </w:rPr>
      </w:pPr>
      <w:r>
        <w:rPr>
          <w:rFonts w:hint="eastAsia"/>
          <w:lang w:val="en-US" w:bidi="ar-SA"/>
        </w:rPr>
        <w:t>《财政拨款收支预算总表》</w:t>
      </w:r>
    </w:p>
    <w:p>
      <w:pPr>
        <w:pStyle w:val="2"/>
        <w:rPr>
          <w:lang w:val="en-US" w:bidi="ar-SA"/>
        </w:rPr>
      </w:pPr>
      <w:r>
        <w:rPr>
          <w:rFonts w:hint="eastAsia"/>
          <w:lang w:val="en-US" w:bidi="ar-SA"/>
        </w:rPr>
        <w:drawing>
          <wp:anchor distT="0" distB="0" distL="114300" distR="114300" simplePos="0" relativeHeight="251659264" behindDoc="0" locked="0" layoutInCell="1" allowOverlap="1">
            <wp:simplePos x="0" y="0"/>
            <wp:positionH relativeFrom="column">
              <wp:posOffset>-497840</wp:posOffset>
            </wp:positionH>
            <wp:positionV relativeFrom="paragraph">
              <wp:posOffset>51435</wp:posOffset>
            </wp:positionV>
            <wp:extent cx="6549390" cy="7825740"/>
            <wp:effectExtent l="0" t="0" r="3810" b="3810"/>
            <wp:wrapSquare wrapText="bothSides"/>
            <wp:docPr id="5" name="图片 5" descr="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3"/>
                    <pic:cNvPicPr>
                      <a:picLocks noChangeAspect="1"/>
                    </pic:cNvPicPr>
                  </pic:nvPicPr>
                  <pic:blipFill>
                    <a:blip r:embed="rId7"/>
                    <a:stretch>
                      <a:fillRect/>
                    </a:stretch>
                  </pic:blipFill>
                  <pic:spPr>
                    <a:xfrm>
                      <a:off x="0" y="0"/>
                      <a:ext cx="6549390" cy="7825740"/>
                    </a:xfrm>
                    <a:prstGeom prst="rect">
                      <a:avLst/>
                    </a:prstGeom>
                  </pic:spPr>
                </pic:pic>
              </a:graphicData>
            </a:graphic>
          </wp:anchor>
        </w:drawing>
      </w:r>
    </w:p>
    <w:p>
      <w:pPr>
        <w:pStyle w:val="2"/>
        <w:rPr>
          <w:lang w:val="en-US" w:bidi="ar-SA"/>
        </w:rPr>
        <w:sectPr>
          <w:pgSz w:w="11906" w:h="16838"/>
          <w:pgMar w:top="1587" w:right="1587" w:bottom="1587" w:left="1587" w:header="851" w:footer="992" w:gutter="0"/>
          <w:cols w:space="0" w:num="1"/>
          <w:docGrid w:type="lines" w:linePitch="322" w:charSpace="0"/>
        </w:sectPr>
      </w:pPr>
    </w:p>
    <w:p>
      <w:pPr>
        <w:pStyle w:val="2"/>
        <w:numPr>
          <w:ilvl w:val="0"/>
          <w:numId w:val="1"/>
        </w:numPr>
        <w:rPr>
          <w:lang w:val="en-US" w:bidi="ar-SA"/>
        </w:rPr>
      </w:pPr>
      <w:r>
        <w:rPr>
          <w:rFonts w:hint="eastAsia"/>
          <w:lang w:val="en-US" w:bidi="ar-SA"/>
        </w:rPr>
        <w:t>《财政拨款支出预算表》</w:t>
      </w:r>
    </w:p>
    <w:p>
      <w:pPr>
        <w:pStyle w:val="2"/>
        <w:rPr>
          <w:lang w:val="en-US" w:bidi="ar-SA"/>
        </w:rPr>
      </w:pPr>
      <w:r>
        <w:rPr>
          <w:rFonts w:hint="eastAsia"/>
          <w:lang w:val="en-US" w:bidi="ar-SA"/>
        </w:rPr>
        <w:drawing>
          <wp:inline distT="0" distB="0" distL="114300" distR="114300">
            <wp:extent cx="8674735" cy="4770120"/>
            <wp:effectExtent l="0" t="0" r="12065" b="11430"/>
            <wp:docPr id="6" name="图片 6"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
                    <pic:cNvPicPr>
                      <a:picLocks noChangeAspect="1"/>
                    </pic:cNvPicPr>
                  </pic:nvPicPr>
                  <pic:blipFill>
                    <a:blip r:embed="rId8"/>
                    <a:stretch>
                      <a:fillRect/>
                    </a:stretch>
                  </pic:blipFill>
                  <pic:spPr>
                    <a:xfrm>
                      <a:off x="0" y="0"/>
                      <a:ext cx="8674735" cy="4770120"/>
                    </a:xfrm>
                    <a:prstGeom prst="rect">
                      <a:avLst/>
                    </a:prstGeom>
                  </pic:spPr>
                </pic:pic>
              </a:graphicData>
            </a:graphic>
          </wp:inline>
        </w:drawing>
      </w:r>
    </w:p>
    <w:p>
      <w:pPr>
        <w:pStyle w:val="2"/>
        <w:numPr>
          <w:ilvl w:val="0"/>
          <w:numId w:val="1"/>
        </w:numPr>
        <w:rPr>
          <w:lang w:val="en-US" w:bidi="ar-SA"/>
        </w:rPr>
      </w:pPr>
      <w:r>
        <w:rPr>
          <w:rFonts w:hint="eastAsia"/>
          <w:lang w:val="en-US" w:bidi="ar-SA"/>
        </w:rPr>
        <w:t>《基本支出预算表》</w:t>
      </w:r>
    </w:p>
    <w:p>
      <w:pPr>
        <w:pStyle w:val="2"/>
        <w:rPr>
          <w:lang w:val="en-US" w:bidi="ar-SA"/>
        </w:rPr>
      </w:pPr>
      <w:r>
        <w:rPr>
          <w:rFonts w:hint="eastAsia"/>
          <w:lang w:val="en-US" w:bidi="ar-SA"/>
        </w:rPr>
        <w:drawing>
          <wp:anchor distT="0" distB="0" distL="114300" distR="114300" simplePos="0" relativeHeight="251660288" behindDoc="0" locked="0" layoutInCell="1" allowOverlap="1">
            <wp:simplePos x="0" y="0"/>
            <wp:positionH relativeFrom="column">
              <wp:posOffset>913765</wp:posOffset>
            </wp:positionH>
            <wp:positionV relativeFrom="paragraph">
              <wp:posOffset>65405</wp:posOffset>
            </wp:positionV>
            <wp:extent cx="7099300" cy="5077460"/>
            <wp:effectExtent l="0" t="0" r="6350" b="8890"/>
            <wp:wrapSquare wrapText="bothSides"/>
            <wp:docPr id="7" name="图片 7"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6"/>
                    <pic:cNvPicPr>
                      <a:picLocks noChangeAspect="1"/>
                    </pic:cNvPicPr>
                  </pic:nvPicPr>
                  <pic:blipFill>
                    <a:blip r:embed="rId9"/>
                    <a:stretch>
                      <a:fillRect/>
                    </a:stretch>
                  </pic:blipFill>
                  <pic:spPr>
                    <a:xfrm>
                      <a:off x="0" y="0"/>
                      <a:ext cx="7099300" cy="5077460"/>
                    </a:xfrm>
                    <a:prstGeom prst="rect">
                      <a:avLst/>
                    </a:prstGeom>
                  </pic:spPr>
                </pic:pic>
              </a:graphicData>
            </a:graphic>
          </wp:anchor>
        </w:drawing>
      </w: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numPr>
          <w:ilvl w:val="0"/>
          <w:numId w:val="1"/>
        </w:numPr>
        <w:rPr>
          <w:lang w:val="en-US" w:bidi="ar-SA"/>
        </w:rPr>
      </w:pPr>
      <w:r>
        <w:rPr>
          <w:rFonts w:hint="eastAsia"/>
          <w:lang w:val="en-US" w:bidi="ar-SA"/>
        </w:rPr>
        <w:t>《三公经费支出预算表》</w:t>
      </w:r>
    </w:p>
    <w:p>
      <w:pPr>
        <w:pStyle w:val="2"/>
        <w:rPr>
          <w:lang w:val="en-US" w:bidi="ar-SA"/>
        </w:rPr>
      </w:pPr>
      <w:r>
        <w:rPr>
          <w:rFonts w:hint="eastAsia"/>
          <w:lang w:val="en-US" w:bidi="ar-SA"/>
        </w:rPr>
        <w:drawing>
          <wp:inline distT="0" distB="0" distL="114300" distR="114300">
            <wp:extent cx="8670925" cy="3507740"/>
            <wp:effectExtent l="0" t="0" r="15875" b="16510"/>
            <wp:docPr id="8" name="图片 8"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7"/>
                    <pic:cNvPicPr>
                      <a:picLocks noChangeAspect="1"/>
                    </pic:cNvPicPr>
                  </pic:nvPicPr>
                  <pic:blipFill>
                    <a:blip r:embed="rId10"/>
                    <a:stretch>
                      <a:fillRect/>
                    </a:stretch>
                  </pic:blipFill>
                  <pic:spPr>
                    <a:xfrm>
                      <a:off x="0" y="0"/>
                      <a:ext cx="8670925" cy="3507740"/>
                    </a:xfrm>
                    <a:prstGeom prst="rect">
                      <a:avLst/>
                    </a:prstGeom>
                  </pic:spPr>
                </pic:pic>
              </a:graphicData>
            </a:graphic>
          </wp:inline>
        </w:drawing>
      </w:r>
    </w:p>
    <w:p>
      <w:pPr>
        <w:pStyle w:val="2"/>
        <w:rPr>
          <w:lang w:val="en-US" w:bidi="ar-SA"/>
        </w:rPr>
      </w:pPr>
    </w:p>
    <w:p>
      <w:pPr>
        <w:pStyle w:val="2"/>
        <w:rPr>
          <w:lang w:val="en-US" w:bidi="ar-SA"/>
        </w:rPr>
      </w:pPr>
    </w:p>
    <w:p>
      <w:pPr>
        <w:pStyle w:val="2"/>
        <w:rPr>
          <w:lang w:val="en-US" w:bidi="ar-SA"/>
        </w:rPr>
      </w:pPr>
    </w:p>
    <w:p>
      <w:pPr>
        <w:pStyle w:val="2"/>
        <w:numPr>
          <w:ilvl w:val="0"/>
          <w:numId w:val="1"/>
        </w:numPr>
        <w:rPr>
          <w:lang w:val="en-US" w:bidi="ar-SA"/>
        </w:rPr>
      </w:pPr>
      <w:r>
        <w:rPr>
          <w:rFonts w:hint="eastAsia"/>
          <w:lang w:val="en-US" w:bidi="ar-SA"/>
        </w:rPr>
        <w:t>《政府性基金收支预算表》</w:t>
      </w:r>
    </w:p>
    <w:p>
      <w:pPr>
        <w:pStyle w:val="2"/>
        <w:rPr>
          <w:lang w:val="en-US" w:bidi="ar-SA"/>
        </w:rPr>
      </w:pPr>
      <w:r>
        <w:rPr>
          <w:rFonts w:hint="eastAsia"/>
          <w:lang w:val="en-US" w:bidi="ar-SA"/>
        </w:rPr>
        <w:drawing>
          <wp:inline distT="0" distB="0" distL="114300" distR="114300">
            <wp:extent cx="8673465" cy="3067685"/>
            <wp:effectExtent l="0" t="0" r="13335" b="18415"/>
            <wp:docPr id="9" name="图片 9"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8"/>
                    <pic:cNvPicPr>
                      <a:picLocks noChangeAspect="1"/>
                    </pic:cNvPicPr>
                  </pic:nvPicPr>
                  <pic:blipFill>
                    <a:blip r:embed="rId11"/>
                    <a:stretch>
                      <a:fillRect/>
                    </a:stretch>
                  </pic:blipFill>
                  <pic:spPr>
                    <a:xfrm>
                      <a:off x="0" y="0"/>
                      <a:ext cx="8673465" cy="3067685"/>
                    </a:xfrm>
                    <a:prstGeom prst="rect">
                      <a:avLst/>
                    </a:prstGeom>
                  </pic:spPr>
                </pic:pic>
              </a:graphicData>
            </a:graphic>
          </wp:inline>
        </w:drawing>
      </w: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sectPr>
          <w:pgSz w:w="16838" w:h="11906" w:orient="landscape"/>
          <w:pgMar w:top="1587" w:right="1587" w:bottom="1587" w:left="1587" w:header="851" w:footer="992" w:gutter="0"/>
          <w:cols w:space="0" w:num="1"/>
          <w:docGrid w:type="lines" w:linePitch="322" w:charSpace="0"/>
        </w:sectPr>
      </w:pPr>
    </w:p>
    <w:p>
      <w:pPr>
        <w:pStyle w:val="2"/>
        <w:rPr>
          <w:lang w:val="en-US" w:bidi="ar-SA"/>
        </w:rPr>
      </w:pPr>
    </w:p>
    <w:p>
      <w:pPr>
        <w:pStyle w:val="2"/>
        <w:sectPr>
          <w:pgSz w:w="11906" w:h="16838"/>
          <w:pgMar w:top="1587" w:right="1587" w:bottom="1587" w:left="1587" w:header="851" w:footer="992" w:gutter="0"/>
          <w:cols w:space="0" w:num="1"/>
          <w:docGrid w:type="lines" w:linePitch="322" w:charSpace="0"/>
        </w:sectPr>
      </w:pPr>
      <w:r>
        <w:rPr>
          <w:rFonts w:hint="eastAsia" w:eastAsia="仿宋"/>
          <w:b/>
          <w:bCs/>
          <w:sz w:val="30"/>
          <w:szCs w:val="30"/>
          <w:lang w:val="en-US" w:bidi="ar-SA"/>
        </w:rPr>
        <w:drawing>
          <wp:inline distT="0" distB="0" distL="114300" distR="114300">
            <wp:extent cx="5813425" cy="3319780"/>
            <wp:effectExtent l="0" t="0" r="15875" b="13970"/>
            <wp:docPr id="4" name="图片 4" descr="1715221739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15221739825"/>
                    <pic:cNvPicPr>
                      <a:picLocks noChangeAspect="1"/>
                    </pic:cNvPicPr>
                  </pic:nvPicPr>
                  <pic:blipFill>
                    <a:blip r:embed="rId12"/>
                    <a:stretch>
                      <a:fillRect/>
                    </a:stretch>
                  </pic:blipFill>
                  <pic:spPr>
                    <a:xfrm>
                      <a:off x="0" y="0"/>
                      <a:ext cx="5813425" cy="3319780"/>
                    </a:xfrm>
                    <a:prstGeom prst="rect">
                      <a:avLst/>
                    </a:prstGeom>
                  </pic:spPr>
                </pic:pic>
              </a:graphicData>
            </a:graphic>
          </wp:inline>
        </w:drawing>
      </w:r>
    </w:p>
    <w:p>
      <w:pPr>
        <w:pStyle w:val="2"/>
        <w:rPr>
          <w:lang w:val="en-US" w:bidi="ar-SA"/>
        </w:rPr>
      </w:pPr>
    </w:p>
    <w:p>
      <w:pPr>
        <w:pStyle w:val="2"/>
        <w:rPr>
          <w:lang w:val="en-US" w:bidi="ar-SA"/>
        </w:rPr>
      </w:pPr>
      <w:r>
        <w:rPr>
          <w:rFonts w:hint="eastAsia"/>
          <w:lang w:val="en-US" w:bidi="ar-SA"/>
        </w:rPr>
        <w:t>十、《部门整体支出绩效目标表》</w:t>
      </w:r>
    </w:p>
    <w:tbl>
      <w:tblPr>
        <w:tblStyle w:val="6"/>
        <w:tblW w:w="10060" w:type="dxa"/>
        <w:jc w:val="center"/>
        <w:tblLayout w:type="autofit"/>
        <w:tblCellMar>
          <w:top w:w="0" w:type="dxa"/>
          <w:left w:w="108" w:type="dxa"/>
          <w:bottom w:w="0" w:type="dxa"/>
          <w:right w:w="108" w:type="dxa"/>
        </w:tblCellMar>
      </w:tblPr>
      <w:tblGrid>
        <w:gridCol w:w="1120"/>
        <w:gridCol w:w="520"/>
        <w:gridCol w:w="980"/>
        <w:gridCol w:w="980"/>
        <w:gridCol w:w="1680"/>
        <w:gridCol w:w="2500"/>
        <w:gridCol w:w="2280"/>
      </w:tblGrid>
      <w:tr>
        <w:tblPrEx>
          <w:tblCellMar>
            <w:top w:w="0" w:type="dxa"/>
            <w:left w:w="108" w:type="dxa"/>
            <w:bottom w:w="0" w:type="dxa"/>
            <w:right w:w="108" w:type="dxa"/>
          </w:tblCellMar>
        </w:tblPrEx>
        <w:trPr>
          <w:trHeight w:val="799" w:hRule="atLeast"/>
          <w:jc w:val="center"/>
        </w:trPr>
        <w:tc>
          <w:tcPr>
            <w:tcW w:w="10060" w:type="dxa"/>
            <w:gridSpan w:val="7"/>
            <w:tcBorders>
              <w:top w:val="single" w:color="auto" w:sz="4" w:space="0"/>
              <w:left w:val="single" w:color="auto" w:sz="4" w:space="0"/>
              <w:bottom w:val="nil"/>
              <w:right w:val="single" w:color="auto" w:sz="4" w:space="0"/>
            </w:tcBorders>
            <w:shd w:val="clear" w:color="auto" w:fill="auto"/>
            <w:vAlign w:val="center"/>
          </w:tcPr>
          <w:p>
            <w:pPr>
              <w:widowControl/>
              <w:jc w:val="center"/>
              <w:rPr>
                <w:rFonts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部门整体支出绩效目标表</w:t>
            </w:r>
          </w:p>
        </w:tc>
      </w:tr>
      <w:tr>
        <w:tblPrEx>
          <w:tblCellMar>
            <w:top w:w="0" w:type="dxa"/>
            <w:left w:w="108" w:type="dxa"/>
            <w:bottom w:w="0" w:type="dxa"/>
            <w:right w:w="108" w:type="dxa"/>
          </w:tblCellMar>
        </w:tblPrEx>
        <w:trPr>
          <w:trHeight w:val="499" w:hRule="atLeast"/>
          <w:jc w:val="center"/>
        </w:trPr>
        <w:tc>
          <w:tcPr>
            <w:tcW w:w="10060" w:type="dxa"/>
            <w:gridSpan w:val="7"/>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小标宋简体" w:hAnsi="宋体" w:eastAsia="方正小标宋简体" w:cs="宋体"/>
                <w:kern w:val="0"/>
                <w:sz w:val="28"/>
                <w:szCs w:val="28"/>
              </w:rPr>
            </w:pPr>
            <w:r>
              <w:rPr>
                <w:rFonts w:hint="eastAsia" w:ascii="方正小标宋简体" w:hAnsi="宋体" w:eastAsia="方正小标宋简体" w:cs="宋体"/>
                <w:kern w:val="0"/>
                <w:sz w:val="28"/>
                <w:szCs w:val="28"/>
              </w:rPr>
              <w:t>（ 2023 年度）</w:t>
            </w:r>
          </w:p>
        </w:tc>
      </w:tr>
      <w:tr>
        <w:tblPrEx>
          <w:tblCellMar>
            <w:top w:w="0" w:type="dxa"/>
            <w:left w:w="108" w:type="dxa"/>
            <w:bottom w:w="0" w:type="dxa"/>
            <w:right w:w="108" w:type="dxa"/>
          </w:tblCellMar>
        </w:tblPrEx>
        <w:trPr>
          <w:trHeight w:val="600" w:hRule="atLeast"/>
          <w:jc w:val="center"/>
        </w:trPr>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部门名称</w:t>
            </w:r>
          </w:p>
        </w:tc>
        <w:tc>
          <w:tcPr>
            <w:tcW w:w="8940" w:type="dxa"/>
            <w:gridSpan w:val="6"/>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兴国县工业和信息化局</w:t>
            </w:r>
          </w:p>
        </w:tc>
      </w:tr>
      <w:tr>
        <w:tblPrEx>
          <w:tblCellMar>
            <w:top w:w="0" w:type="dxa"/>
            <w:left w:w="108" w:type="dxa"/>
            <w:bottom w:w="0" w:type="dxa"/>
            <w:right w:w="108" w:type="dxa"/>
          </w:tblCellMar>
        </w:tblPrEx>
        <w:trPr>
          <w:trHeight w:val="600" w:hRule="atLeast"/>
          <w:jc w:val="center"/>
        </w:trPr>
        <w:tc>
          <w:tcPr>
            <w:tcW w:w="10060" w:type="dxa"/>
            <w:gridSpan w:val="7"/>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当年预算情况（万元）</w:t>
            </w:r>
          </w:p>
        </w:tc>
      </w:tr>
      <w:tr>
        <w:tblPrEx>
          <w:tblCellMar>
            <w:top w:w="0" w:type="dxa"/>
            <w:left w:w="108" w:type="dxa"/>
            <w:bottom w:w="0" w:type="dxa"/>
            <w:right w:w="108" w:type="dxa"/>
          </w:tblCellMar>
        </w:tblPrEx>
        <w:trPr>
          <w:trHeight w:val="462" w:hRule="atLeast"/>
          <w:jc w:val="center"/>
        </w:trPr>
        <w:tc>
          <w:tcPr>
            <w:tcW w:w="2620"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收入预算合计</w:t>
            </w:r>
          </w:p>
        </w:tc>
        <w:tc>
          <w:tcPr>
            <w:tcW w:w="7440" w:type="dxa"/>
            <w:gridSpan w:val="4"/>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10,844.94</w:t>
            </w:r>
          </w:p>
        </w:tc>
      </w:tr>
      <w:tr>
        <w:tblPrEx>
          <w:tblCellMar>
            <w:top w:w="0" w:type="dxa"/>
            <w:left w:w="108" w:type="dxa"/>
            <w:bottom w:w="0" w:type="dxa"/>
            <w:right w:w="108" w:type="dxa"/>
          </w:tblCellMar>
        </w:tblPrEx>
        <w:trPr>
          <w:trHeight w:val="499" w:hRule="atLeast"/>
          <w:jc w:val="center"/>
        </w:trPr>
        <w:tc>
          <w:tcPr>
            <w:tcW w:w="2620"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其中：财政拨款</w:t>
            </w:r>
          </w:p>
        </w:tc>
        <w:tc>
          <w:tcPr>
            <w:tcW w:w="266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7,751.31</w:t>
            </w:r>
          </w:p>
        </w:tc>
        <w:tc>
          <w:tcPr>
            <w:tcW w:w="2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其他经费</w:t>
            </w:r>
          </w:p>
        </w:tc>
        <w:tc>
          <w:tcPr>
            <w:tcW w:w="22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3,093.63</w:t>
            </w:r>
          </w:p>
        </w:tc>
      </w:tr>
      <w:tr>
        <w:tblPrEx>
          <w:tblCellMar>
            <w:top w:w="0" w:type="dxa"/>
            <w:left w:w="108" w:type="dxa"/>
            <w:bottom w:w="0" w:type="dxa"/>
            <w:right w:w="108" w:type="dxa"/>
          </w:tblCellMar>
        </w:tblPrEx>
        <w:trPr>
          <w:trHeight w:val="420" w:hRule="atLeast"/>
          <w:jc w:val="center"/>
        </w:trPr>
        <w:tc>
          <w:tcPr>
            <w:tcW w:w="2620"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支出预算合计</w:t>
            </w:r>
          </w:p>
        </w:tc>
        <w:tc>
          <w:tcPr>
            <w:tcW w:w="7440" w:type="dxa"/>
            <w:gridSpan w:val="4"/>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10,844.94</w:t>
            </w:r>
          </w:p>
        </w:tc>
      </w:tr>
      <w:tr>
        <w:tblPrEx>
          <w:tblCellMar>
            <w:top w:w="0" w:type="dxa"/>
            <w:left w:w="108" w:type="dxa"/>
            <w:bottom w:w="0" w:type="dxa"/>
            <w:right w:w="108" w:type="dxa"/>
          </w:tblCellMar>
        </w:tblPrEx>
        <w:trPr>
          <w:trHeight w:val="522" w:hRule="atLeast"/>
          <w:jc w:val="center"/>
        </w:trPr>
        <w:tc>
          <w:tcPr>
            <w:tcW w:w="2620"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其中：基本支出</w:t>
            </w:r>
          </w:p>
        </w:tc>
        <w:tc>
          <w:tcPr>
            <w:tcW w:w="266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626.98</w:t>
            </w:r>
          </w:p>
        </w:tc>
        <w:tc>
          <w:tcPr>
            <w:tcW w:w="2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项目支出</w:t>
            </w:r>
          </w:p>
        </w:tc>
        <w:tc>
          <w:tcPr>
            <w:tcW w:w="22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10,217.96</w:t>
            </w:r>
          </w:p>
        </w:tc>
      </w:tr>
      <w:tr>
        <w:tblPrEx>
          <w:tblCellMar>
            <w:top w:w="0" w:type="dxa"/>
            <w:left w:w="108" w:type="dxa"/>
            <w:bottom w:w="0" w:type="dxa"/>
            <w:right w:w="108" w:type="dxa"/>
          </w:tblCellMar>
        </w:tblPrEx>
        <w:trPr>
          <w:trHeight w:val="1579" w:hRule="atLeast"/>
          <w:jc w:val="center"/>
        </w:trPr>
        <w:tc>
          <w:tcPr>
            <w:tcW w:w="2620"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年度总体目标</w:t>
            </w:r>
          </w:p>
        </w:tc>
        <w:tc>
          <w:tcPr>
            <w:tcW w:w="7440" w:type="dxa"/>
            <w:gridSpan w:val="4"/>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年度财政拨款5333498元，其他资金736920元。</w:t>
            </w:r>
          </w:p>
        </w:tc>
      </w:tr>
      <w:tr>
        <w:tblPrEx>
          <w:tblCellMar>
            <w:top w:w="0" w:type="dxa"/>
            <w:left w:w="108" w:type="dxa"/>
            <w:bottom w:w="0" w:type="dxa"/>
            <w:right w:w="108" w:type="dxa"/>
          </w:tblCellMar>
        </w:tblPrEx>
        <w:trPr>
          <w:trHeight w:val="619" w:hRule="atLeast"/>
          <w:jc w:val="center"/>
        </w:trPr>
        <w:tc>
          <w:tcPr>
            <w:tcW w:w="10060" w:type="dxa"/>
            <w:gridSpan w:val="7"/>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年度绩效指标</w:t>
            </w:r>
          </w:p>
        </w:tc>
      </w:tr>
      <w:tr>
        <w:tblPrEx>
          <w:tblCellMar>
            <w:top w:w="0" w:type="dxa"/>
            <w:left w:w="108" w:type="dxa"/>
            <w:bottom w:w="0" w:type="dxa"/>
            <w:right w:w="108" w:type="dxa"/>
          </w:tblCellMar>
        </w:tblPrEx>
        <w:trPr>
          <w:trHeight w:val="540" w:hRule="atLeast"/>
          <w:jc w:val="center"/>
        </w:trPr>
        <w:tc>
          <w:tcPr>
            <w:tcW w:w="164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一级指标</w:t>
            </w:r>
          </w:p>
        </w:tc>
        <w:tc>
          <w:tcPr>
            <w:tcW w:w="196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二级指标</w:t>
            </w:r>
          </w:p>
        </w:tc>
        <w:tc>
          <w:tcPr>
            <w:tcW w:w="418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三级指标</w:t>
            </w:r>
          </w:p>
        </w:tc>
        <w:tc>
          <w:tcPr>
            <w:tcW w:w="2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目标值</w:t>
            </w:r>
          </w:p>
        </w:tc>
      </w:tr>
      <w:tr>
        <w:tblPrEx>
          <w:tblCellMar>
            <w:top w:w="0" w:type="dxa"/>
            <w:left w:w="108" w:type="dxa"/>
            <w:bottom w:w="0" w:type="dxa"/>
            <w:right w:w="108" w:type="dxa"/>
          </w:tblCellMar>
        </w:tblPrEx>
        <w:trPr>
          <w:trHeight w:val="540" w:hRule="atLeast"/>
          <w:jc w:val="center"/>
        </w:trPr>
        <w:tc>
          <w:tcPr>
            <w:tcW w:w="164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产出指标</w:t>
            </w:r>
          </w:p>
        </w:tc>
        <w:tc>
          <w:tcPr>
            <w:tcW w:w="196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产出指标</w:t>
            </w:r>
          </w:p>
        </w:tc>
        <w:tc>
          <w:tcPr>
            <w:tcW w:w="418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工资福利</w:t>
            </w:r>
          </w:p>
        </w:tc>
        <w:tc>
          <w:tcPr>
            <w:tcW w:w="22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4675807元</w:t>
            </w:r>
          </w:p>
        </w:tc>
      </w:tr>
      <w:tr>
        <w:tblPrEx>
          <w:tblCellMar>
            <w:top w:w="0" w:type="dxa"/>
            <w:left w:w="108" w:type="dxa"/>
            <w:bottom w:w="0" w:type="dxa"/>
            <w:right w:w="108" w:type="dxa"/>
          </w:tblCellMar>
        </w:tblPrEx>
        <w:trPr>
          <w:trHeight w:val="540" w:hRule="atLeast"/>
          <w:jc w:val="center"/>
        </w:trPr>
        <w:tc>
          <w:tcPr>
            <w:tcW w:w="164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效益指标</w:t>
            </w:r>
          </w:p>
        </w:tc>
        <w:tc>
          <w:tcPr>
            <w:tcW w:w="196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效益指标</w:t>
            </w:r>
          </w:p>
        </w:tc>
        <w:tc>
          <w:tcPr>
            <w:tcW w:w="418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个人补助</w:t>
            </w:r>
          </w:p>
        </w:tc>
        <w:tc>
          <w:tcPr>
            <w:tcW w:w="22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21"/>
              </w:rPr>
            </w:pPr>
            <w:r>
              <w:rPr>
                <w:rFonts w:hint="eastAsia" w:ascii="宋体" w:hAnsi="宋体" w:cs="宋体"/>
                <w:kern w:val="0"/>
                <w:szCs w:val="21"/>
              </w:rPr>
              <w:t>299612元</w:t>
            </w:r>
          </w:p>
        </w:tc>
      </w:tr>
    </w:tbl>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r>
        <w:rPr>
          <w:rFonts w:hint="eastAsia"/>
          <w:lang w:val="en-US" w:bidi="ar-SA"/>
        </w:rPr>
        <w:t>十一、《项目支出绩效目标表》</w:t>
      </w:r>
    </w:p>
    <w:tbl>
      <w:tblPr>
        <w:tblStyle w:val="6"/>
        <w:tblW w:w="10060" w:type="dxa"/>
        <w:tblInd w:w="93" w:type="dxa"/>
        <w:tblLayout w:type="autofit"/>
        <w:tblCellMar>
          <w:top w:w="0" w:type="dxa"/>
          <w:left w:w="108" w:type="dxa"/>
          <w:bottom w:w="0" w:type="dxa"/>
          <w:right w:w="108" w:type="dxa"/>
        </w:tblCellMar>
      </w:tblPr>
      <w:tblGrid>
        <w:gridCol w:w="1360"/>
        <w:gridCol w:w="1860"/>
        <w:gridCol w:w="2800"/>
        <w:gridCol w:w="1480"/>
        <w:gridCol w:w="2560"/>
      </w:tblGrid>
      <w:tr>
        <w:tblPrEx>
          <w:tblCellMar>
            <w:top w:w="0" w:type="dxa"/>
            <w:left w:w="108" w:type="dxa"/>
            <w:bottom w:w="0" w:type="dxa"/>
            <w:right w:w="108" w:type="dxa"/>
          </w:tblCellMar>
        </w:tblPrEx>
        <w:trPr>
          <w:trHeight w:val="799" w:hRule="atLeast"/>
        </w:trPr>
        <w:tc>
          <w:tcPr>
            <w:tcW w:w="10060" w:type="dxa"/>
            <w:gridSpan w:val="5"/>
            <w:tcBorders>
              <w:top w:val="single" w:color="auto" w:sz="4" w:space="0"/>
              <w:left w:val="single" w:color="auto" w:sz="4" w:space="0"/>
              <w:bottom w:val="nil"/>
              <w:right w:val="single" w:color="auto" w:sz="4" w:space="0"/>
            </w:tcBorders>
            <w:shd w:val="clear" w:color="auto" w:fill="auto"/>
            <w:vAlign w:val="center"/>
          </w:tcPr>
          <w:p>
            <w:pPr>
              <w:widowControl/>
              <w:jc w:val="center"/>
              <w:rPr>
                <w:rFonts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项目支出绩效目标表</w:t>
            </w:r>
          </w:p>
        </w:tc>
      </w:tr>
      <w:tr>
        <w:tblPrEx>
          <w:tblCellMar>
            <w:top w:w="0" w:type="dxa"/>
            <w:left w:w="108" w:type="dxa"/>
            <w:bottom w:w="0" w:type="dxa"/>
            <w:right w:w="108" w:type="dxa"/>
          </w:tblCellMar>
        </w:tblPrEx>
        <w:trPr>
          <w:trHeight w:val="462" w:hRule="atLeast"/>
        </w:trPr>
        <w:tc>
          <w:tcPr>
            <w:tcW w:w="10060" w:type="dxa"/>
            <w:gridSpan w:val="5"/>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（2023年度）</w:t>
            </w:r>
          </w:p>
        </w:tc>
      </w:tr>
      <w:tr>
        <w:tblPrEx>
          <w:tblCellMar>
            <w:top w:w="0" w:type="dxa"/>
            <w:left w:w="108" w:type="dxa"/>
            <w:bottom w:w="0" w:type="dxa"/>
            <w:right w:w="108" w:type="dxa"/>
          </w:tblCellMar>
        </w:tblPrEx>
        <w:trPr>
          <w:trHeight w:val="739" w:hRule="atLeast"/>
        </w:trPr>
        <w:tc>
          <w:tcPr>
            <w:tcW w:w="322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项目名称</w:t>
            </w:r>
          </w:p>
        </w:tc>
        <w:tc>
          <w:tcPr>
            <w:tcW w:w="684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业务费</w:t>
            </w:r>
          </w:p>
        </w:tc>
      </w:tr>
      <w:tr>
        <w:tblPrEx>
          <w:tblCellMar>
            <w:top w:w="0" w:type="dxa"/>
            <w:left w:w="108" w:type="dxa"/>
            <w:bottom w:w="0" w:type="dxa"/>
            <w:right w:w="108" w:type="dxa"/>
          </w:tblCellMar>
        </w:tblPrEx>
        <w:trPr>
          <w:trHeight w:val="739" w:hRule="atLeast"/>
        </w:trPr>
        <w:tc>
          <w:tcPr>
            <w:tcW w:w="322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主管部门及代码</w:t>
            </w:r>
          </w:p>
        </w:tc>
        <w:tc>
          <w:tcPr>
            <w:tcW w:w="28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306-兴国县工业和信息化局</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实施单位</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兴国县工业和信息化局</w:t>
            </w:r>
          </w:p>
        </w:tc>
      </w:tr>
      <w:tr>
        <w:tblPrEx>
          <w:tblCellMar>
            <w:top w:w="0" w:type="dxa"/>
            <w:left w:w="108" w:type="dxa"/>
            <w:bottom w:w="0" w:type="dxa"/>
            <w:right w:w="108" w:type="dxa"/>
          </w:tblCellMar>
        </w:tblPrEx>
        <w:trPr>
          <w:trHeight w:val="739" w:hRule="atLeast"/>
        </w:trPr>
        <w:tc>
          <w:tcPr>
            <w:tcW w:w="3220"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项目资金</w:t>
            </w:r>
          </w:p>
          <w:p>
            <w:pPr>
              <w:widowControl/>
              <w:jc w:val="center"/>
              <w:rPr>
                <w:rFonts w:ascii="宋体" w:hAnsi="宋体" w:cs="宋体"/>
                <w:kern w:val="0"/>
                <w:sz w:val="24"/>
                <w:szCs w:val="24"/>
              </w:rPr>
            </w:pPr>
            <w:r>
              <w:rPr>
                <w:rFonts w:hint="eastAsia" w:ascii="宋体" w:hAnsi="宋体" w:cs="宋体"/>
                <w:kern w:val="0"/>
                <w:sz w:val="24"/>
                <w:szCs w:val="24"/>
              </w:rPr>
              <w:t>（万元）</w:t>
            </w:r>
          </w:p>
        </w:tc>
        <w:tc>
          <w:tcPr>
            <w:tcW w:w="28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年度资金总额</w:t>
            </w:r>
          </w:p>
        </w:tc>
        <w:tc>
          <w:tcPr>
            <w:tcW w:w="40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40</w:t>
            </w:r>
          </w:p>
        </w:tc>
      </w:tr>
      <w:tr>
        <w:tblPrEx>
          <w:tblCellMar>
            <w:top w:w="0" w:type="dxa"/>
            <w:left w:w="108" w:type="dxa"/>
            <w:bottom w:w="0" w:type="dxa"/>
            <w:right w:w="108" w:type="dxa"/>
          </w:tblCellMar>
        </w:tblPrEx>
        <w:trPr>
          <w:trHeight w:val="739" w:hRule="atLeast"/>
        </w:trPr>
        <w:tc>
          <w:tcPr>
            <w:tcW w:w="3220"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c>
          <w:tcPr>
            <w:tcW w:w="28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其中：财政拨款</w:t>
            </w:r>
          </w:p>
        </w:tc>
        <w:tc>
          <w:tcPr>
            <w:tcW w:w="40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40</w:t>
            </w:r>
          </w:p>
        </w:tc>
      </w:tr>
      <w:tr>
        <w:tblPrEx>
          <w:tblCellMar>
            <w:top w:w="0" w:type="dxa"/>
            <w:left w:w="108" w:type="dxa"/>
            <w:bottom w:w="0" w:type="dxa"/>
            <w:right w:w="108" w:type="dxa"/>
          </w:tblCellMar>
        </w:tblPrEx>
        <w:trPr>
          <w:trHeight w:val="739" w:hRule="atLeast"/>
        </w:trPr>
        <w:tc>
          <w:tcPr>
            <w:tcW w:w="3220"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c>
          <w:tcPr>
            <w:tcW w:w="28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其他资金</w:t>
            </w:r>
          </w:p>
        </w:tc>
        <w:tc>
          <w:tcPr>
            <w:tcW w:w="40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0</w:t>
            </w:r>
          </w:p>
        </w:tc>
      </w:tr>
      <w:tr>
        <w:tblPrEx>
          <w:tblCellMar>
            <w:top w:w="0" w:type="dxa"/>
            <w:left w:w="108" w:type="dxa"/>
            <w:bottom w:w="0" w:type="dxa"/>
            <w:right w:w="108" w:type="dxa"/>
          </w:tblCellMar>
        </w:tblPrEx>
        <w:trPr>
          <w:trHeight w:val="739" w:hRule="atLeast"/>
        </w:trPr>
        <w:tc>
          <w:tcPr>
            <w:tcW w:w="3220"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c>
          <w:tcPr>
            <w:tcW w:w="28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上年结转</w:t>
            </w:r>
          </w:p>
        </w:tc>
        <w:tc>
          <w:tcPr>
            <w:tcW w:w="40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0</w:t>
            </w:r>
          </w:p>
        </w:tc>
      </w:tr>
      <w:tr>
        <w:tblPrEx>
          <w:tblCellMar>
            <w:top w:w="0" w:type="dxa"/>
            <w:left w:w="108" w:type="dxa"/>
            <w:bottom w:w="0" w:type="dxa"/>
            <w:right w:w="108" w:type="dxa"/>
          </w:tblCellMar>
        </w:tblPrEx>
        <w:trPr>
          <w:trHeight w:val="619" w:hRule="atLeast"/>
        </w:trPr>
        <w:tc>
          <w:tcPr>
            <w:tcW w:w="10060" w:type="dxa"/>
            <w:gridSpan w:val="5"/>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年度绩效目标</w:t>
            </w:r>
          </w:p>
        </w:tc>
      </w:tr>
      <w:tr>
        <w:tblPrEx>
          <w:tblCellMar>
            <w:top w:w="0" w:type="dxa"/>
            <w:left w:w="108" w:type="dxa"/>
            <w:bottom w:w="0" w:type="dxa"/>
            <w:right w:w="108" w:type="dxa"/>
          </w:tblCellMar>
        </w:tblPrEx>
        <w:trPr>
          <w:trHeight w:val="1515" w:hRule="atLeast"/>
        </w:trPr>
        <w:tc>
          <w:tcPr>
            <w:tcW w:w="1006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工信局43人日常企业及脱贫户帮扶等费用</w:t>
            </w:r>
          </w:p>
        </w:tc>
      </w:tr>
      <w:tr>
        <w:tblPrEx>
          <w:tblCellMar>
            <w:top w:w="0" w:type="dxa"/>
            <w:left w:w="108" w:type="dxa"/>
            <w:bottom w:w="0" w:type="dxa"/>
            <w:right w:w="108" w:type="dxa"/>
          </w:tblCellMar>
        </w:tblPrEx>
        <w:trPr>
          <w:trHeight w:val="619" w:hRule="atLeast"/>
        </w:trPr>
        <w:tc>
          <w:tcPr>
            <w:tcW w:w="13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一级指标</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二级指标</w:t>
            </w:r>
          </w:p>
        </w:tc>
        <w:tc>
          <w:tcPr>
            <w:tcW w:w="428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三级指标</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指标值</w:t>
            </w:r>
          </w:p>
        </w:tc>
      </w:tr>
      <w:tr>
        <w:tblPrEx>
          <w:tblCellMar>
            <w:top w:w="0" w:type="dxa"/>
            <w:left w:w="108" w:type="dxa"/>
            <w:bottom w:w="0" w:type="dxa"/>
            <w:right w:w="108" w:type="dxa"/>
          </w:tblCellMar>
        </w:tblPrEx>
        <w:trPr>
          <w:trHeight w:val="739" w:hRule="atLeast"/>
        </w:trPr>
        <w:tc>
          <w:tcPr>
            <w:tcW w:w="13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成本指标</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经济成本指标</w:t>
            </w:r>
          </w:p>
        </w:tc>
        <w:tc>
          <w:tcPr>
            <w:tcW w:w="428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业务费</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＝40万元</w:t>
            </w:r>
          </w:p>
        </w:tc>
      </w:tr>
      <w:tr>
        <w:tblPrEx>
          <w:tblCellMar>
            <w:top w:w="0" w:type="dxa"/>
            <w:left w:w="108" w:type="dxa"/>
            <w:bottom w:w="0" w:type="dxa"/>
            <w:right w:w="108" w:type="dxa"/>
          </w:tblCellMar>
        </w:tblPrEx>
        <w:trPr>
          <w:trHeight w:val="739" w:hRule="atLeast"/>
        </w:trPr>
        <w:tc>
          <w:tcPr>
            <w:tcW w:w="136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产出指标</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数量指标</w:t>
            </w:r>
          </w:p>
        </w:tc>
        <w:tc>
          <w:tcPr>
            <w:tcW w:w="428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2023年业务费</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＝40万元</w:t>
            </w:r>
          </w:p>
        </w:tc>
      </w:tr>
      <w:tr>
        <w:tblPrEx>
          <w:tblCellMar>
            <w:top w:w="0" w:type="dxa"/>
            <w:left w:w="108" w:type="dxa"/>
            <w:bottom w:w="0" w:type="dxa"/>
            <w:right w:w="108" w:type="dxa"/>
          </w:tblCellMar>
        </w:tblPrEx>
        <w:trPr>
          <w:trHeight w:val="739" w:hRule="atLeast"/>
        </w:trPr>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质量指标</w:t>
            </w:r>
          </w:p>
        </w:tc>
        <w:tc>
          <w:tcPr>
            <w:tcW w:w="428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23年业务费</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＝40万元</w:t>
            </w:r>
          </w:p>
        </w:tc>
      </w:tr>
      <w:tr>
        <w:tblPrEx>
          <w:tblCellMar>
            <w:top w:w="0" w:type="dxa"/>
            <w:left w:w="108" w:type="dxa"/>
            <w:bottom w:w="0" w:type="dxa"/>
            <w:right w:w="108" w:type="dxa"/>
          </w:tblCellMar>
        </w:tblPrEx>
        <w:trPr>
          <w:trHeight w:val="739" w:hRule="atLeast"/>
        </w:trPr>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时效指标</w:t>
            </w:r>
          </w:p>
        </w:tc>
        <w:tc>
          <w:tcPr>
            <w:tcW w:w="428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2023年度业务费</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＝40万元</w:t>
            </w:r>
          </w:p>
        </w:tc>
      </w:tr>
      <w:tr>
        <w:tblPrEx>
          <w:tblCellMar>
            <w:top w:w="0" w:type="dxa"/>
            <w:left w:w="108" w:type="dxa"/>
            <w:bottom w:w="0" w:type="dxa"/>
            <w:right w:w="108" w:type="dxa"/>
          </w:tblCellMar>
        </w:tblPrEx>
        <w:trPr>
          <w:trHeight w:val="739" w:hRule="atLeast"/>
        </w:trPr>
        <w:tc>
          <w:tcPr>
            <w:tcW w:w="13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效益指标</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经济效益指标</w:t>
            </w:r>
          </w:p>
        </w:tc>
        <w:tc>
          <w:tcPr>
            <w:tcW w:w="428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业务费用</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＝40万元</w:t>
            </w:r>
          </w:p>
        </w:tc>
      </w:tr>
    </w:tbl>
    <w:p>
      <w:pPr>
        <w:pStyle w:val="2"/>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第四部分名词解释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（七）使用非财政拨款结余：填列历年滚存的非限定用途的非统计财政拨款结余弥补2023年收支差额的数额。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（八）上年结转和结余：填列2022年全部结转和结余的资金数，包括当年结转结余资金和历年滚存结转结余资金。</w:t>
      </w:r>
    </w:p>
    <w:p>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对部门或单位预算中涉及的支出功能分类科目（明细到项级），结合部门实际，参照《2023年政府收支分类科目》的规范说明行解释。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ascii="宋体" w:hAnsi="宋体" w:eastAsiaTheme="minorEastAsia" w:cstheme="minorEastAsia"/>
          <w:b/>
          <w:bCs/>
          <w:sz w:val="32"/>
          <w:szCs w:val="32"/>
        </w:rPr>
      </w:pPr>
      <w:r>
        <w:rPr>
          <w:rFonts w:hint="eastAsia" w:ascii="仿宋" w:hAnsi="仿宋" w:eastAsia="仿宋" w:cs="仿宋"/>
          <w:sz w:val="32"/>
          <w:szCs w:val="32"/>
        </w:rPr>
        <w:t>（六）死亡抚恤：反映单位遗属人员生活补助。</w:t>
      </w:r>
    </w:p>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39D1B13-6D79-4C15-AB24-5F322BF6097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9FD328F0-47A4-4175-B580-2B8A2E3F599F}"/>
  </w:font>
  <w:font w:name="仿宋_GB2312">
    <w:altName w:val="仿宋"/>
    <w:panose1 w:val="00000000000000000000"/>
    <w:charset w:val="86"/>
    <w:family w:val="modern"/>
    <w:pitch w:val="default"/>
    <w:sig w:usb0="00000000" w:usb1="00000000" w:usb2="00000000" w:usb3="00000000" w:csb0="00040000" w:csb1="00000000"/>
    <w:embedRegular r:id="rId3" w:fontKey="{84006FD1-83BE-413F-A0E0-0671ACD82748}"/>
  </w:font>
  <w:font w:name="方正小标宋简体">
    <w:panose1 w:val="02000000000000000000"/>
    <w:charset w:val="86"/>
    <w:family w:val="auto"/>
    <w:pitch w:val="default"/>
    <w:sig w:usb0="00000001" w:usb1="08000000" w:usb2="00000000" w:usb3="00000000" w:csb0="00040000" w:csb1="00000000"/>
    <w:embedRegular r:id="rId4" w:fontKey="{AFC4FD32-E528-4251-961D-5A2A9F7D9BCC}"/>
  </w:font>
  <w:font w:name="仿宋">
    <w:panose1 w:val="02010609060101010101"/>
    <w:charset w:val="86"/>
    <w:family w:val="modern"/>
    <w:pitch w:val="default"/>
    <w:sig w:usb0="800002BF" w:usb1="38CF7CFA" w:usb2="00000016" w:usb3="00000000" w:csb0="00040001" w:csb1="00000000"/>
    <w:embedRegular r:id="rId5" w:fontKey="{EEDC14BB-575A-44D9-9468-88C0624C1310}"/>
  </w:font>
  <w:font w:name="楷体">
    <w:panose1 w:val="02010609060101010101"/>
    <w:charset w:val="86"/>
    <w:family w:val="modern"/>
    <w:pitch w:val="default"/>
    <w:sig w:usb0="800002BF" w:usb1="38CF7CFA" w:usb2="00000016" w:usb3="00000000" w:csb0="00040001" w:csb1="00000000"/>
    <w:embedRegular r:id="rId6" w:fontKey="{58918C61-A340-416C-90B5-C1583244359E}"/>
  </w:font>
  <w:font w:name="Arial">
    <w:panose1 w:val="020B0604020202020204"/>
    <w:charset w:val="00"/>
    <w:family w:val="swiss"/>
    <w:pitch w:val="default"/>
    <w:sig w:usb0="E0002AFF" w:usb1="C0007843" w:usb2="00000009" w:usb3="00000000" w:csb0="400001FF" w:csb1="FFFF0000"/>
    <w:embedRegular r:id="rId7" w:fontKey="{34EA7EB8-E5FB-4318-BDDA-CFA621AAB22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path/>
          <v:fill on="f" focussize="0,0"/>
          <v:stroke on="f" weight="0.5pt" joinstyle="miter"/>
          <v:imagedata o:title=""/>
          <o:lock v:ext="edit"/>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8</w:t>
                </w:r>
                <w:r>
                  <w:rPr>
                    <w:rFonts w:hint="eastAsia" w:asciiTheme="minorEastAsia" w:hAnsiTheme="minorEastAsia" w:eastAsiaTheme="minorEastAsia" w:cstheme="minorEastAsia"/>
                    <w:sz w:val="28"/>
                    <w:szCs w:val="28"/>
                  </w:rPr>
                  <w:fldChar w:fldCharType="end"/>
                </w:r>
              </w:p>
            </w:txbxContent>
          </v:textbox>
        </v:shape>
      </w:pict>
    </w:r>
    <w:r>
      <w:pict>
        <v:shape id="文本框 1025" o:spid="_x0000_s1027"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MAvSNNABAACoAwAADgAAAAAAAAABACAAAAAeAQAAZHJz&#10;L2Uyb0RvYy54bWxQSwUGAAAAAAYABgBZAQAAYAUAAAAA&#10;">
          <v:path/>
          <v:fill on="f" focussize="0,0"/>
          <v:stroke on="f" joinstyle="miter"/>
          <v:imagedata o:title=""/>
          <o:lock v:ext="edit"/>
          <v:textbox inset="0mm,0mm,0mm,0mm" style="mso-fit-shape-to-text:t;">
            <w:txbxContent>
              <w:p>
                <w:pPr>
                  <w:pStyle w:val="4"/>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C489CC"/>
    <w:multiLevelType w:val="singleLevel"/>
    <w:tmpl w:val="2CC489CC"/>
    <w:lvl w:ilvl="0" w:tentative="0">
      <w:start w:val="2"/>
      <w:numFmt w:val="chineseCounting"/>
      <w:suff w:val="space"/>
      <w:lvlText w:val="%1、"/>
      <w:lvlJc w:val="left"/>
      <w:pPr>
        <w:ind w:left="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UxM2RmNGFhYmMzMGE2NTQ3MWFlYjQzZmZlMTkyZjkifQ=="/>
  </w:docVars>
  <w:rsids>
    <w:rsidRoot w:val="445E02C8"/>
    <w:rsid w:val="00076161"/>
    <w:rsid w:val="00097243"/>
    <w:rsid w:val="000B237A"/>
    <w:rsid w:val="000B3D0E"/>
    <w:rsid w:val="000B6C74"/>
    <w:rsid w:val="000D40DB"/>
    <w:rsid w:val="000D7E4E"/>
    <w:rsid w:val="00115A22"/>
    <w:rsid w:val="00176783"/>
    <w:rsid w:val="001916C2"/>
    <w:rsid w:val="00193748"/>
    <w:rsid w:val="001A05C0"/>
    <w:rsid w:val="001B1940"/>
    <w:rsid w:val="001B3145"/>
    <w:rsid w:val="001D4868"/>
    <w:rsid w:val="001D6F75"/>
    <w:rsid w:val="00221C3F"/>
    <w:rsid w:val="00256C35"/>
    <w:rsid w:val="003039C9"/>
    <w:rsid w:val="00304586"/>
    <w:rsid w:val="0039518B"/>
    <w:rsid w:val="003A7B36"/>
    <w:rsid w:val="003E7B99"/>
    <w:rsid w:val="003F28A1"/>
    <w:rsid w:val="003F7EFD"/>
    <w:rsid w:val="00451CFC"/>
    <w:rsid w:val="0045242F"/>
    <w:rsid w:val="0049232A"/>
    <w:rsid w:val="004A56B1"/>
    <w:rsid w:val="004B3CF6"/>
    <w:rsid w:val="004C09B2"/>
    <w:rsid w:val="004C0E29"/>
    <w:rsid w:val="004F647B"/>
    <w:rsid w:val="00500DC4"/>
    <w:rsid w:val="005272CD"/>
    <w:rsid w:val="00533C1A"/>
    <w:rsid w:val="005528F6"/>
    <w:rsid w:val="005B467F"/>
    <w:rsid w:val="005F7A5F"/>
    <w:rsid w:val="00602DF7"/>
    <w:rsid w:val="0060557D"/>
    <w:rsid w:val="00671B54"/>
    <w:rsid w:val="00680C0E"/>
    <w:rsid w:val="006956FC"/>
    <w:rsid w:val="006A139F"/>
    <w:rsid w:val="006A5B30"/>
    <w:rsid w:val="006B3B72"/>
    <w:rsid w:val="006C3E91"/>
    <w:rsid w:val="006D5F58"/>
    <w:rsid w:val="006E0E33"/>
    <w:rsid w:val="006F04C2"/>
    <w:rsid w:val="00704482"/>
    <w:rsid w:val="007102BA"/>
    <w:rsid w:val="0071570F"/>
    <w:rsid w:val="00720F51"/>
    <w:rsid w:val="00724EDC"/>
    <w:rsid w:val="007378A3"/>
    <w:rsid w:val="007459A1"/>
    <w:rsid w:val="00763D68"/>
    <w:rsid w:val="00767663"/>
    <w:rsid w:val="007A6D28"/>
    <w:rsid w:val="007D66A8"/>
    <w:rsid w:val="007E552D"/>
    <w:rsid w:val="008006A8"/>
    <w:rsid w:val="008154F9"/>
    <w:rsid w:val="00834127"/>
    <w:rsid w:val="00883945"/>
    <w:rsid w:val="0090309A"/>
    <w:rsid w:val="009066D5"/>
    <w:rsid w:val="009A2929"/>
    <w:rsid w:val="009A64FB"/>
    <w:rsid w:val="009B0333"/>
    <w:rsid w:val="009F72F6"/>
    <w:rsid w:val="00A06625"/>
    <w:rsid w:val="00A21123"/>
    <w:rsid w:val="00A540BE"/>
    <w:rsid w:val="00AC6E67"/>
    <w:rsid w:val="00AF7034"/>
    <w:rsid w:val="00B168B1"/>
    <w:rsid w:val="00B409D0"/>
    <w:rsid w:val="00B578FD"/>
    <w:rsid w:val="00B724C1"/>
    <w:rsid w:val="00B847EA"/>
    <w:rsid w:val="00BA746A"/>
    <w:rsid w:val="00BB2928"/>
    <w:rsid w:val="00BC055B"/>
    <w:rsid w:val="00BC2315"/>
    <w:rsid w:val="00BE5B67"/>
    <w:rsid w:val="00BF5815"/>
    <w:rsid w:val="00C709B8"/>
    <w:rsid w:val="00C7556F"/>
    <w:rsid w:val="00C77327"/>
    <w:rsid w:val="00CB1E0E"/>
    <w:rsid w:val="00CD28C9"/>
    <w:rsid w:val="00D01FAC"/>
    <w:rsid w:val="00D10404"/>
    <w:rsid w:val="00D31C9A"/>
    <w:rsid w:val="00D41711"/>
    <w:rsid w:val="00D41C69"/>
    <w:rsid w:val="00D511F2"/>
    <w:rsid w:val="00D830CF"/>
    <w:rsid w:val="00D90F45"/>
    <w:rsid w:val="00DC6713"/>
    <w:rsid w:val="00DE00E7"/>
    <w:rsid w:val="00DE44F6"/>
    <w:rsid w:val="00E00683"/>
    <w:rsid w:val="00E02948"/>
    <w:rsid w:val="00E1510D"/>
    <w:rsid w:val="00E43798"/>
    <w:rsid w:val="00E85BF8"/>
    <w:rsid w:val="00E919DA"/>
    <w:rsid w:val="00F02DEF"/>
    <w:rsid w:val="00F4656B"/>
    <w:rsid w:val="00F630DA"/>
    <w:rsid w:val="00F9796B"/>
    <w:rsid w:val="00FB7FBA"/>
    <w:rsid w:val="00FC0657"/>
    <w:rsid w:val="00FC5811"/>
    <w:rsid w:val="04EE7A30"/>
    <w:rsid w:val="0A5A0584"/>
    <w:rsid w:val="19CF11C0"/>
    <w:rsid w:val="2C1B2CF0"/>
    <w:rsid w:val="326D79FF"/>
    <w:rsid w:val="34453D9F"/>
    <w:rsid w:val="34BA268B"/>
    <w:rsid w:val="371B72DE"/>
    <w:rsid w:val="391F00CC"/>
    <w:rsid w:val="3A4013F4"/>
    <w:rsid w:val="3F5F2902"/>
    <w:rsid w:val="3FFE2FA6"/>
    <w:rsid w:val="445E02C8"/>
    <w:rsid w:val="468978AC"/>
    <w:rsid w:val="479A005B"/>
    <w:rsid w:val="568D366F"/>
    <w:rsid w:val="64114377"/>
    <w:rsid w:val="64A21FD2"/>
    <w:rsid w:val="64F71571"/>
    <w:rsid w:val="651144BD"/>
    <w:rsid w:val="6B7D28AC"/>
    <w:rsid w:val="71724DA6"/>
    <w:rsid w:val="73D72D76"/>
    <w:rsid w:val="7FC543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alloon Text"/>
    <w:basedOn w:val="1"/>
    <w:link w:val="9"/>
    <w:qFormat/>
    <w:uiPriority w:val="0"/>
    <w:rPr>
      <w:sz w:val="18"/>
      <w:szCs w:val="18"/>
    </w:r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Times New Roman" w:hAnsi="Times New Roman" w:eastAsia="宋体" w:cs="Times New Roman"/>
      <w:kern w:val="2"/>
      <w:sz w:val="18"/>
      <w:szCs w:val="18"/>
    </w:rPr>
  </w:style>
  <w:style w:type="character" w:customStyle="1" w:styleId="9">
    <w:name w:val="批注框文本 Char"/>
    <w:basedOn w:val="7"/>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483423-2BCB-407D-89B6-8AB88B8EEA5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3958</Words>
  <Characters>4702</Characters>
  <Lines>42</Lines>
  <Paragraphs>11</Paragraphs>
  <TotalTime>10</TotalTime>
  <ScaleCrop>false</ScaleCrop>
  <LinksUpToDate>false</LinksUpToDate>
  <CharactersWithSpaces>4858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2024-05-31T03:43:00Z</dcterms:created>
  <dc:creator>巫媛</dc:creator>
  <cp:lastModifiedBy>WPS_1670148425</cp:lastModifiedBy>
  <dcterms:modified xsi:type="dcterms:W3CDTF">2024-06-06T01:23:54Z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24F7CB968EA84DE3AD5A4A4D4322362B_13</vt:lpwstr>
  </property>
</Properties>
</file>