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兴国县公安</w:t>
      </w:r>
      <w:r>
        <w:rPr>
          <w:rFonts w:hint="eastAsia" w:ascii="方正小标宋简体" w:hAnsi="方正小标宋简体" w:eastAsia="方正小标宋简体" w:cs="方正小标宋简体"/>
          <w:b w:val="0"/>
          <w:bCs/>
          <w:color w:val="auto"/>
          <w:sz w:val="44"/>
          <w:szCs w:val="44"/>
        </w:rPr>
        <w:t>局</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公安局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公安局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公安局</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eastAsia="仿宋"/>
          <w:lang w:val="en-US" w:eastAsia="zh-CN"/>
        </w:rPr>
      </w:pPr>
      <w:r>
        <w:rPr>
          <w:rFonts w:hint="eastAsia" w:eastAsia="仿宋"/>
          <w:lang w:val="en-US" w:eastAsia="zh-CN"/>
        </w:rPr>
        <w:t>九、《国有资本经营预算支出表》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公安局</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ind w:firstLine="640" w:firstLineChars="200"/>
        <w:rPr>
          <w:rFonts w:hint="eastAsia" w:ascii="仿宋" w:hAnsi="仿宋" w:eastAsia="仿宋"/>
          <w:color w:val="auto"/>
          <w:sz w:val="32"/>
          <w:szCs w:val="32"/>
        </w:rPr>
      </w:pPr>
      <w:r>
        <w:rPr>
          <w:rFonts w:hint="eastAsia" w:ascii="仿宋" w:hAnsi="仿宋" w:eastAsia="仿宋"/>
          <w:color w:val="auto"/>
          <w:sz w:val="32"/>
          <w:szCs w:val="32"/>
        </w:rPr>
        <w:t>兴国县公安局是县政府主管公安工作的职能部门，主要职责有：</w:t>
      </w:r>
    </w:p>
    <w:p>
      <w:pPr>
        <w:ind w:firstLine="200"/>
        <w:rPr>
          <w:rFonts w:hint="eastAsia" w:ascii="仿宋" w:hAnsi="仿宋" w:eastAsia="仿宋"/>
          <w:color w:val="auto"/>
          <w:sz w:val="32"/>
          <w:szCs w:val="32"/>
        </w:rPr>
      </w:pPr>
      <w:r>
        <w:rPr>
          <w:rFonts w:hint="eastAsia" w:ascii="仿宋" w:hAnsi="仿宋" w:eastAsia="仿宋"/>
          <w:color w:val="auto"/>
          <w:sz w:val="32"/>
          <w:szCs w:val="32"/>
        </w:rPr>
        <w:t>（一）贯彻执行国家的法律、法规和公安工作的路线、方针、政策；对全县公安系统实施组织领导和指挥；对全县公安工作进行决策、部署。</w:t>
      </w:r>
    </w:p>
    <w:p>
      <w:pPr>
        <w:ind w:firstLine="200"/>
        <w:rPr>
          <w:rFonts w:hint="eastAsia" w:ascii="仿宋" w:hAnsi="仿宋" w:eastAsia="仿宋"/>
          <w:color w:val="auto"/>
          <w:sz w:val="32"/>
          <w:szCs w:val="32"/>
        </w:rPr>
      </w:pPr>
      <w:r>
        <w:rPr>
          <w:rFonts w:hint="eastAsia" w:ascii="仿宋" w:hAnsi="仿宋" w:eastAsia="仿宋"/>
          <w:color w:val="auto"/>
          <w:sz w:val="32"/>
          <w:szCs w:val="32"/>
        </w:rPr>
        <w:t>（二）掌握国内安全和社会治安情况，组织实施全县公安机关与“法轮功”及其他有害气功组织进行斗争。</w:t>
      </w:r>
    </w:p>
    <w:p>
      <w:pPr>
        <w:ind w:firstLine="200"/>
        <w:rPr>
          <w:rFonts w:hint="eastAsia" w:ascii="仿宋" w:hAnsi="仿宋" w:eastAsia="仿宋"/>
          <w:color w:val="auto"/>
          <w:sz w:val="32"/>
          <w:szCs w:val="32"/>
        </w:rPr>
      </w:pPr>
      <w:r>
        <w:rPr>
          <w:rFonts w:hint="eastAsia" w:ascii="仿宋" w:hAnsi="仿宋" w:eastAsia="仿宋"/>
          <w:color w:val="auto"/>
          <w:sz w:val="32"/>
          <w:szCs w:val="32"/>
        </w:rPr>
        <w:t>（三）组织实施预防、制止和侦查违法犯罪活动。</w:t>
      </w:r>
    </w:p>
    <w:p>
      <w:pPr>
        <w:ind w:firstLine="200"/>
        <w:rPr>
          <w:rFonts w:hint="eastAsia" w:ascii="仿宋" w:hAnsi="仿宋" w:eastAsia="仿宋"/>
          <w:color w:val="auto"/>
          <w:sz w:val="32"/>
          <w:szCs w:val="32"/>
        </w:rPr>
      </w:pPr>
      <w:r>
        <w:rPr>
          <w:rFonts w:hint="eastAsia" w:ascii="仿宋" w:hAnsi="仿宋" w:eastAsia="仿宋"/>
          <w:color w:val="auto"/>
          <w:sz w:val="32"/>
          <w:szCs w:val="32"/>
        </w:rPr>
        <w:t>（四）组织实施全县公安机关依法查处危害社会治安秩序行为；依法管理户籍、枪支弹药、危险物品和特种行业等工作；管理集会、游行、示威活动；组织、协调处置重大案件、治安事件、治安事故和骚乱。</w:t>
      </w:r>
    </w:p>
    <w:p>
      <w:pPr>
        <w:ind w:firstLine="200"/>
        <w:rPr>
          <w:rFonts w:hint="eastAsia" w:ascii="仿宋" w:hAnsi="仿宋" w:eastAsia="仿宋"/>
          <w:color w:val="auto"/>
          <w:sz w:val="32"/>
          <w:szCs w:val="32"/>
        </w:rPr>
      </w:pPr>
      <w:r>
        <w:rPr>
          <w:rFonts w:hint="eastAsia" w:ascii="仿宋" w:hAnsi="仿宋" w:eastAsia="仿宋"/>
          <w:color w:val="auto"/>
          <w:sz w:val="32"/>
          <w:szCs w:val="32"/>
        </w:rPr>
        <w:t>（五）组织指导出（入）境和外国人在我县境内居留、旅行的有关管理和公安外事工作。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（六）组织实施消防工作，实行消防监督。</w:t>
      </w:r>
    </w:p>
    <w:p>
      <w:pPr>
        <w:ind w:firstLine="200"/>
        <w:rPr>
          <w:rFonts w:hint="eastAsia" w:ascii="仿宋" w:hAnsi="仿宋" w:eastAsia="仿宋"/>
          <w:color w:val="auto"/>
          <w:sz w:val="32"/>
          <w:szCs w:val="32"/>
        </w:rPr>
      </w:pPr>
      <w:r>
        <w:rPr>
          <w:rFonts w:hint="eastAsia" w:ascii="仿宋" w:hAnsi="仿宋" w:eastAsia="仿宋"/>
          <w:color w:val="auto"/>
          <w:sz w:val="32"/>
          <w:szCs w:val="32"/>
        </w:rPr>
        <w:t>（七）贯彻《警卫工作规定》，警卫国家规定的特定人员，守卫重要的场所和设施。</w:t>
      </w:r>
    </w:p>
    <w:p>
      <w:pPr>
        <w:ind w:firstLine="200"/>
        <w:rPr>
          <w:rFonts w:hint="eastAsia" w:ascii="仿宋" w:hAnsi="仿宋" w:eastAsia="仿宋"/>
          <w:color w:val="auto"/>
          <w:sz w:val="32"/>
          <w:szCs w:val="32"/>
        </w:rPr>
      </w:pPr>
      <w:r>
        <w:rPr>
          <w:rFonts w:hint="eastAsia" w:ascii="仿宋" w:hAnsi="仿宋" w:eastAsia="仿宋"/>
          <w:color w:val="auto"/>
          <w:sz w:val="32"/>
          <w:szCs w:val="32"/>
        </w:rPr>
        <w:t>（八）组织实施并指导全县公安机关维护道路交通安全、交通秩序以及车辆、驾驶员管理工作和交通事故查处工作。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（九）指导和监督全县公安机关对国家机关、社会团体、企事业单位、院校和重点建设工程的治安保卫工作以及群众性治安组织的治安防范工作；指导机关、企事业单位保卫组织和经济民警队伍、保安队伍建设。</w:t>
      </w:r>
    </w:p>
    <w:p>
      <w:pPr>
        <w:ind w:firstLine="200"/>
        <w:rPr>
          <w:rFonts w:hint="eastAsia" w:ascii="仿宋" w:hAnsi="仿宋" w:eastAsia="仿宋"/>
          <w:color w:val="auto"/>
          <w:sz w:val="32"/>
          <w:szCs w:val="32"/>
        </w:rPr>
      </w:pPr>
      <w:r>
        <w:rPr>
          <w:rFonts w:hint="eastAsia" w:ascii="仿宋" w:hAnsi="仿宋" w:eastAsia="仿宋"/>
          <w:color w:val="auto"/>
          <w:sz w:val="32"/>
          <w:szCs w:val="32"/>
        </w:rPr>
        <w:t>（十）组织实施全县公安机关信息通信工作；组织实施、监督全县公共信息网络安全监察工作。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（十一）组织实施全县监所看管、开展狱侦、深挖犯罪等工作；领导看守所的工作。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（十二）组织实施全县公安法律建设；检查、督察公安机关执法活动；负责全县公安机关收容教养报批工作。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（十三）组织实施全县公安机关开展禁毒和缉毒工作。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（十四）组织全县公安科学技术工作，规划实施信息技术、刑事技术、行动技术建设。</w:t>
      </w:r>
    </w:p>
    <w:p>
      <w:pPr>
        <w:ind w:firstLine="200"/>
        <w:rPr>
          <w:rFonts w:hint="eastAsia" w:ascii="仿宋" w:hAnsi="仿宋" w:eastAsia="仿宋"/>
          <w:color w:val="auto"/>
          <w:sz w:val="32"/>
          <w:szCs w:val="32"/>
        </w:rPr>
      </w:pPr>
      <w:r>
        <w:rPr>
          <w:rFonts w:hint="eastAsia" w:ascii="仿宋" w:hAnsi="仿宋" w:eastAsia="仿宋"/>
          <w:color w:val="auto"/>
          <w:sz w:val="32"/>
          <w:szCs w:val="32"/>
        </w:rPr>
        <w:t>（十五）组织实施全县公安机关装备、被装配备和经费等警务保障。</w:t>
      </w:r>
    </w:p>
    <w:p>
      <w:pPr>
        <w:ind w:firstLine="200"/>
        <w:rPr>
          <w:rFonts w:hint="eastAsia" w:ascii="仿宋" w:hAnsi="仿宋" w:eastAsia="仿宋"/>
          <w:color w:val="auto"/>
          <w:sz w:val="32"/>
          <w:szCs w:val="32"/>
        </w:rPr>
      </w:pPr>
      <w:r>
        <w:rPr>
          <w:rFonts w:hint="eastAsia" w:ascii="仿宋" w:hAnsi="仿宋" w:eastAsia="仿宋"/>
          <w:color w:val="auto"/>
          <w:sz w:val="32"/>
          <w:szCs w:val="32"/>
        </w:rPr>
        <w:t>（十六）负责抓好全县公安政治工作和队伍建设；组织实施管理全县公安教育、培训及技能训练；组织公安宣传工作；按干部管理权限管理公安队伍干部人事工作。</w:t>
      </w:r>
    </w:p>
    <w:p>
      <w:pPr>
        <w:ind w:firstLine="200"/>
        <w:rPr>
          <w:rFonts w:hint="eastAsia" w:ascii="仿宋" w:hAnsi="仿宋" w:eastAsia="仿宋"/>
          <w:color w:val="auto"/>
          <w:sz w:val="32"/>
          <w:szCs w:val="32"/>
        </w:rPr>
      </w:pPr>
      <w:r>
        <w:rPr>
          <w:rFonts w:hint="eastAsia" w:ascii="仿宋" w:hAnsi="仿宋" w:eastAsia="仿宋"/>
          <w:color w:val="auto"/>
          <w:sz w:val="32"/>
          <w:szCs w:val="32"/>
        </w:rPr>
        <w:t>（十七）组织实施全县公安机关督察工作；按干部管理权限实施对干部的监督，查处公安队伍违纪案件。</w:t>
      </w:r>
    </w:p>
    <w:p>
      <w:pPr>
        <w:ind w:firstLine="200"/>
        <w:rPr>
          <w:rFonts w:hint="eastAsia" w:ascii="仿宋" w:hAnsi="仿宋" w:eastAsia="仿宋"/>
          <w:color w:val="auto"/>
          <w:sz w:val="32"/>
          <w:szCs w:val="32"/>
        </w:rPr>
      </w:pPr>
      <w:r>
        <w:rPr>
          <w:rFonts w:hint="eastAsia" w:ascii="仿宋" w:hAnsi="仿宋" w:eastAsia="仿宋"/>
          <w:color w:val="auto"/>
          <w:sz w:val="32"/>
          <w:szCs w:val="32"/>
        </w:rPr>
        <w:t>（十八）承办县委、县政府和上级公安机关交办的工作。</w:t>
      </w:r>
    </w:p>
    <w:p>
      <w:pPr>
        <w:spacing w:line="560" w:lineRule="exact"/>
        <w:ind w:firstLine="640" w:firstLineChars="200"/>
        <w:rPr>
          <w:rFonts w:ascii="仿宋" w:hAnsi="仿宋" w:eastAsia="仿宋" w:cs="仿宋"/>
          <w:color w:val="auto"/>
          <w:sz w:val="24"/>
          <w:szCs w:val="24"/>
        </w:rPr>
      </w:pPr>
      <w:r>
        <w:rPr>
          <w:rFonts w:hint="eastAsia" w:ascii="仿宋" w:hAnsi="仿宋" w:eastAsia="仿宋"/>
          <w:color w:val="auto"/>
          <w:sz w:val="32"/>
          <w:szCs w:val="32"/>
        </w:rPr>
        <w:t>　　（注：以上内容来源于兴发[2003]16号）</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val="en-US" w:eastAsia="zh-CN"/>
        </w:rPr>
        <w:t>兴国县公安局</w:t>
      </w:r>
      <w:r>
        <w:rPr>
          <w:rFonts w:hint="eastAsia" w:ascii="仿宋" w:hAnsi="仿宋" w:eastAsia="仿宋"/>
          <w:color w:val="auto"/>
          <w:sz w:val="32"/>
          <w:szCs w:val="32"/>
        </w:rPr>
        <w:t>共有预算单位</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个</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包括兴国县公安局本级、兴国县公安局交通管理大队</w:t>
      </w:r>
      <w:r>
        <w:rPr>
          <w:rFonts w:hint="eastAsia" w:ascii="仿宋" w:hAnsi="仿宋" w:eastAsia="仿宋"/>
          <w:color w:val="auto"/>
          <w:sz w:val="32"/>
          <w:szCs w:val="32"/>
        </w:rPr>
        <w:t>。</w:t>
      </w:r>
    </w:p>
    <w:p>
      <w:pPr>
        <w:ind w:firstLine="640" w:firstLineChars="200"/>
        <w:rPr>
          <w:rFonts w:ascii="仿宋" w:hAnsi="仿宋" w:eastAsia="仿宋" w:cs="仿宋"/>
          <w:color w:val="auto"/>
          <w:sz w:val="32"/>
          <w:szCs w:val="32"/>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485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473</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12</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485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485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473</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12</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117</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24</w:t>
      </w:r>
      <w:r>
        <w:rPr>
          <w:rFonts w:ascii="仿宋" w:hAnsi="仿宋" w:eastAsia="仿宋"/>
          <w:color w:val="auto"/>
          <w:sz w:val="32"/>
          <w:szCs w:val="32"/>
        </w:rPr>
        <w:t>人。</w:t>
      </w:r>
      <w:r>
        <w:rPr>
          <w:color w:val="auto"/>
        </w:rPr>
        <w:fldChar w:fldCharType="end"/>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公安局</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25854.32</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2037.31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少7.3%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按“过紧日子”要求，节约开支。</w:t>
      </w:r>
    </w:p>
    <w:p>
      <w:pPr>
        <w:spacing w:line="560" w:lineRule="exact"/>
        <w:ind w:firstLine="600" w:firstLineChars="200"/>
        <w:rPr>
          <w:rFonts w:ascii="仿宋_GB2312" w:eastAsia="仿宋_GB2312"/>
          <w:color w:val="auto"/>
          <w:sz w:val="32"/>
          <w:szCs w:val="32"/>
        </w:rPr>
      </w:pPr>
      <w:r>
        <w:rPr>
          <w:rFonts w:hint="eastAsia" w:ascii="仿宋" w:hAnsi="仿宋" w:eastAsia="仿宋" w:cs="仿宋"/>
          <w:color w:val="auto"/>
          <w:sz w:val="30"/>
          <w:szCs w:val="30"/>
          <w:lang w:val="en-US" w:eastAsia="zh-CN"/>
        </w:rPr>
        <w:t>其中</w:t>
      </w:r>
      <w:r>
        <w:rPr>
          <w:rFonts w:hint="eastAsia" w:ascii="仿宋" w:hAnsi="仿宋" w:eastAsia="仿宋" w:cs="仿宋"/>
          <w:color w:val="auto"/>
          <w:sz w:val="30"/>
          <w:szCs w:val="30"/>
        </w:rPr>
        <w:t>：</w:t>
      </w:r>
      <w:r>
        <w:rPr>
          <w:rFonts w:hint="eastAsia" w:ascii="仿宋_GB2312" w:eastAsia="仿宋_GB2312"/>
          <w:color w:val="auto"/>
          <w:sz w:val="32"/>
          <w:szCs w:val="32"/>
        </w:rPr>
        <w:t>财政拨款收入</w:t>
      </w:r>
      <w:r>
        <w:rPr>
          <w:rFonts w:hint="eastAsia" w:ascii="仿宋_GB2312" w:eastAsia="仿宋_GB2312"/>
          <w:color w:val="auto"/>
          <w:sz w:val="32"/>
          <w:szCs w:val="32"/>
          <w:lang w:val="en-US" w:eastAsia="zh-CN"/>
        </w:rPr>
        <w:t>11670.41</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较上年预算安排减10023.43万元</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上级补助收入0万元，较上年安排减1660万元，</w:t>
      </w:r>
      <w:r>
        <w:rPr>
          <w:rFonts w:hint="eastAsia" w:ascii="仿宋_GB2312" w:eastAsia="仿宋_GB2312"/>
          <w:color w:val="auto"/>
          <w:sz w:val="32"/>
          <w:szCs w:val="32"/>
        </w:rPr>
        <w:t>其他收入</w:t>
      </w:r>
      <w:r>
        <w:rPr>
          <w:rFonts w:hint="eastAsia" w:ascii="仿宋_GB2312" w:eastAsia="仿宋_GB2312"/>
          <w:color w:val="auto"/>
          <w:sz w:val="32"/>
          <w:szCs w:val="32"/>
          <w:lang w:val="en-US" w:eastAsia="zh-CN"/>
        </w:rPr>
        <w:t>14183.91</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较上年预算安排增10572.85万元，上年结转（结余）0万元，较上年预算安排减926.73万元</w:t>
      </w:r>
      <w:r>
        <w:rPr>
          <w:rFonts w:hint="eastAsia" w:ascii="仿宋_GB2312" w:eastAsia="仿宋_GB2312"/>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25854.32</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2037.31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7.3%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按“过紧日子”要求，节约开支。</w:t>
      </w:r>
      <w:r>
        <w:rPr>
          <w:rFonts w:hint="eastAsia" w:ascii="仿宋" w:hAnsi="仿宋" w:eastAsia="仿宋" w:cs="仿宋"/>
          <w:color w:val="auto"/>
          <w:sz w:val="30"/>
          <w:szCs w:val="30"/>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8847.42</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2480.41万</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w:t>
      </w:r>
      <w:r>
        <w:rPr>
          <w:rFonts w:hint="eastAsia" w:ascii="仿宋" w:hAnsi="仿宋" w:eastAsia="仿宋" w:cs="仿宋"/>
          <w:color w:val="auto"/>
          <w:sz w:val="30"/>
          <w:szCs w:val="30"/>
          <w:u w:val="none"/>
          <w:lang w:val="en-US" w:eastAsia="zh-CN"/>
        </w:rPr>
        <w:t>公共安全</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6998.87</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社会保障和就业</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val="en-US" w:eastAsia="zh-CN"/>
        </w:rPr>
        <w:t>783.19</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卫生健康支出492.67</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住房保障</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val="en-US" w:eastAsia="zh-CN"/>
        </w:rPr>
        <w:t>572.69</w:t>
      </w:r>
      <w:r>
        <w:rPr>
          <w:rFonts w:hint="eastAsia" w:ascii="仿宋" w:hAnsi="仿宋" w:eastAsia="仿宋" w:cs="仿宋"/>
          <w:color w:val="auto"/>
          <w:sz w:val="30"/>
          <w:szCs w:val="30"/>
          <w:u w:val="none"/>
          <w:lang w:eastAsia="zh-CN"/>
        </w:rPr>
        <w:t>万元。项目支出</w:t>
      </w:r>
      <w:r>
        <w:rPr>
          <w:rFonts w:hint="eastAsia" w:ascii="仿宋" w:hAnsi="仿宋" w:eastAsia="仿宋" w:cs="仿宋"/>
          <w:color w:val="auto"/>
          <w:sz w:val="32"/>
          <w:szCs w:val="32"/>
          <w:u w:val="none"/>
          <w:lang w:val="en-US" w:eastAsia="zh-CN"/>
        </w:rPr>
        <w:t>17006.90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443.1</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0"/>
          <w:szCs w:val="30"/>
          <w:u w:val="none"/>
          <w:lang w:eastAsia="zh-CN"/>
        </w:rPr>
        <w:t>其中：</w:t>
      </w:r>
      <w:r>
        <w:rPr>
          <w:rFonts w:hint="eastAsia" w:ascii="仿宋" w:hAnsi="仿宋" w:eastAsia="仿宋" w:cs="仿宋"/>
          <w:color w:val="auto"/>
          <w:sz w:val="30"/>
          <w:szCs w:val="30"/>
          <w:u w:val="none"/>
          <w:lang w:val="en-US" w:eastAsia="zh-CN"/>
        </w:rPr>
        <w:t>公共安全</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val="en-US" w:eastAsia="zh-CN"/>
        </w:rPr>
        <w:t>17006.90</w:t>
      </w:r>
      <w:r>
        <w:rPr>
          <w:rFonts w:hint="eastAsia" w:ascii="仿宋" w:hAnsi="仿宋" w:eastAsia="仿宋" w:cs="仿宋"/>
          <w:color w:val="auto"/>
          <w:sz w:val="30"/>
          <w:szCs w:val="30"/>
          <w:u w:val="none"/>
          <w:lang w:eastAsia="zh-CN"/>
        </w:rPr>
        <w:t>万</w:t>
      </w:r>
      <w:r>
        <w:rPr>
          <w:rFonts w:hint="eastAsia" w:ascii="仿宋" w:hAnsi="仿宋" w:eastAsia="仿宋" w:cs="仿宋"/>
          <w:color w:val="auto"/>
          <w:sz w:val="30"/>
          <w:szCs w:val="30"/>
          <w:lang w:eastAsia="zh-CN"/>
        </w:rPr>
        <w:t>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val="en-US" w:eastAsia="zh-CN"/>
        </w:rPr>
        <w:t>公共安全</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24005.76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减少1876.08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社会保障和就业支出783.19万元，较上年预算安排增加130.57万元；卫生健康支出492.68元，较上年预算安排增加9.32万元；住房保障支出572.69万元，较上年安排增加57.49万元，其他支出0万元，较上年预算安排减少358.61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3"/>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11670.41</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45.14</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减少10023.43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46.2%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财政保障范围调整，成本性返还纳入其他资金范围</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lang w:eastAsia="zh-CN"/>
        </w:rPr>
        <w:t>按支出项目类别及经济分类科目划分：基</w:t>
      </w:r>
      <w:r>
        <w:rPr>
          <w:rFonts w:hint="eastAsia" w:ascii="仿宋" w:hAnsi="仿宋" w:eastAsia="仿宋" w:cs="仿宋"/>
          <w:color w:val="auto"/>
          <w:sz w:val="30"/>
          <w:szCs w:val="30"/>
          <w:u w:val="none"/>
          <w:lang w:eastAsia="zh-CN"/>
        </w:rPr>
        <w:t>本支出</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7791.39</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1055.47万</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w:t>
      </w:r>
      <w:r>
        <w:rPr>
          <w:rFonts w:hint="eastAsia" w:ascii="仿宋" w:hAnsi="仿宋" w:eastAsia="仿宋" w:cs="仿宋"/>
          <w:color w:val="auto"/>
          <w:sz w:val="30"/>
          <w:szCs w:val="30"/>
          <w:u w:val="none"/>
          <w:lang w:val="en-US" w:eastAsia="zh-CN"/>
        </w:rPr>
        <w:t>公共安全</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0"/>
          <w:szCs w:val="30"/>
          <w:u w:val="none"/>
          <w:lang w:val="en-US" w:eastAsia="zh-CN"/>
        </w:rPr>
        <w:t>5942.83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社会保障和就业支出</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0"/>
          <w:szCs w:val="30"/>
          <w:u w:val="none"/>
          <w:lang w:val="en-US" w:eastAsia="zh-CN"/>
        </w:rPr>
        <w:t>783.19</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卫生健康支出</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492.67</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住房保障</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572.69</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万元。项目支出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3879.02</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8967.96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w:t>
      </w:r>
      <w:r>
        <w:rPr>
          <w:rFonts w:hint="eastAsia" w:ascii="仿宋" w:hAnsi="仿宋" w:eastAsia="仿宋" w:cs="仿宋"/>
          <w:color w:val="auto"/>
          <w:sz w:val="30"/>
          <w:szCs w:val="30"/>
          <w:u w:val="none"/>
          <w:lang w:val="en-US" w:eastAsia="zh-CN"/>
        </w:rPr>
        <w:t>公共安全</w:t>
      </w:r>
      <w:r>
        <w:rPr>
          <w:rFonts w:hint="eastAsia" w:ascii="仿宋" w:hAnsi="仿宋" w:eastAsia="仿宋" w:cs="仿宋"/>
          <w:color w:val="auto"/>
          <w:sz w:val="30"/>
          <w:szCs w:val="30"/>
          <w:u w:val="none"/>
          <w:lang w:eastAsia="zh-CN"/>
        </w:rPr>
        <w:t>支出</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3879.02</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0"/>
          <w:szCs w:val="30"/>
          <w:u w:val="none"/>
          <w:lang w:eastAsia="zh-CN"/>
        </w:rPr>
        <w:t>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0"/>
          <w:szCs w:val="30"/>
          <w:lang w:val="en-US" w:eastAsia="zh-CN"/>
        </w:rPr>
        <w:t>公共安全支出9822.83万元，较上年减少10348.15万元；社会保障和就业支出782.22万元，较上年增加200.92万元；医疗卫生支出492.67万元，较上年增加66.31万元；住房公积金支出572.69万元，较上年增加57.49万元。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无政府性基金预算拨款安排的支出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lang w:val="en-US" w:eastAsia="zh-CN"/>
        </w:rPr>
        <w:t>1697.5</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lang w:val="en-US" w:eastAsia="zh-CN"/>
        </w:rPr>
        <w:t>374.5</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，增减变化的</w:t>
      </w:r>
      <w:r>
        <w:rPr>
          <w:rFonts w:hint="eastAsia" w:ascii="仿宋" w:hAnsi="仿宋" w:eastAsia="仿宋" w:cs="仿宋"/>
          <w:color w:val="auto"/>
          <w:sz w:val="32"/>
          <w:szCs w:val="32"/>
          <w:lang w:val="en-US" w:eastAsia="zh-CN"/>
        </w:rPr>
        <w:t>主要原因是：人员较上年增长32人</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lang w:val="en-US" w:eastAsia="zh-CN"/>
        </w:rPr>
        <w:t>1479.9</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1419.9</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60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辆。</w:t>
      </w:r>
    </w:p>
    <w:p>
      <w:pPr>
        <w:spacing w:line="560" w:lineRule="exact"/>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辆，</w:t>
      </w:r>
      <w:r>
        <w:rPr>
          <w:rFonts w:hint="eastAsia" w:ascii="仿宋" w:hAnsi="仿宋" w:eastAsia="仿宋" w:cs="仿宋"/>
          <w:color w:val="auto"/>
          <w:sz w:val="32"/>
          <w:szCs w:val="32"/>
          <w:lang w:val="en-US" w:eastAsia="zh-CN"/>
        </w:rPr>
        <w:t>无</w:t>
      </w:r>
      <w:r>
        <w:rPr>
          <w:rFonts w:hint="eastAsia" w:ascii="仿宋" w:hAnsi="仿宋" w:eastAsia="仿宋" w:cs="仿宋"/>
          <w:color w:val="auto"/>
          <w:sz w:val="32"/>
          <w:szCs w:val="32"/>
        </w:rPr>
        <w:t>安排购置单位价值200万元以上大型设</w:t>
      </w:r>
      <w:r>
        <w:rPr>
          <w:rFonts w:hint="eastAsia" w:ascii="仿宋" w:hAnsi="仿宋" w:eastAsia="仿宋" w:cs="仿宋"/>
          <w:color w:val="auto"/>
          <w:sz w:val="32"/>
          <w:szCs w:val="32"/>
          <w:lang w:eastAsia="zh-CN"/>
        </w:rPr>
        <w:t>备。</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3" w:leftChars="0"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5115.05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2023年警察津贴补贴</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2023年警察津贴补贴</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赣市人社字[2017]322号转发人力资源社会保障部、财政部《关于执行人民警察法定工作日之外加班补贴有关问题的通知》</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兴国县公安局</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592.7万元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完成2022年公安工作任务</w:t>
      </w:r>
    </w:p>
    <w:p>
      <w:pPr>
        <w:pStyle w:val="2"/>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国有资本经营情况</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color w:val="auto"/>
          <w:sz w:val="32"/>
          <w:szCs w:val="32"/>
          <w:lang w:eastAsia="zh-CN"/>
        </w:rPr>
        <w:t>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val="en-US" w:eastAsia="zh-CN"/>
        </w:rPr>
        <w:t>公安局</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167.5</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无安排</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49.5</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5.55</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val="en-US" w:eastAsia="zh-CN"/>
        </w:rPr>
        <w:t>疫情影响减小，预计公务接待费增加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118</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33.55</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预计2023年社会面管控压力增加，车辆使用增加</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60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减270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车辆购买减少</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公安局2023年</w:t>
      </w:r>
      <w:r>
        <w:rPr>
          <w:rFonts w:hint="eastAsia" w:ascii="黑体" w:hAnsi="黑体" w:eastAsia="黑体" w:cs="黑体"/>
          <w:b w:val="0"/>
          <w:bCs w:val="0"/>
          <w:color w:val="auto"/>
          <w:sz w:val="32"/>
          <w:szCs w:val="32"/>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ind w:left="0" w:leftChars="0" w:firstLine="0" w:firstLineChars="0"/>
        <w:rPr>
          <w:rFonts w:hint="eastAsia"/>
          <w:lang w:eastAsia="zh-CN"/>
        </w:rPr>
      </w:pPr>
      <w:r>
        <w:rPr>
          <w:rFonts w:hint="eastAsia"/>
          <w:lang w:eastAsia="zh-CN"/>
        </w:rPr>
        <w:t>九、《国有资本经营预算支出表》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项目</w:t>
      </w:r>
      <w:r>
        <w:rPr>
          <w:rFonts w:hint="eastAsia" w:ascii="仿宋" w:hAnsi="仿宋" w:eastAsia="仿宋" w:cs="仿宋"/>
          <w:color w:val="auto"/>
          <w:sz w:val="32"/>
          <w:szCs w:val="32"/>
        </w:rPr>
        <w:t>支出绩效目标表》</w:t>
      </w:r>
    </w:p>
    <w:p>
      <w:pPr>
        <w:pStyle w:val="3"/>
        <w:rPr>
          <w:rFonts w:hint="eastAsia" w:eastAsia="仿宋"/>
          <w:color w:val="auto"/>
          <w:lang w:eastAsia="zh-CN"/>
        </w:rPr>
      </w:pPr>
      <w:r>
        <w:rPr>
          <w:color w:val="auto"/>
        </w:rPr>
        <w:drawing>
          <wp:inline distT="0" distB="0" distL="114300" distR="114300">
            <wp:extent cx="5543550" cy="5280025"/>
            <wp:effectExtent l="0" t="0" r="0" b="1587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5"/>
                    <a:stretch>
                      <a:fillRect/>
                    </a:stretch>
                  </pic:blipFill>
                  <pic:spPr>
                    <a:xfrm>
                      <a:off x="0" y="0"/>
                      <a:ext cx="5543550" cy="5280025"/>
                    </a:xfrm>
                    <a:prstGeom prst="rect">
                      <a:avLst/>
                    </a:prstGeom>
                    <a:noFill/>
                    <a:ln>
                      <a:noFill/>
                    </a:ln>
                  </pic:spPr>
                </pic:pic>
              </a:graphicData>
            </a:graphic>
          </wp:inline>
        </w:drawing>
      </w:r>
    </w:p>
    <w:p>
      <w:pPr>
        <w:numPr>
          <w:ilvl w:val="0"/>
          <w:numId w:val="0"/>
        </w:numPr>
        <w:spacing w:line="240" w:lineRule="auto"/>
        <w:ind w:leftChars="0"/>
        <w:rPr>
          <w:rFonts w:hint="eastAsia"/>
          <w:lang w:val="en-US" w:eastAsia="zh-CN"/>
        </w:rPr>
      </w:pPr>
      <w:bookmarkStart w:id="0" w:name="_GoBack"/>
      <w:bookmarkEnd w:id="0"/>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pStyle w:val="3"/>
        <w:numPr>
          <w:ilvl w:val="0"/>
          <w:numId w:val="0"/>
        </w:numPr>
        <w:ind w:leftChars="0"/>
        <w:rPr>
          <w:color w:val="auto"/>
        </w:rPr>
      </w:pPr>
      <w:r>
        <w:rPr>
          <w:color w:val="auto"/>
        </w:rPr>
        <w:drawing>
          <wp:inline distT="0" distB="0" distL="114300" distR="114300">
            <wp:extent cx="5542915" cy="7967980"/>
            <wp:effectExtent l="0" t="0" r="635" b="1397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6"/>
                    <a:stretch>
                      <a:fillRect/>
                    </a:stretch>
                  </pic:blipFill>
                  <pic:spPr>
                    <a:xfrm>
                      <a:off x="0" y="0"/>
                      <a:ext cx="5542915" cy="796798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A8EF9A5-80B3-4661-B2DC-FF1CAA7BD01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1A793D9F-2E4F-40A7-89AA-D095DE473454}"/>
  </w:font>
  <w:font w:name="方正小标宋简体">
    <w:panose1 w:val="02000000000000000000"/>
    <w:charset w:val="86"/>
    <w:family w:val="auto"/>
    <w:pitch w:val="default"/>
    <w:sig w:usb0="00000001" w:usb1="08000000" w:usb2="00000000" w:usb3="00000000" w:csb0="00040000" w:csb1="00000000"/>
    <w:embedRegular r:id="rId3" w:fontKey="{6DD5A8BC-FA0D-4E93-8C4E-99FE67CF36EB}"/>
  </w:font>
  <w:font w:name="仿宋">
    <w:panose1 w:val="02010609060101010101"/>
    <w:charset w:val="86"/>
    <w:family w:val="auto"/>
    <w:pitch w:val="default"/>
    <w:sig w:usb0="800002BF" w:usb1="38CF7CFA" w:usb2="00000016" w:usb3="00000000" w:csb0="00040001" w:csb1="00000000"/>
    <w:embedRegular r:id="rId4" w:fontKey="{A2E6B599-14BB-43C3-AA1C-B863E16D7219}"/>
  </w:font>
  <w:font w:name="楷体">
    <w:panose1 w:val="02010609060101010101"/>
    <w:charset w:val="86"/>
    <w:family w:val="auto"/>
    <w:pitch w:val="default"/>
    <w:sig w:usb0="800002BF" w:usb1="38CF7CFA" w:usb2="00000016" w:usb3="00000000" w:csb0="00040001" w:csb1="00000000"/>
    <w:embedRegular r:id="rId5" w:fontKey="{1889D21E-C023-4BE7-9188-AC3FF245F0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172A27"/>
    <w:rsid w:val="04EE7A30"/>
    <w:rsid w:val="05AF63FB"/>
    <w:rsid w:val="0B2321FF"/>
    <w:rsid w:val="0D3A7EF6"/>
    <w:rsid w:val="10854B20"/>
    <w:rsid w:val="17174E4F"/>
    <w:rsid w:val="1987004F"/>
    <w:rsid w:val="19CD24B2"/>
    <w:rsid w:val="1BDB3B90"/>
    <w:rsid w:val="1FAD123A"/>
    <w:rsid w:val="20A153C8"/>
    <w:rsid w:val="213C3AC8"/>
    <w:rsid w:val="21CE4BA2"/>
    <w:rsid w:val="26F23C6A"/>
    <w:rsid w:val="2DA11FF5"/>
    <w:rsid w:val="326D79FF"/>
    <w:rsid w:val="33844E91"/>
    <w:rsid w:val="3A4013F4"/>
    <w:rsid w:val="3F5F2902"/>
    <w:rsid w:val="3F603095"/>
    <w:rsid w:val="3FFE2FA6"/>
    <w:rsid w:val="40A4663B"/>
    <w:rsid w:val="445E02C8"/>
    <w:rsid w:val="478861CE"/>
    <w:rsid w:val="47BE02DE"/>
    <w:rsid w:val="4C8B7D31"/>
    <w:rsid w:val="50846DB8"/>
    <w:rsid w:val="560522C6"/>
    <w:rsid w:val="58C75133"/>
    <w:rsid w:val="5F3F649A"/>
    <w:rsid w:val="60161335"/>
    <w:rsid w:val="60E85F18"/>
    <w:rsid w:val="65441246"/>
    <w:rsid w:val="70C3591E"/>
    <w:rsid w:val="71724DA6"/>
    <w:rsid w:val="75C21155"/>
    <w:rsid w:val="79480103"/>
    <w:rsid w:val="7BBF2D77"/>
    <w:rsid w:val="7FB5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3745</Words>
  <Characters>4193</Characters>
  <Lines>0</Lines>
  <Paragraphs>0</Paragraphs>
  <TotalTime>1</TotalTime>
  <ScaleCrop>false</ScaleCrop>
  <LinksUpToDate>false</LinksUpToDate>
  <CharactersWithSpaces>4230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2022-01-30T09:32:00Z</dcterms:created>
  <dc:creator>巫媛</dc:creator>
  <cp:lastModifiedBy>WPS_1670148425</cp:lastModifiedBy>
  <cp:lastPrinted>2022-11-09T16:54:00Z</cp:lastPrinted>
  <dcterms:modified xsi:type="dcterms:W3CDTF">2024-06-18T00:30:59Z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F6084A26BB15AAFA3E007066A96A1CBC</vt:lpwstr>
  </property>
</Properties>
</file>