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bCs/>
          <w:color w:val="auto"/>
          <w:sz w:val="44"/>
          <w:szCs w:val="44"/>
        </w:rPr>
      </w:pPr>
      <w:r>
        <w:rPr>
          <w:rFonts w:hint="eastAsia" w:ascii="方正小标宋简体" w:hAnsi="方正小标宋简体" w:eastAsia="方正小标宋简体" w:cs="方正小标宋简体"/>
          <w:bCs/>
          <w:color w:val="auto"/>
          <w:sz w:val="44"/>
          <w:szCs w:val="44"/>
          <w:lang w:eastAsia="zh-CN"/>
        </w:rPr>
        <w:t>兴国县农业农村局</w:t>
      </w:r>
      <w:r>
        <w:rPr>
          <w:rFonts w:hint="eastAsia" w:ascii="方正小标宋简体" w:hAnsi="方正小标宋简体" w:eastAsia="方正小标宋简体" w:cs="方正小标宋简体"/>
          <w:bCs/>
          <w:color w:val="auto"/>
          <w:sz w:val="44"/>
          <w:szCs w:val="44"/>
        </w:rPr>
        <w:t>2023年部门预算</w:t>
      </w:r>
    </w:p>
    <w:p>
      <w:pPr>
        <w:spacing w:line="560" w:lineRule="exact"/>
        <w:jc w:val="center"/>
        <w:rPr>
          <w:rFonts w:ascii="方正小标宋简体" w:hAnsi="方正小标宋简体" w:eastAsia="方正小标宋简体" w:cs="方正小标宋简体"/>
          <w:bCs/>
          <w:color w:val="auto"/>
          <w:sz w:val="44"/>
          <w:szCs w:val="44"/>
        </w:rPr>
      </w:pPr>
      <w:r>
        <w:rPr>
          <w:rFonts w:hint="eastAsia" w:ascii="方正小标宋简体" w:hAnsi="方正小标宋简体" w:eastAsia="方正小标宋简体" w:cs="方正小标宋简体"/>
          <w:bCs/>
          <w:color w:val="auto"/>
          <w:sz w:val="44"/>
          <w:szCs w:val="44"/>
        </w:rPr>
        <w:t>编制说明</w:t>
      </w:r>
    </w:p>
    <w:p>
      <w:pPr>
        <w:spacing w:line="560" w:lineRule="exact"/>
        <w:jc w:val="center"/>
        <w:rPr>
          <w:rFonts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ascii="黑体" w:hAnsi="黑体" w:eastAsia="黑体" w:cs="黑体"/>
          <w:color w:val="auto"/>
          <w:sz w:val="32"/>
          <w:szCs w:val="32"/>
        </w:rPr>
      </w:pPr>
    </w:p>
    <w:p>
      <w:pPr>
        <w:spacing w:line="560" w:lineRule="exact"/>
        <w:ind w:left="684" w:hanging="684" w:hangingChars="213"/>
        <w:rPr>
          <w:rFonts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eastAsia="zh-CN"/>
        </w:rPr>
        <w:t>农业农村局</w:t>
      </w:r>
      <w:r>
        <w:rPr>
          <w:rFonts w:hint="eastAsia" w:ascii="仿宋" w:hAnsi="仿宋" w:eastAsia="仿宋" w:cs="仿宋"/>
          <w:b/>
          <w:bCs/>
          <w:color w:val="auto"/>
          <w:sz w:val="32"/>
          <w:szCs w:val="32"/>
        </w:rPr>
        <w:t>部门概况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一、部门主要职责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二、部门基本情况</w:t>
      </w:r>
    </w:p>
    <w:p>
      <w:pPr>
        <w:spacing w:line="560" w:lineRule="exact"/>
        <w:ind w:left="684" w:hanging="684" w:hangingChars="213"/>
        <w:rPr>
          <w:rFonts w:ascii="仿宋" w:hAnsi="仿宋" w:eastAsia="仿宋" w:cs="仿宋"/>
          <w:b/>
          <w:bCs/>
          <w:color w:val="auto"/>
          <w:sz w:val="32"/>
          <w:szCs w:val="32"/>
        </w:rPr>
      </w:pPr>
      <w:r>
        <w:rPr>
          <w:rFonts w:hint="eastAsia" w:ascii="仿宋" w:hAnsi="仿宋" w:eastAsia="仿宋" w:cs="仿宋"/>
          <w:b/>
          <w:bCs/>
          <w:color w:val="auto"/>
          <w:sz w:val="32"/>
          <w:szCs w:val="32"/>
        </w:rPr>
        <w:t>第二部分 兴国</w:t>
      </w:r>
      <w:r>
        <w:rPr>
          <w:rFonts w:hint="eastAsia" w:ascii="仿宋" w:hAnsi="仿宋" w:eastAsia="仿宋" w:cs="仿宋"/>
          <w:b/>
          <w:bCs/>
          <w:color w:val="auto"/>
          <w:sz w:val="32"/>
          <w:szCs w:val="32"/>
          <w:lang w:eastAsia="zh-CN"/>
        </w:rPr>
        <w:t>县农业农村局</w:t>
      </w:r>
      <w:r>
        <w:rPr>
          <w:rFonts w:hint="eastAsia" w:ascii="仿宋" w:hAnsi="仿宋" w:eastAsia="仿宋" w:cs="仿宋"/>
          <w:b/>
          <w:bCs/>
          <w:color w:val="auto"/>
          <w:sz w:val="32"/>
          <w:szCs w:val="32"/>
        </w:rPr>
        <w:t>部门预算情况说明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84" w:hanging="684" w:hangingChars="213"/>
        <w:rPr>
          <w:rFonts w:ascii="仿宋" w:hAnsi="仿宋" w:eastAsia="仿宋" w:cs="仿宋"/>
          <w:b/>
          <w:bCs/>
          <w:color w:val="auto"/>
          <w:sz w:val="32"/>
          <w:szCs w:val="32"/>
        </w:rPr>
      </w:pPr>
      <w:r>
        <w:rPr>
          <w:rFonts w:hint="eastAsia" w:ascii="仿宋" w:hAnsi="仿宋" w:eastAsia="仿宋" w:cs="仿宋"/>
          <w:b/>
          <w:bCs/>
          <w:color w:val="auto"/>
          <w:sz w:val="32"/>
          <w:szCs w:val="32"/>
        </w:rPr>
        <w:t>第三部分 兴国县</w:t>
      </w:r>
      <w:r>
        <w:rPr>
          <w:rFonts w:hint="eastAsia" w:ascii="仿宋" w:hAnsi="仿宋" w:eastAsia="仿宋" w:cs="仿宋"/>
          <w:b/>
          <w:bCs/>
          <w:color w:val="auto"/>
          <w:sz w:val="32"/>
          <w:szCs w:val="32"/>
          <w:lang w:eastAsia="zh-CN"/>
        </w:rPr>
        <w:t>农业农村局</w:t>
      </w:r>
      <w:r>
        <w:rPr>
          <w:rFonts w:hint="eastAsia" w:ascii="仿宋" w:hAnsi="仿宋" w:eastAsia="仿宋" w:cs="仿宋"/>
          <w:b/>
          <w:bCs/>
          <w:color w:val="auto"/>
          <w:sz w:val="32"/>
          <w:szCs w:val="32"/>
        </w:rPr>
        <w:t>部门预算表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三、《部门支出总表》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pStyle w:val="2"/>
        <w:rPr>
          <w:rFonts w:hint="eastAsia" w:eastAsia="仿宋"/>
          <w:lang w:val="en-US" w:eastAsia="zh-CN"/>
        </w:rPr>
      </w:pPr>
      <w:r>
        <w:rPr>
          <w:rFonts w:hint="eastAsia" w:ascii="仿宋" w:hAnsi="仿宋" w:eastAsia="仿宋" w:cs="仿宋"/>
          <w:color w:val="auto"/>
          <w:sz w:val="32"/>
          <w:szCs w:val="32"/>
          <w:lang w:val="en-US" w:eastAsia="zh-CN"/>
        </w:rPr>
        <w:t xml:space="preserve">  九、《国有资本经营预算支出表》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、《部门整体支出绩效目标表》</w:t>
      </w:r>
    </w:p>
    <w:p>
      <w:pPr>
        <w:spacing w:line="560" w:lineRule="exact"/>
        <w:ind w:left="10" w:leftChars="5" w:firstLine="620" w:firstLineChars="194"/>
        <w:rPr>
          <w:rFonts w:ascii="仿宋" w:hAnsi="仿宋" w:eastAsia="仿宋" w:cs="仿宋"/>
          <w:b/>
          <w:bCs/>
          <w:color w:val="auto"/>
          <w:sz w:val="32"/>
          <w:szCs w:val="32"/>
        </w:rPr>
      </w:pPr>
      <w:r>
        <w:rPr>
          <w:rFonts w:hint="eastAsia" w:ascii="仿宋" w:hAnsi="仿宋" w:eastAsia="仿宋" w:cs="仿宋"/>
          <w:color w:val="auto"/>
          <w:sz w:val="32"/>
          <w:szCs w:val="32"/>
        </w:rPr>
        <w:t>十</w:t>
      </w:r>
      <w:r>
        <w:rPr>
          <w:rFonts w:hint="eastAsia" w:ascii="仿宋" w:hAnsi="仿宋" w:eastAsia="仿宋" w:cs="仿宋"/>
          <w:color w:val="auto"/>
          <w:sz w:val="32"/>
          <w:szCs w:val="32"/>
          <w:lang w:eastAsia="zh-CN"/>
        </w:rPr>
        <w:t>一</w:t>
      </w:r>
      <w:r>
        <w:rPr>
          <w:rFonts w:hint="eastAsia" w:ascii="仿宋" w:hAnsi="仿宋" w:eastAsia="仿宋" w:cs="仿宋"/>
          <w:color w:val="auto"/>
          <w:sz w:val="32"/>
          <w:szCs w:val="32"/>
        </w:rPr>
        <w:t>、《项目支出绩效目标表》</w:t>
      </w: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pPr>
        <w:spacing w:line="560" w:lineRule="exact"/>
        <w:jc w:val="center"/>
        <w:rPr>
          <w:rFonts w:ascii="仿宋" w:hAnsi="仿宋" w:eastAsia="仿宋" w:cs="仿宋"/>
          <w:b/>
          <w:bCs/>
          <w:color w:val="auto"/>
          <w:sz w:val="32"/>
          <w:szCs w:val="32"/>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第一部分 兴国县农业农村局部门概况</w:t>
      </w:r>
    </w:p>
    <w:p>
      <w:pPr>
        <w:spacing w:line="560" w:lineRule="exact"/>
        <w:jc w:val="center"/>
        <w:rPr>
          <w:rFonts w:ascii="仿宋" w:hAnsi="仿宋" w:eastAsia="仿宋" w:cs="仿宋"/>
          <w:b/>
          <w:bCs/>
          <w:color w:val="auto"/>
          <w:sz w:val="32"/>
          <w:szCs w:val="32"/>
        </w:rPr>
      </w:pPr>
    </w:p>
    <w:p>
      <w:pPr>
        <w:numPr>
          <w:ilvl w:val="0"/>
          <w:numId w:val="1"/>
        </w:num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部门主要职责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0"/>
        <w:jc w:val="left"/>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color w:val="auto"/>
          <w:lang w:val="en-US" w:eastAsia="zh-CN"/>
        </w:rPr>
        <w:t xml:space="preserve">    </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一)贯彻落实中央和省、市关于“三农”工作的重大决策和法律法规，拟订并组织实施全县“三农”工作发展战略中长期规划。组织起草农业农村、粮油流通管理的有关制度和规范性文件并组织实施。参与涉农的财税、价格、收储、金融保险、进出口等政策制定。组织协调和监督指导农业、粮油流通行业综合行政执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0"/>
        <w:jc w:val="left"/>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(二)统筹推动全县农村社会事业、农村公共服务、农村文化、农村基础设施和乡村治理工作。牵头组织改善农村人居环境，组织实施新农村建设。指导农村精神文明和农耕文化建设。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0"/>
        <w:jc w:val="left"/>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(三) 拟订全县深化农村经济体制改革和巩固完善农村基本经营制度的政策。负责农民承包地、农村宅基地改革和管理相关工作。指导农村土地承包、耕地使用权流转和承包纠纷仲裁工作。负责农村集体产权制度改革，指导农村集体经济组织发展和集体资产管理工作。监督减轻农民负担和村民筹资筹劳管理工作。指导农民合作经济组织、农业社会化服务体系、新型农业经营主体建设与发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0"/>
        <w:jc w:val="left"/>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四)指导全县乡村特色产业、农产品加工业、休闲农业和乡镇企业发展工作，促进农村一二三产业融合发展。提出促进大宗农产品流通的建议，培育、保护农业品牌，组织农业产业化龙头企业监测和评定工作。发布全县农业农村经济信息，监测分析农业农村经济运行。承担全县农业统计和农业农村信息化有关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0"/>
        <w:jc w:val="left"/>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五)负责全县种植业、畜牧业、渔业、农垦、农业机械化等农业各产业的监督管理。指导粮油等农产品生产，组织协调“菜篮子”工作，引导产业结构调整和产品品质的改善。组织构建现代农业产业体系、生产体系、经营体系，指导农业标准化生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0"/>
        <w:jc w:val="left"/>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六)负责全县农产品质量安全监督管理。组织开展农产品质量安全监测、追溯、风险评估。参与制定农产品质量安全地方标准并会同有关部门组织实施。组织农产品质量安全的重大事故调查处理和突发事件的应对工作。指导农业检验检测体系建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0"/>
        <w:jc w:val="left"/>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七)组织全县农业资源区划工作。指导农用地、渔业水域以及农业生物物种资源的保护与管理，负责水生野生动植物保护、耕地及永久基本农田质量保护工作。指导设施农业、生态循环农业、节水农业发展以及农村可再生能源综合开发利用、农业生物质产业发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0"/>
        <w:jc w:val="left"/>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八)负责全县有关农业生产资料和农业投入品的监督管理。组织全县农业生产资源市场体系建设，拟订有关农业生产资料地方标准并监督实施。组织兽医医政、兽药药政药检工作负责执业兽医和畜禽屠宰行业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0"/>
        <w:jc w:val="left"/>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九)负责全县农业防灾减灾、农作物重大病虫害防治工作。监测、报告、发布农业灾情，组织农业救灾物资储备和调拨，提出生产救灾资金安排建议，指导紧急救灾和灾后生产恢复。指导全县动植物防疫检疫体系建设，组织、监督动植物防疫检疫工作，发布疫情并组织扑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0"/>
        <w:jc w:val="left"/>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十)负责农业投资管理。提出农业投融资体制机制改革建议。编制县级投资安排的农业投资项目建设规划，提出农业投资规模和方向、扶持农业农村发展财政项目的建议，按权限审批农业投资项目，负责农业投资项目资金安排和监督管理。(十一) 推动全县农业科技体制改革和农业科技创新体系建设。指导全县农业产业技术体系和农技推广体系建设，组织开展农业领域的高新技术和应用技术研究、科技成果转化和技术推广。负责全县农业转基因生物安全监督管理和农业植物新品种保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0"/>
        <w:jc w:val="left"/>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(十二)负责农业领域生态环境保护和节能减排工作。牵头负责农业农药化肥减量和废弃物资源化利用。指导农业清洁生产。指导全县农产品产地环境管理，牵头管理外来物种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0"/>
        <w:jc w:val="left"/>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十三)负责全县粮油流通领域行政管理，拟订全县粮油储备、流通发展规划和总量计划并组织实施。承接上级委托对中央、省、市级事权粮油进行日常管理。拟定县级应急储备粮油规模，负责政策性粮油应急保障供应及军粮供应与管理。拟订全县粮油流通基础设施建设规划并组织实施，保证储粮安全负责县级粮油储备、流通相关环节的监督检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0"/>
        <w:jc w:val="left"/>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(十四) 统筹推进全县农业农村人才工作。拟订全县农业农村、粮油人才队伍建设规划并组织实施，指导农业教育和农业职业技能开发，指导新型职业农民培育、农村实用人才培训以及农业、粮油科技人才培养工作。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0"/>
        <w:jc w:val="left"/>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(十五)监督指导全县农业、粮油流通行业安全生产工作,负责农业机械、渔政渔港和农药使用等安全监督管理工作。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0"/>
        <w:jc w:val="left"/>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十六)牵头开展全县农业、粮油对外合作工作，指导全县农业招商引资和开放型农业工作。承办相关农业、粮油涉外事务，负责农业利用外资工作，组织开展农业、粮油贸易促进和境内外农业、粮油交流合作，参与执行有关农业、粮油援外项目。组织开发农产品国际国内市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0"/>
        <w:jc w:val="left"/>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(十七) 完成县委、县政府交办的其它工作任务</w:t>
      </w:r>
    </w:p>
    <w:p>
      <w:pPr>
        <w:spacing w:line="560" w:lineRule="exact"/>
        <w:ind w:left="10" w:leftChars="5" w:firstLine="643" w:firstLineChars="200"/>
        <w:rPr>
          <w:rFonts w:ascii="楷体" w:hAnsi="楷体" w:eastAsia="楷体" w:cs="楷体"/>
          <w:b/>
          <w:bCs/>
          <w:color w:val="auto"/>
          <w:sz w:val="32"/>
          <w:szCs w:val="32"/>
        </w:rPr>
      </w:pPr>
      <w:r>
        <w:rPr>
          <w:rFonts w:hint="eastAsia" w:ascii="楷体" w:hAnsi="楷体" w:eastAsia="楷体" w:cs="楷体"/>
          <w:b/>
          <w:bCs/>
          <w:color w:val="auto"/>
          <w:sz w:val="32"/>
          <w:szCs w:val="32"/>
        </w:rPr>
        <w:t>二、部门基本情况</w:t>
      </w:r>
    </w:p>
    <w:p>
      <w:pPr>
        <w:ind w:firstLine="640" w:firstLineChars="200"/>
        <w:rPr>
          <w:rFonts w:ascii="仿宋" w:hAnsi="仿宋" w:eastAsia="仿宋"/>
          <w:color w:val="auto"/>
          <w:sz w:val="32"/>
          <w:szCs w:val="32"/>
        </w:rPr>
      </w:pPr>
      <w:r>
        <w:rPr>
          <w:rFonts w:hint="eastAsia" w:ascii="仿宋" w:hAnsi="仿宋" w:eastAsia="仿宋" w:cs="仿宋"/>
          <w:color w:val="auto"/>
          <w:sz w:val="32"/>
          <w:szCs w:val="32"/>
        </w:rPr>
        <w:t>2023年</w:t>
      </w:r>
      <w:r>
        <w:rPr>
          <w:rFonts w:hint="eastAsia" w:ascii="仿宋" w:hAnsi="仿宋" w:eastAsia="仿宋"/>
          <w:color w:val="auto"/>
          <w:sz w:val="32"/>
          <w:szCs w:val="32"/>
        </w:rPr>
        <w:t>兴国县农业农村局部门共有预算单位</w:t>
      </w:r>
      <w:r>
        <w:rPr>
          <w:rFonts w:hint="eastAsia" w:ascii="仿宋" w:hAnsi="仿宋" w:eastAsia="仿宋"/>
          <w:color w:val="auto"/>
          <w:kern w:val="0"/>
          <w:sz w:val="32"/>
          <w:szCs w:val="32"/>
          <w:lang w:val="en-US" w:eastAsia="zh-CN"/>
        </w:rPr>
        <w:t>3</w:t>
      </w:r>
      <w:r>
        <w:rPr>
          <w:rFonts w:ascii="仿宋" w:hAnsi="仿宋" w:eastAsia="仿宋"/>
          <w:color w:val="auto"/>
          <w:sz w:val="32"/>
          <w:szCs w:val="32"/>
        </w:rPr>
        <w:t>个，包括</w:t>
      </w:r>
      <w:r>
        <w:rPr>
          <w:rFonts w:hint="eastAsia" w:ascii="仿宋" w:hAnsi="仿宋" w:eastAsia="仿宋"/>
          <w:color w:val="auto"/>
          <w:sz w:val="32"/>
          <w:szCs w:val="32"/>
        </w:rPr>
        <w:t>：（兴国县农业农村局本级、</w:t>
      </w:r>
      <w:r>
        <w:rPr>
          <w:rFonts w:ascii="仿宋_GB2312" w:hAnsi="宋体" w:eastAsia="仿宋_GB2312" w:cs="仿宋_GB2312"/>
          <w:i w:val="0"/>
          <w:iCs w:val="0"/>
          <w:caps w:val="0"/>
          <w:color w:val="auto"/>
          <w:spacing w:val="0"/>
          <w:sz w:val="32"/>
          <w:szCs w:val="32"/>
          <w:shd w:val="clear" w:fill="FFFFFF"/>
        </w:rPr>
        <w:t>兴国县农</w:t>
      </w:r>
      <w:r>
        <w:rPr>
          <w:rFonts w:hint="eastAsia" w:ascii="仿宋_GB2312" w:hAnsi="宋体" w:eastAsia="仿宋_GB2312" w:cs="仿宋_GB2312"/>
          <w:i w:val="0"/>
          <w:iCs w:val="0"/>
          <w:caps w:val="0"/>
          <w:color w:val="auto"/>
          <w:spacing w:val="0"/>
          <w:sz w:val="32"/>
          <w:szCs w:val="32"/>
          <w:shd w:val="clear" w:fill="FFFFFF"/>
          <w:lang w:val="en-US" w:eastAsia="zh-CN"/>
        </w:rPr>
        <w:t>业</w:t>
      </w:r>
      <w:r>
        <w:rPr>
          <w:rFonts w:ascii="仿宋_GB2312" w:hAnsi="宋体" w:eastAsia="仿宋_GB2312" w:cs="仿宋_GB2312"/>
          <w:i w:val="0"/>
          <w:iCs w:val="0"/>
          <w:caps w:val="0"/>
          <w:color w:val="auto"/>
          <w:spacing w:val="0"/>
          <w:sz w:val="32"/>
          <w:szCs w:val="32"/>
          <w:shd w:val="clear" w:fill="FFFFFF"/>
        </w:rPr>
        <w:t>技术推广中心</w:t>
      </w:r>
      <w:r>
        <w:rPr>
          <w:rFonts w:hint="eastAsia" w:ascii="仿宋_GB2312" w:hAnsi="宋体" w:eastAsia="仿宋_GB2312" w:cs="仿宋_GB2312"/>
          <w:i w:val="0"/>
          <w:iCs w:val="0"/>
          <w:caps w:val="0"/>
          <w:color w:val="auto"/>
          <w:spacing w:val="0"/>
          <w:sz w:val="32"/>
          <w:szCs w:val="32"/>
          <w:shd w:val="clear" w:fill="FFFFFF"/>
          <w:lang w:eastAsia="zh-CN"/>
        </w:rPr>
        <w:t>、</w:t>
      </w:r>
      <w:r>
        <w:rPr>
          <w:rFonts w:hint="eastAsia" w:ascii="仿宋" w:hAnsi="仿宋" w:eastAsia="仿宋"/>
          <w:color w:val="auto"/>
          <w:sz w:val="32"/>
          <w:szCs w:val="32"/>
        </w:rPr>
        <w:t>兴国县农业行政综合执法大队）。</w:t>
      </w:r>
    </w:p>
    <w:p>
      <w:pPr>
        <w:spacing w:line="560" w:lineRule="exact"/>
        <w:ind w:firstLine="640" w:firstLineChars="200"/>
        <w:rPr>
          <w:rFonts w:ascii="仿宋" w:hAnsi="仿宋" w:eastAsia="仿宋" w:cs="仿宋"/>
          <w:color w:val="auto"/>
          <w:sz w:val="24"/>
          <w:szCs w:val="24"/>
        </w:rPr>
      </w:pP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olor w:val="auto"/>
          <w:kern w:val="0"/>
          <w:sz w:val="32"/>
          <w:szCs w:val="32"/>
          <w:lang w:val="en-US" w:eastAsia="zh-CN"/>
        </w:rPr>
        <w:t>167</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olor w:val="auto"/>
          <w:kern w:val="0"/>
          <w:sz w:val="32"/>
          <w:szCs w:val="32"/>
          <w:lang w:val="en-US" w:eastAsia="zh-CN"/>
        </w:rPr>
        <w:t>20</w:t>
      </w:r>
      <w:r>
        <w:rPr>
          <w:rFonts w:ascii="仿宋" w:hAnsi="仿宋" w:eastAsia="仿宋"/>
          <w:color w:val="auto"/>
          <w:sz w:val="32"/>
          <w:szCs w:val="32"/>
        </w:rPr>
        <w:t>人,参照公务员管理的事业编制人数</w:t>
      </w:r>
      <w:r>
        <w:rPr>
          <w:rFonts w:hint="eastAsia" w:ascii="仿宋" w:hAnsi="仿宋" w:eastAsia="仿宋"/>
          <w:color w:val="auto"/>
          <w:kern w:val="0"/>
          <w:sz w:val="32"/>
          <w:szCs w:val="32"/>
          <w:lang w:val="en-US" w:eastAsia="zh-CN"/>
        </w:rPr>
        <w:t>2</w:t>
      </w:r>
      <w:r>
        <w:rPr>
          <w:rFonts w:ascii="仿宋" w:hAnsi="仿宋" w:eastAsia="仿宋"/>
          <w:color w:val="auto"/>
          <w:sz w:val="32"/>
          <w:szCs w:val="32"/>
        </w:rPr>
        <w:t>人,全部补助事业编制人数</w:t>
      </w:r>
      <w:r>
        <w:rPr>
          <w:rFonts w:hint="eastAsia" w:ascii="仿宋" w:hAnsi="仿宋" w:eastAsia="仿宋"/>
          <w:color w:val="auto"/>
          <w:kern w:val="0"/>
          <w:sz w:val="32"/>
          <w:szCs w:val="32"/>
          <w:lang w:val="en-US" w:eastAsia="zh-CN"/>
        </w:rPr>
        <w:t>141</w:t>
      </w:r>
      <w:r>
        <w:rPr>
          <w:rFonts w:ascii="仿宋" w:hAnsi="仿宋" w:eastAsia="仿宋"/>
          <w:color w:val="auto"/>
          <w:sz w:val="32"/>
          <w:szCs w:val="32"/>
        </w:rPr>
        <w:t>人,自收自支编制人数</w:t>
      </w:r>
      <w:r>
        <w:rPr>
          <w:rFonts w:hint="eastAsia" w:ascii="仿宋" w:hAnsi="仿宋" w:eastAsia="仿宋"/>
          <w:color w:val="auto"/>
          <w:kern w:val="0"/>
          <w:sz w:val="32"/>
          <w:szCs w:val="32"/>
          <w:lang w:val="en-US" w:eastAsia="zh-CN"/>
        </w:rPr>
        <w:t>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olor w:val="auto"/>
          <w:kern w:val="0"/>
          <w:sz w:val="32"/>
          <w:szCs w:val="32"/>
          <w:lang w:val="en-US" w:eastAsia="zh-CN"/>
        </w:rPr>
        <w:t>167</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olor w:val="auto"/>
          <w:kern w:val="0"/>
          <w:sz w:val="32"/>
          <w:szCs w:val="32"/>
          <w:lang w:val="en-US" w:eastAsia="zh-CN"/>
        </w:rPr>
        <w:t>167</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olor w:val="auto"/>
          <w:kern w:val="0"/>
          <w:sz w:val="32"/>
          <w:szCs w:val="32"/>
          <w:lang w:val="en-US" w:eastAsia="zh-CN"/>
        </w:rPr>
        <w:t>20</w:t>
      </w:r>
      <w:r>
        <w:rPr>
          <w:rFonts w:ascii="仿宋" w:hAnsi="仿宋" w:eastAsia="仿宋"/>
          <w:color w:val="auto"/>
          <w:sz w:val="32"/>
          <w:szCs w:val="32"/>
        </w:rPr>
        <w:t>人,参照公务员管理的事业单位在职人数</w:t>
      </w:r>
      <w:r>
        <w:rPr>
          <w:rFonts w:hint="eastAsia" w:ascii="仿宋" w:hAnsi="仿宋" w:eastAsia="仿宋"/>
          <w:color w:val="auto"/>
          <w:kern w:val="0"/>
          <w:sz w:val="32"/>
          <w:szCs w:val="32"/>
          <w:lang w:val="en-US" w:eastAsia="zh-CN"/>
        </w:rPr>
        <w:t>2</w:t>
      </w:r>
      <w:r>
        <w:rPr>
          <w:rFonts w:ascii="仿宋" w:hAnsi="仿宋" w:eastAsia="仿宋"/>
          <w:color w:val="auto"/>
          <w:sz w:val="32"/>
          <w:szCs w:val="32"/>
        </w:rPr>
        <w:t>人,全部补助事业在职人数</w:t>
      </w:r>
      <w:r>
        <w:rPr>
          <w:rFonts w:hint="eastAsia" w:ascii="仿宋" w:hAnsi="仿宋" w:eastAsia="仿宋"/>
          <w:color w:val="auto"/>
          <w:kern w:val="0"/>
          <w:sz w:val="32"/>
          <w:szCs w:val="32"/>
          <w:lang w:val="en-US" w:eastAsia="zh-CN"/>
        </w:rPr>
        <w:t>141</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hint="eastAsia" w:ascii="仿宋" w:hAnsi="仿宋" w:eastAsia="仿宋"/>
          <w:color w:val="auto"/>
          <w:kern w:val="0"/>
          <w:sz w:val="32"/>
          <w:szCs w:val="32"/>
          <w:lang w:val="en-US" w:eastAsia="zh-CN"/>
        </w:rPr>
        <w:t>1</w:t>
      </w:r>
      <w:r>
        <w:rPr>
          <w:rFonts w:ascii="仿宋" w:hAnsi="仿宋" w:eastAsia="仿宋"/>
          <w:color w:val="auto"/>
          <w:sz w:val="32"/>
          <w:szCs w:val="32"/>
        </w:rPr>
        <w:t>人,退休人数小计</w:t>
      </w:r>
      <w:r>
        <w:rPr>
          <w:rFonts w:hint="eastAsia" w:ascii="仿宋" w:hAnsi="仿宋" w:eastAsia="仿宋"/>
          <w:color w:val="auto"/>
          <w:kern w:val="0"/>
          <w:sz w:val="32"/>
          <w:szCs w:val="32"/>
          <w:lang w:val="en-US" w:eastAsia="zh-CN"/>
        </w:rPr>
        <w:t>457</w:t>
      </w:r>
      <w:r>
        <w:rPr>
          <w:rFonts w:ascii="仿宋" w:hAnsi="仿宋" w:eastAsia="仿宋"/>
          <w:color w:val="auto"/>
          <w:sz w:val="32"/>
          <w:szCs w:val="32"/>
        </w:rPr>
        <w:t>人,退职人员</w:t>
      </w:r>
      <w:r>
        <w:rPr>
          <w:rFonts w:hint="eastAsia" w:ascii="仿宋" w:hAnsi="仿宋" w:eastAsia="仿宋"/>
          <w:color w:val="auto"/>
          <w:kern w:val="0"/>
          <w:sz w:val="32"/>
          <w:szCs w:val="32"/>
          <w:lang w:val="en-US" w:eastAsia="zh-CN"/>
        </w:rPr>
        <w:t>1</w:t>
      </w:r>
      <w:r>
        <w:rPr>
          <w:rFonts w:ascii="仿宋" w:hAnsi="仿宋" w:eastAsia="仿宋"/>
          <w:color w:val="auto"/>
          <w:sz w:val="32"/>
          <w:szCs w:val="32"/>
        </w:rPr>
        <w:t>人,遗属人数</w:t>
      </w:r>
      <w:r>
        <w:rPr>
          <w:rFonts w:hint="eastAsia" w:ascii="仿宋" w:hAnsi="仿宋" w:eastAsia="仿宋"/>
          <w:color w:val="auto"/>
          <w:kern w:val="0"/>
          <w:sz w:val="32"/>
          <w:szCs w:val="32"/>
          <w:lang w:val="en-US" w:eastAsia="zh-CN"/>
        </w:rPr>
        <w:t>53</w:t>
      </w:r>
      <w:r>
        <w:rPr>
          <w:rFonts w:ascii="仿宋" w:hAnsi="仿宋" w:eastAsia="仿宋"/>
          <w:color w:val="auto"/>
          <w:sz w:val="32"/>
          <w:szCs w:val="32"/>
        </w:rPr>
        <w:t>人。</w:t>
      </w:r>
      <w:r>
        <w:rPr>
          <w:color w:val="auto"/>
        </w:rPr>
        <w:fldChar w:fldCharType="end"/>
      </w:r>
    </w:p>
    <w:p>
      <w:pPr>
        <w:spacing w:line="560" w:lineRule="exact"/>
        <w:rPr>
          <w:rFonts w:ascii="仿宋" w:hAnsi="仿宋" w:eastAsia="仿宋" w:cs="仿宋"/>
          <w:color w:val="auto"/>
          <w:sz w:val="32"/>
          <w:szCs w:val="32"/>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第二部分 兴国县</w:t>
      </w:r>
      <w:r>
        <w:rPr>
          <w:rFonts w:hint="eastAsia" w:ascii="黑体" w:hAnsi="黑体" w:eastAsia="黑体" w:cs="黑体"/>
          <w:color w:val="auto"/>
          <w:sz w:val="32"/>
          <w:szCs w:val="32"/>
          <w:lang w:eastAsia="zh-CN"/>
        </w:rPr>
        <w:t>农业农村局</w:t>
      </w:r>
      <w:r>
        <w:rPr>
          <w:rFonts w:hint="eastAsia" w:ascii="黑体" w:hAnsi="黑体" w:eastAsia="黑体" w:cs="黑体"/>
          <w:color w:val="auto"/>
          <w:sz w:val="32"/>
          <w:szCs w:val="32"/>
        </w:rPr>
        <w:t>部门预算情况说明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ascii="楷体" w:hAnsi="楷体" w:eastAsia="楷体" w:cs="楷体"/>
          <w:b/>
          <w:bCs/>
          <w:color w:val="auto"/>
          <w:sz w:val="32"/>
          <w:szCs w:val="32"/>
        </w:rPr>
      </w:pPr>
      <w:r>
        <w:rPr>
          <w:rFonts w:hint="eastAsia" w:ascii="楷体" w:hAnsi="楷体" w:eastAsia="楷体" w:cs="楷体"/>
          <w:b/>
          <w:bCs/>
          <w:color w:val="auto"/>
          <w:sz w:val="32"/>
          <w:szCs w:val="32"/>
        </w:rPr>
        <w:t>一、2023年部门预算收支情况说明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2023年</w:t>
      </w:r>
      <w:r>
        <w:rPr>
          <w:rFonts w:hint="eastAsia" w:ascii="仿宋" w:hAnsi="仿宋" w:eastAsia="仿宋" w:cs="仿宋"/>
          <w:color w:val="auto"/>
          <w:sz w:val="30"/>
          <w:szCs w:val="30"/>
        </w:rPr>
        <w:t>本部门收入预算总额</w:t>
      </w:r>
      <w:r>
        <w:rPr>
          <w:rFonts w:hint="eastAsia" w:ascii="仿宋" w:hAnsi="仿宋" w:eastAsia="仿宋" w:cs="仿宋"/>
          <w:color w:val="auto"/>
          <w:sz w:val="32"/>
          <w:szCs w:val="32"/>
        </w:rPr>
        <w:t>27827.86</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96239.43</w:t>
      </w:r>
      <w:r>
        <w:rPr>
          <w:rFonts w:hint="eastAsia" w:ascii="仿宋" w:hAnsi="仿宋" w:eastAsia="仿宋" w:cs="仿宋"/>
          <w:color w:val="auto"/>
          <w:sz w:val="32"/>
          <w:szCs w:val="32"/>
        </w:rPr>
        <w:t>万元，减</w:t>
      </w:r>
      <w:r>
        <w:rPr>
          <w:rFonts w:hint="eastAsia" w:ascii="仿宋" w:hAnsi="仿宋" w:eastAsia="仿宋" w:cs="仿宋"/>
          <w:color w:val="auto"/>
          <w:sz w:val="32"/>
          <w:szCs w:val="32"/>
          <w:lang w:val="en-US" w:eastAsia="zh-CN"/>
        </w:rPr>
        <w:t>77.57</w:t>
      </w:r>
      <w:r>
        <w:rPr>
          <w:rFonts w:hint="eastAsia" w:ascii="仿宋" w:hAnsi="仿宋" w:eastAsia="仿宋" w:cs="仿宋"/>
          <w:color w:val="auto"/>
          <w:sz w:val="32"/>
          <w:szCs w:val="32"/>
        </w:rPr>
        <w:t>%。增减变化主要原因是：</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机构改革人员调离；</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减少了对项目的投入。</w:t>
      </w:r>
    </w:p>
    <w:p>
      <w:pPr>
        <w:spacing w:line="560" w:lineRule="exact"/>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具体为：</w:t>
      </w:r>
      <w:r>
        <w:rPr>
          <w:rFonts w:hint="eastAsia" w:ascii="仿宋" w:hAnsi="仿宋" w:eastAsia="仿宋" w:cs="仿宋"/>
          <w:color w:val="auto"/>
          <w:sz w:val="32"/>
          <w:szCs w:val="32"/>
          <w:lang w:eastAsia="zh-CN"/>
        </w:rPr>
        <w:t>财政拨款</w:t>
      </w:r>
      <w:r>
        <w:rPr>
          <w:rFonts w:hint="eastAsia" w:ascii="仿宋" w:hAnsi="仿宋" w:eastAsia="仿宋" w:cs="仿宋"/>
          <w:color w:val="auto"/>
          <w:sz w:val="30"/>
          <w:szCs w:val="30"/>
        </w:rPr>
        <w:t>收入</w:t>
      </w:r>
      <w:r>
        <w:rPr>
          <w:rFonts w:hint="eastAsia" w:ascii="仿宋" w:hAnsi="仿宋" w:eastAsia="仿宋" w:cs="仿宋"/>
          <w:color w:val="auto"/>
          <w:sz w:val="32"/>
          <w:szCs w:val="32"/>
        </w:rPr>
        <w:t>7652.78</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较上年预算安排减少2243.04万元；上级补助收入</w:t>
      </w:r>
      <w:r>
        <w:rPr>
          <w:rFonts w:hint="eastAsia" w:ascii="仿宋" w:hAnsi="仿宋" w:eastAsia="仿宋" w:cs="仿宋"/>
          <w:color w:val="auto"/>
          <w:sz w:val="32"/>
          <w:szCs w:val="32"/>
          <w:lang w:val="en-US" w:eastAsia="zh-CN"/>
        </w:rPr>
        <w:t>80</w:t>
      </w:r>
      <w:r>
        <w:rPr>
          <w:rFonts w:hint="eastAsia" w:ascii="仿宋" w:hAnsi="仿宋" w:eastAsia="仿宋" w:cs="仿宋"/>
          <w:color w:val="auto"/>
          <w:sz w:val="32"/>
          <w:szCs w:val="32"/>
        </w:rPr>
        <w:t>万元，较上年减少</w:t>
      </w:r>
      <w:r>
        <w:rPr>
          <w:rFonts w:hint="eastAsia" w:ascii="仿宋" w:hAnsi="仿宋" w:eastAsia="仿宋" w:cs="仿宋"/>
          <w:color w:val="auto"/>
          <w:sz w:val="32"/>
          <w:szCs w:val="32"/>
          <w:lang w:val="en-US" w:eastAsia="zh-CN"/>
        </w:rPr>
        <w:t>7080</w:t>
      </w:r>
      <w:r>
        <w:rPr>
          <w:rFonts w:hint="eastAsia" w:ascii="仿宋" w:hAnsi="仿宋" w:eastAsia="仿宋" w:cs="仿宋"/>
          <w:color w:val="auto"/>
          <w:sz w:val="32"/>
          <w:szCs w:val="32"/>
        </w:rPr>
        <w:t>万元；其它收入20095.08万元，较上年减少22881.23万元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上年结转0万元，较上年减少64035.16万元</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60" w:lineRule="exact"/>
        <w:ind w:firstLine="640" w:firstLineChars="200"/>
        <w:rPr>
          <w:rFonts w:ascii="仿宋" w:hAnsi="仿宋" w:eastAsia="仿宋" w:cs="仿宋"/>
          <w:color w:val="auto"/>
          <w:sz w:val="30"/>
          <w:szCs w:val="30"/>
        </w:rPr>
      </w:pPr>
      <w:r>
        <w:rPr>
          <w:rFonts w:hint="eastAsia" w:ascii="仿宋" w:hAnsi="仿宋" w:eastAsia="仿宋" w:cs="仿宋"/>
          <w:color w:val="auto"/>
          <w:sz w:val="32"/>
          <w:szCs w:val="32"/>
        </w:rPr>
        <w:t>2023年</w:t>
      </w:r>
      <w:r>
        <w:rPr>
          <w:rFonts w:hint="eastAsia" w:ascii="仿宋" w:hAnsi="仿宋" w:eastAsia="仿宋" w:cs="仿宋"/>
          <w:color w:val="auto"/>
          <w:sz w:val="30"/>
          <w:szCs w:val="30"/>
        </w:rPr>
        <w:t>本部门支出预算总额</w:t>
      </w:r>
      <w:r>
        <w:rPr>
          <w:rFonts w:hint="eastAsia" w:ascii="仿宋" w:hAnsi="仿宋" w:eastAsia="仿宋" w:cs="仿宋"/>
          <w:color w:val="auto"/>
          <w:sz w:val="32"/>
          <w:szCs w:val="32"/>
        </w:rPr>
        <w:t>27827.86</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96239.43</w:t>
      </w:r>
      <w:r>
        <w:rPr>
          <w:rFonts w:hint="eastAsia" w:ascii="仿宋" w:hAnsi="仿宋" w:eastAsia="仿宋" w:cs="仿宋"/>
          <w:color w:val="auto"/>
          <w:sz w:val="32"/>
          <w:szCs w:val="32"/>
        </w:rPr>
        <w:t>万元，减少</w:t>
      </w:r>
      <w:r>
        <w:rPr>
          <w:rFonts w:hint="eastAsia" w:ascii="仿宋" w:hAnsi="仿宋" w:eastAsia="仿宋" w:cs="仿宋"/>
          <w:color w:val="auto"/>
          <w:sz w:val="32"/>
          <w:szCs w:val="32"/>
          <w:lang w:val="en-US" w:eastAsia="zh-CN"/>
        </w:rPr>
        <w:t>77.57</w:t>
      </w:r>
      <w:r>
        <w:rPr>
          <w:rFonts w:hint="eastAsia" w:ascii="仿宋" w:hAnsi="仿宋" w:eastAsia="仿宋" w:cs="仿宋"/>
          <w:color w:val="auto"/>
          <w:sz w:val="32"/>
          <w:szCs w:val="32"/>
        </w:rPr>
        <w:t>%。增减变化主要原因是：</w:t>
      </w:r>
      <w:r>
        <w:rPr>
          <w:rFonts w:hint="eastAsia" w:ascii="仿宋" w:hAnsi="仿宋" w:eastAsia="仿宋" w:cs="仿宋"/>
          <w:color w:val="auto"/>
          <w:sz w:val="32"/>
          <w:szCs w:val="32"/>
          <w:lang w:val="en-US" w:eastAsia="zh-CN"/>
        </w:rPr>
        <w:t>1、机构改革人员调离；2、</w:t>
      </w:r>
      <w:r>
        <w:rPr>
          <w:rFonts w:hint="eastAsia" w:ascii="仿宋" w:hAnsi="仿宋" w:eastAsia="仿宋" w:cs="仿宋"/>
          <w:color w:val="auto"/>
          <w:sz w:val="32"/>
          <w:szCs w:val="32"/>
        </w:rPr>
        <w:t>减少了对项目的投入。</w:t>
      </w:r>
      <w:r>
        <w:rPr>
          <w:rFonts w:hint="eastAsia" w:ascii="仿宋" w:hAnsi="仿宋" w:eastAsia="仿宋" w:cs="仿宋"/>
          <w:color w:val="auto"/>
          <w:sz w:val="30"/>
          <w:szCs w:val="30"/>
        </w:rPr>
        <w:t>具体为：</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按支出项目类别及经济分类科目划分：</w:t>
      </w:r>
      <w:r>
        <w:rPr>
          <w:rFonts w:hint="eastAsia" w:ascii="仿宋" w:hAnsi="仿宋" w:eastAsia="仿宋" w:cs="仿宋"/>
          <w:color w:val="auto"/>
          <w:sz w:val="30"/>
          <w:szCs w:val="30"/>
          <w:lang w:eastAsia="zh-CN"/>
        </w:rPr>
        <w:t>基本</w:t>
      </w:r>
      <w:r>
        <w:rPr>
          <w:rFonts w:hint="eastAsia" w:ascii="仿宋" w:hAnsi="仿宋" w:eastAsia="仿宋" w:cs="仿宋"/>
          <w:color w:val="auto"/>
          <w:sz w:val="30"/>
          <w:szCs w:val="30"/>
        </w:rPr>
        <w:t>支出</w:t>
      </w:r>
      <w:r>
        <w:rPr>
          <w:rFonts w:hint="eastAsia" w:ascii="仿宋" w:hAnsi="仿宋" w:eastAsia="仿宋" w:cs="仿宋"/>
          <w:color w:val="auto"/>
          <w:sz w:val="32"/>
          <w:szCs w:val="32"/>
          <w:lang w:val="en-US" w:eastAsia="zh-CN"/>
        </w:rPr>
        <w:t>2743.36</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较上年预算安排减少</w:t>
      </w:r>
      <w:r>
        <w:rPr>
          <w:rFonts w:hint="eastAsia" w:ascii="仿宋" w:hAnsi="仿宋" w:eastAsia="仿宋" w:cs="仿宋"/>
          <w:color w:val="auto"/>
          <w:sz w:val="32"/>
          <w:szCs w:val="32"/>
          <w:lang w:val="en-US" w:eastAsia="zh-CN"/>
        </w:rPr>
        <w:t>1351.96</w:t>
      </w:r>
      <w:r>
        <w:rPr>
          <w:rFonts w:hint="eastAsia" w:ascii="仿宋" w:hAnsi="仿宋" w:eastAsia="仿宋" w:cs="仿宋"/>
          <w:color w:val="auto"/>
          <w:sz w:val="32"/>
          <w:szCs w:val="32"/>
        </w:rPr>
        <w:t>万元，</w:t>
      </w:r>
      <w:r>
        <w:rPr>
          <w:rFonts w:hint="eastAsia" w:ascii="仿宋" w:hAnsi="仿宋" w:eastAsia="仿宋" w:cs="仿宋"/>
          <w:color w:val="auto"/>
          <w:sz w:val="30"/>
          <w:szCs w:val="30"/>
        </w:rPr>
        <w:t>其中：工资福利支出2509.13万元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商品服务支出156.22万元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对个人和家庭支出73.53万元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资本性支出4.47万元</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0"/>
          <w:szCs w:val="30"/>
          <w:lang w:val="en-US" w:eastAsia="zh-CN"/>
        </w:rPr>
        <w:t>25084.5万元，</w:t>
      </w:r>
      <w:r>
        <w:rPr>
          <w:rFonts w:hint="eastAsia" w:ascii="仿宋" w:hAnsi="仿宋" w:eastAsia="仿宋" w:cs="仿宋"/>
          <w:color w:val="auto"/>
          <w:sz w:val="30"/>
          <w:szCs w:val="30"/>
        </w:rPr>
        <w:t>较上年</w:t>
      </w:r>
      <w:r>
        <w:rPr>
          <w:rFonts w:hint="eastAsia" w:ascii="仿宋" w:hAnsi="仿宋" w:eastAsia="仿宋" w:cs="仿宋"/>
          <w:color w:val="auto"/>
          <w:sz w:val="30"/>
          <w:szCs w:val="30"/>
          <w:lang w:eastAsia="zh-CN"/>
        </w:rPr>
        <w:t>减少</w:t>
      </w:r>
      <w:r>
        <w:rPr>
          <w:rFonts w:hint="eastAsia" w:ascii="仿宋" w:hAnsi="仿宋" w:eastAsia="仿宋" w:cs="仿宋"/>
          <w:color w:val="auto"/>
          <w:sz w:val="30"/>
          <w:szCs w:val="30"/>
          <w:lang w:val="en-US" w:eastAsia="zh-CN"/>
        </w:rPr>
        <w:t>94887.47</w:t>
      </w:r>
      <w:r>
        <w:rPr>
          <w:rFonts w:hint="eastAsia" w:ascii="仿宋" w:hAnsi="仿宋" w:eastAsia="仿宋" w:cs="仿宋"/>
          <w:color w:val="auto"/>
          <w:sz w:val="30"/>
          <w:szCs w:val="30"/>
        </w:rPr>
        <w:t>万元，其中</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工资</w:t>
      </w:r>
      <w:r>
        <w:rPr>
          <w:rFonts w:hint="eastAsia" w:ascii="仿宋" w:hAnsi="仿宋" w:eastAsia="仿宋" w:cs="仿宋"/>
          <w:color w:val="auto"/>
          <w:sz w:val="30"/>
          <w:szCs w:val="30"/>
          <w:lang w:eastAsia="zh-CN"/>
        </w:rPr>
        <w:t>福利支出</w:t>
      </w:r>
      <w:r>
        <w:rPr>
          <w:rFonts w:hint="eastAsia" w:ascii="仿宋" w:hAnsi="仿宋" w:eastAsia="仿宋" w:cs="仿宋"/>
          <w:color w:val="auto"/>
          <w:sz w:val="30"/>
          <w:szCs w:val="30"/>
          <w:lang w:val="en-US" w:eastAsia="zh-CN"/>
        </w:rPr>
        <w:t>123.85</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商品服务支出</w:t>
      </w:r>
      <w:r>
        <w:rPr>
          <w:rFonts w:hint="eastAsia" w:ascii="仿宋" w:hAnsi="仿宋" w:eastAsia="仿宋" w:cs="仿宋"/>
          <w:color w:val="auto"/>
          <w:sz w:val="30"/>
          <w:szCs w:val="30"/>
          <w:lang w:val="en-US" w:eastAsia="zh-CN"/>
        </w:rPr>
        <w:t>1410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资本性支出</w:t>
      </w:r>
      <w:r>
        <w:rPr>
          <w:rFonts w:hint="eastAsia" w:ascii="仿宋" w:hAnsi="仿宋" w:eastAsia="仿宋" w:cs="仿宋"/>
          <w:color w:val="auto"/>
          <w:sz w:val="30"/>
          <w:szCs w:val="30"/>
          <w:lang w:val="en-US" w:eastAsia="zh-CN"/>
        </w:rPr>
        <w:t>3475.65</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其它支出2007</w:t>
      </w:r>
      <w:r>
        <w:rPr>
          <w:rFonts w:hint="eastAsia" w:ascii="仿宋" w:hAnsi="仿宋" w:eastAsia="仿宋" w:cs="仿宋"/>
          <w:color w:val="auto"/>
          <w:sz w:val="30"/>
          <w:szCs w:val="30"/>
          <w:lang w:val="en-US" w:eastAsia="zh-CN"/>
        </w:rPr>
        <w:t>5</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p>
    <w:p>
      <w:pPr>
        <w:spacing w:line="560" w:lineRule="exact"/>
        <w:ind w:firstLine="600" w:firstLineChars="200"/>
        <w:rPr>
          <w:rFonts w:ascii="仿宋" w:hAnsi="仿宋" w:eastAsia="仿宋" w:cs="仿宋"/>
          <w:color w:val="auto"/>
          <w:sz w:val="24"/>
          <w:szCs w:val="24"/>
        </w:rPr>
      </w:pPr>
      <w:r>
        <w:rPr>
          <w:rFonts w:hint="eastAsia" w:ascii="仿宋" w:hAnsi="仿宋" w:eastAsia="仿宋" w:cs="仿宋"/>
          <w:color w:val="auto"/>
          <w:sz w:val="30"/>
          <w:szCs w:val="30"/>
        </w:rPr>
        <w:t>按支出功能分类科目划分：</w:t>
      </w:r>
      <w:r>
        <w:rPr>
          <w:rFonts w:hint="eastAsia" w:ascii="仿宋" w:hAnsi="仿宋" w:eastAsia="仿宋" w:cs="仿宋"/>
          <w:color w:val="auto"/>
          <w:sz w:val="32"/>
          <w:szCs w:val="32"/>
        </w:rPr>
        <w:t>社会保障就业</w:t>
      </w:r>
      <w:r>
        <w:rPr>
          <w:rFonts w:hint="eastAsia" w:ascii="仿宋" w:hAnsi="仿宋" w:eastAsia="仿宋" w:cs="仿宋"/>
          <w:color w:val="auto"/>
          <w:sz w:val="30"/>
          <w:szCs w:val="30"/>
        </w:rPr>
        <w:t>支出</w:t>
      </w:r>
      <w:r>
        <w:rPr>
          <w:rFonts w:hint="eastAsia" w:ascii="仿宋" w:hAnsi="仿宋" w:eastAsia="仿宋" w:cs="仿宋"/>
          <w:color w:val="auto"/>
          <w:sz w:val="32"/>
          <w:szCs w:val="32"/>
        </w:rPr>
        <w:t>268.49</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较上年预算安排减少</w:t>
      </w:r>
      <w:r>
        <w:rPr>
          <w:rFonts w:hint="eastAsia" w:ascii="仿宋" w:hAnsi="仿宋" w:eastAsia="仿宋" w:cs="仿宋"/>
          <w:color w:val="auto"/>
          <w:sz w:val="32"/>
          <w:szCs w:val="32"/>
          <w:lang w:val="en-US" w:eastAsia="zh-CN"/>
        </w:rPr>
        <w:t>492.54</w:t>
      </w:r>
      <w:r>
        <w:rPr>
          <w:rFonts w:hint="eastAsia" w:ascii="仿宋" w:hAnsi="仿宋" w:eastAsia="仿宋" w:cs="仿宋"/>
          <w:color w:val="auto"/>
          <w:sz w:val="32"/>
          <w:szCs w:val="32"/>
        </w:rPr>
        <w:t>万元；卫生健康支出414.22万元，较上年增加</w:t>
      </w:r>
      <w:r>
        <w:rPr>
          <w:rFonts w:hint="eastAsia" w:ascii="仿宋" w:hAnsi="仿宋" w:eastAsia="仿宋" w:cs="仿宋"/>
          <w:color w:val="auto"/>
          <w:sz w:val="32"/>
          <w:szCs w:val="32"/>
          <w:lang w:val="en-US" w:eastAsia="zh-CN"/>
        </w:rPr>
        <w:t>157.81</w:t>
      </w:r>
      <w:r>
        <w:rPr>
          <w:rFonts w:hint="eastAsia" w:ascii="仿宋" w:hAnsi="仿宋" w:eastAsia="仿宋" w:cs="仿宋"/>
          <w:color w:val="auto"/>
          <w:sz w:val="32"/>
          <w:szCs w:val="32"/>
        </w:rPr>
        <w:t>万元；农林水支出5824.15万元，较上年减少</w:t>
      </w:r>
      <w:r>
        <w:rPr>
          <w:rFonts w:hint="eastAsia" w:ascii="仿宋" w:hAnsi="仿宋" w:eastAsia="仿宋" w:cs="仿宋"/>
          <w:color w:val="auto"/>
          <w:sz w:val="32"/>
          <w:szCs w:val="32"/>
          <w:lang w:val="en-US" w:eastAsia="zh-CN"/>
        </w:rPr>
        <w:t>62241.82</w:t>
      </w:r>
      <w:r>
        <w:rPr>
          <w:rFonts w:hint="eastAsia" w:ascii="仿宋" w:hAnsi="仿宋" w:eastAsia="仿宋" w:cs="仿宋"/>
          <w:color w:val="auto"/>
          <w:sz w:val="32"/>
          <w:szCs w:val="32"/>
        </w:rPr>
        <w:t>万元；住房保障支出187.75万元，较上年减少144.72万元；其它支出20000万元，较上年增加</w:t>
      </w:r>
      <w:r>
        <w:rPr>
          <w:rFonts w:hint="eastAsia" w:ascii="仿宋" w:hAnsi="仿宋" w:eastAsia="仿宋" w:cs="仿宋"/>
          <w:color w:val="auto"/>
          <w:sz w:val="32"/>
          <w:szCs w:val="32"/>
          <w:lang w:val="en-US" w:eastAsia="zh-CN"/>
        </w:rPr>
        <w:t>7226.19</w:t>
      </w:r>
      <w:r>
        <w:rPr>
          <w:rFonts w:hint="eastAsia" w:ascii="仿宋" w:hAnsi="仿宋" w:eastAsia="仿宋" w:cs="仿宋"/>
          <w:color w:val="auto"/>
          <w:sz w:val="32"/>
          <w:szCs w:val="32"/>
        </w:rPr>
        <w:t>万元；节能环保支出1133.25万元，较上年增</w:t>
      </w:r>
      <w:r>
        <w:rPr>
          <w:rFonts w:hint="eastAsia" w:ascii="仿宋" w:hAnsi="仿宋" w:eastAsia="仿宋" w:cs="仿宋"/>
          <w:color w:val="auto"/>
          <w:sz w:val="32"/>
          <w:szCs w:val="32"/>
          <w:lang w:val="en-US" w:eastAsia="zh-CN"/>
        </w:rPr>
        <w:t>加</w:t>
      </w:r>
      <w:r>
        <w:rPr>
          <w:rFonts w:hint="eastAsia" w:ascii="仿宋" w:hAnsi="仿宋" w:eastAsia="仿宋" w:cs="仿宋"/>
          <w:color w:val="auto"/>
          <w:sz w:val="32"/>
          <w:szCs w:val="32"/>
        </w:rPr>
        <w:t>1133.25万元</w:t>
      </w:r>
      <w:r>
        <w:rPr>
          <w:rFonts w:hint="eastAsia" w:ascii="仿宋" w:hAnsi="仿宋" w:eastAsia="仿宋" w:cs="仿宋"/>
          <w:color w:val="auto"/>
          <w:sz w:val="32"/>
          <w:szCs w:val="32"/>
          <w:lang w:eastAsia="zh-CN"/>
        </w:rPr>
        <w:t>；城乡社区支出</w:t>
      </w:r>
      <w:r>
        <w:rPr>
          <w:rFonts w:hint="eastAsia" w:ascii="仿宋" w:hAnsi="仿宋" w:eastAsia="仿宋" w:cs="仿宋"/>
          <w:color w:val="auto"/>
          <w:sz w:val="32"/>
          <w:szCs w:val="32"/>
          <w:lang w:val="en-US" w:eastAsia="zh-CN"/>
        </w:rPr>
        <w:t>0万元，较上年减少40969.28万元；商业服务与支出0万元，较上年减少660万元；粮油物资储备支出0万元，较上年减少248.32万元</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pStyle w:val="3"/>
        <w:ind w:firstLine="640" w:firstLineChars="200"/>
        <w:rPr>
          <w:rFonts w:ascii="仿宋" w:hAnsi="仿宋" w:eastAsia="仿宋" w:cs="仿宋"/>
          <w:color w:val="auto"/>
          <w:sz w:val="30"/>
          <w:szCs w:val="30"/>
        </w:rPr>
      </w:pPr>
      <w:r>
        <w:rPr>
          <w:rFonts w:hint="eastAsia" w:ascii="仿宋" w:hAnsi="仿宋" w:eastAsia="仿宋" w:cs="仿宋"/>
          <w:color w:val="auto"/>
          <w:lang w:val="en-US"/>
        </w:rPr>
        <w:t>2023</w:t>
      </w:r>
      <w:r>
        <w:rPr>
          <w:rFonts w:hint="eastAsia" w:ascii="仿宋" w:hAnsi="仿宋" w:eastAsia="仿宋" w:cs="仿宋"/>
          <w:color w:val="auto"/>
        </w:rPr>
        <w:t>年</w:t>
      </w:r>
      <w:r>
        <w:rPr>
          <w:rFonts w:hint="eastAsia" w:ascii="仿宋" w:hAnsi="仿宋" w:eastAsia="仿宋" w:cs="仿宋"/>
          <w:color w:val="auto"/>
          <w:sz w:val="30"/>
          <w:szCs w:val="30"/>
        </w:rPr>
        <w:t>本部门财政拨款（补助）支出预算</w:t>
      </w:r>
      <w:r>
        <w:rPr>
          <w:rFonts w:hint="eastAsia" w:ascii="仿宋" w:hAnsi="仿宋" w:eastAsia="仿宋" w:cs="仿宋"/>
          <w:color w:val="auto"/>
        </w:rPr>
        <w:t>7652.78</w:t>
      </w:r>
      <w:r>
        <w:rPr>
          <w:rFonts w:hint="eastAsia" w:ascii="仿宋" w:hAnsi="仿宋" w:eastAsia="仿宋" w:cs="仿宋"/>
          <w:color w:val="auto"/>
          <w:sz w:val="30"/>
          <w:szCs w:val="30"/>
        </w:rPr>
        <w:t>万元，占本年支出预算额的</w:t>
      </w:r>
      <w:r>
        <w:rPr>
          <w:rFonts w:hint="eastAsia" w:ascii="仿宋" w:hAnsi="仿宋" w:eastAsia="仿宋" w:cs="仿宋"/>
          <w:color w:val="auto"/>
        </w:rPr>
        <w:t>27.5</w:t>
      </w:r>
      <w:r>
        <w:rPr>
          <w:rFonts w:hint="eastAsia" w:ascii="仿宋" w:hAnsi="仿宋" w:eastAsia="仿宋" w:cs="仿宋"/>
          <w:color w:val="auto"/>
          <w:sz w:val="30"/>
          <w:szCs w:val="30"/>
        </w:rPr>
        <w:t>%，</w:t>
      </w:r>
      <w:r>
        <w:rPr>
          <w:rFonts w:hint="eastAsia" w:ascii="仿宋" w:hAnsi="仿宋" w:eastAsia="仿宋" w:cs="仿宋"/>
          <w:color w:val="auto"/>
        </w:rPr>
        <w:t>，较上年预算安排减少2243.04万元，</w:t>
      </w:r>
      <w:r>
        <w:rPr>
          <w:rFonts w:hint="eastAsia" w:ascii="仿宋" w:hAnsi="仿宋" w:eastAsia="仿宋" w:cs="仿宋"/>
          <w:color w:val="auto"/>
          <w:lang w:eastAsia="zh-CN"/>
        </w:rPr>
        <w:t>减少</w:t>
      </w:r>
      <w:r>
        <w:rPr>
          <w:rFonts w:hint="eastAsia" w:ascii="仿宋" w:hAnsi="仿宋" w:eastAsia="仿宋" w:cs="仿宋"/>
          <w:color w:val="auto"/>
          <w:lang w:val="en-US" w:eastAsia="zh-CN"/>
        </w:rPr>
        <w:t>22.66</w:t>
      </w:r>
      <w:r>
        <w:rPr>
          <w:rFonts w:hint="eastAsia" w:ascii="仿宋" w:hAnsi="仿宋" w:eastAsia="仿宋" w:cs="仿宋"/>
          <w:color w:val="auto"/>
          <w:lang w:val="en-US"/>
        </w:rPr>
        <w:t>%</w:t>
      </w:r>
      <w:r>
        <w:rPr>
          <w:rFonts w:hint="eastAsia" w:ascii="仿宋" w:hAnsi="仿宋" w:eastAsia="仿宋" w:cs="仿宋"/>
          <w:color w:val="auto"/>
        </w:rPr>
        <w:t>。增减变化主要原因是：机构改革人员减少，项目</w:t>
      </w:r>
      <w:r>
        <w:rPr>
          <w:rFonts w:hint="eastAsia" w:ascii="仿宋" w:hAnsi="仿宋" w:eastAsia="仿宋" w:cs="仿宋"/>
          <w:color w:val="auto"/>
          <w:lang w:eastAsia="zh-CN"/>
        </w:rPr>
        <w:t>支出较去年</w:t>
      </w:r>
      <w:r>
        <w:rPr>
          <w:rFonts w:hint="eastAsia" w:ascii="仿宋" w:hAnsi="仿宋" w:eastAsia="仿宋" w:cs="仿宋"/>
          <w:color w:val="auto"/>
        </w:rPr>
        <w:t>减少。</w:t>
      </w:r>
      <w:r>
        <w:rPr>
          <w:rFonts w:hint="eastAsia" w:ascii="仿宋" w:hAnsi="仿宋" w:eastAsia="仿宋" w:cs="仿宋"/>
          <w:color w:val="auto"/>
          <w:sz w:val="30"/>
          <w:szCs w:val="30"/>
        </w:rPr>
        <w:t>具体为：</w:t>
      </w:r>
    </w:p>
    <w:p>
      <w:pPr>
        <w:ind w:firstLine="600" w:firstLineChars="200"/>
        <w:rPr>
          <w:rFonts w:hint="default" w:ascii="仿宋" w:hAnsi="仿宋" w:eastAsia="仿宋" w:cs="仿宋"/>
          <w:color w:val="auto"/>
          <w:sz w:val="24"/>
          <w:szCs w:val="24"/>
          <w:lang w:val="en-US" w:eastAsia="zh-CN"/>
        </w:rPr>
      </w:pPr>
      <w:r>
        <w:rPr>
          <w:rFonts w:hint="eastAsia" w:ascii="仿宋" w:hAnsi="仿宋" w:eastAsia="仿宋" w:cs="仿宋"/>
          <w:color w:val="auto"/>
          <w:sz w:val="30"/>
          <w:szCs w:val="30"/>
        </w:rPr>
        <w:t>按支出经济分类科目划分：基本支出</w:t>
      </w:r>
      <w:r>
        <w:rPr>
          <w:rFonts w:hint="eastAsia" w:ascii="仿宋" w:hAnsi="仿宋" w:eastAsia="仿宋" w:cs="仿宋"/>
          <w:color w:val="auto"/>
          <w:sz w:val="32"/>
          <w:szCs w:val="32"/>
          <w:lang w:val="en-US" w:eastAsia="zh-CN"/>
        </w:rPr>
        <w:t>2698.28</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较上年预算安排减少</w:t>
      </w:r>
      <w:r>
        <w:rPr>
          <w:rFonts w:hint="eastAsia" w:ascii="仿宋" w:hAnsi="仿宋" w:eastAsia="仿宋" w:cs="仿宋"/>
          <w:color w:val="auto"/>
          <w:sz w:val="32"/>
          <w:szCs w:val="32"/>
          <w:lang w:val="en-US" w:eastAsia="zh-CN"/>
        </w:rPr>
        <w:t>1127.89</w:t>
      </w:r>
      <w:r>
        <w:rPr>
          <w:rFonts w:hint="eastAsia" w:ascii="仿宋" w:hAnsi="仿宋" w:eastAsia="仿宋" w:cs="仿宋"/>
          <w:color w:val="auto"/>
          <w:sz w:val="32"/>
          <w:szCs w:val="32"/>
        </w:rPr>
        <w:t>万元，</w:t>
      </w:r>
      <w:r>
        <w:rPr>
          <w:rFonts w:hint="eastAsia" w:ascii="仿宋" w:hAnsi="仿宋" w:eastAsia="仿宋" w:cs="仿宋"/>
          <w:color w:val="auto"/>
          <w:sz w:val="30"/>
          <w:szCs w:val="30"/>
        </w:rPr>
        <w:t>其中：工资福利支出</w:t>
      </w:r>
      <w:r>
        <w:rPr>
          <w:rFonts w:hint="eastAsia" w:ascii="仿宋" w:hAnsi="仿宋" w:eastAsia="仿宋" w:cs="仿宋"/>
          <w:color w:val="auto"/>
          <w:sz w:val="30"/>
          <w:szCs w:val="30"/>
          <w:lang w:val="en-US" w:eastAsia="zh-CN"/>
        </w:rPr>
        <w:t>2464.05</w:t>
      </w:r>
      <w:r>
        <w:rPr>
          <w:rFonts w:hint="eastAsia" w:ascii="仿宋" w:hAnsi="仿宋" w:eastAsia="仿宋" w:cs="仿宋"/>
          <w:color w:val="auto"/>
          <w:sz w:val="30"/>
          <w:szCs w:val="30"/>
        </w:rPr>
        <w:t>万元，商品服务支出156.22万元，对个人和家庭支出7</w:t>
      </w:r>
      <w:r>
        <w:rPr>
          <w:rFonts w:hint="eastAsia" w:ascii="仿宋" w:hAnsi="仿宋" w:eastAsia="仿宋" w:cs="仿宋"/>
          <w:color w:val="auto"/>
          <w:sz w:val="30"/>
          <w:szCs w:val="30"/>
          <w:lang w:val="en-US" w:eastAsia="zh-CN"/>
        </w:rPr>
        <w:t>3</w:t>
      </w:r>
      <w:r>
        <w:rPr>
          <w:rFonts w:hint="eastAsia" w:ascii="仿宋" w:hAnsi="仿宋" w:eastAsia="仿宋" w:cs="仿宋"/>
          <w:color w:val="auto"/>
          <w:sz w:val="30"/>
          <w:szCs w:val="30"/>
        </w:rPr>
        <w:t>.53万元，资本性支出4.47万元。项目支出</w:t>
      </w:r>
      <w:r>
        <w:rPr>
          <w:rFonts w:hint="eastAsia" w:ascii="仿宋" w:hAnsi="仿宋" w:eastAsia="仿宋" w:cs="仿宋"/>
          <w:color w:val="auto"/>
          <w:sz w:val="30"/>
          <w:szCs w:val="30"/>
          <w:lang w:val="en-US" w:eastAsia="zh-CN"/>
        </w:rPr>
        <w:t>4954.5</w:t>
      </w:r>
      <w:r>
        <w:rPr>
          <w:rFonts w:hint="eastAsia" w:ascii="仿宋" w:hAnsi="仿宋" w:eastAsia="仿宋" w:cs="仿宋"/>
          <w:color w:val="auto"/>
          <w:sz w:val="30"/>
          <w:szCs w:val="30"/>
        </w:rPr>
        <w:t>万元，较上年预算安排减少</w:t>
      </w:r>
      <w:r>
        <w:rPr>
          <w:rFonts w:hint="eastAsia" w:ascii="仿宋" w:hAnsi="仿宋" w:eastAsia="仿宋" w:cs="仿宋"/>
          <w:color w:val="auto"/>
          <w:sz w:val="30"/>
          <w:szCs w:val="30"/>
          <w:lang w:val="en-US" w:eastAsia="zh-CN"/>
        </w:rPr>
        <w:t>1115.15</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lang w:val="en-US" w:eastAsia="zh-CN"/>
        </w:rPr>
        <w:t>123.85万元，商品服务支出1410万元，对个人和家庭补助0万元，资本性支出3395.65万元，其他相关支出25万元。</w:t>
      </w:r>
    </w:p>
    <w:p>
      <w:pPr>
        <w:spacing w:line="560" w:lineRule="exact"/>
        <w:ind w:firstLine="600" w:firstLineChars="200"/>
        <w:rPr>
          <w:rFonts w:ascii="仿宋" w:hAnsi="仿宋" w:eastAsia="仿宋" w:cs="仿宋"/>
          <w:color w:val="auto"/>
          <w:sz w:val="32"/>
          <w:szCs w:val="32"/>
        </w:rPr>
      </w:pPr>
      <w:r>
        <w:rPr>
          <w:rFonts w:hint="eastAsia" w:ascii="仿宋" w:hAnsi="仿宋" w:eastAsia="仿宋" w:cs="仿宋"/>
          <w:color w:val="auto"/>
          <w:sz w:val="30"/>
          <w:szCs w:val="30"/>
        </w:rPr>
        <w:t>按支出功能分类科目划分：社会保障支出268.49万元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较上年减少439.91万元；卫生健康支出414.22万元，较上年</w:t>
      </w:r>
      <w:r>
        <w:rPr>
          <w:rFonts w:hint="eastAsia" w:ascii="仿宋" w:hAnsi="仿宋" w:eastAsia="仿宋" w:cs="仿宋"/>
          <w:color w:val="auto"/>
          <w:sz w:val="30"/>
          <w:szCs w:val="30"/>
          <w:lang w:eastAsia="zh-CN"/>
        </w:rPr>
        <w:t>增加</w:t>
      </w:r>
      <w:r>
        <w:rPr>
          <w:rFonts w:hint="eastAsia" w:ascii="仿宋" w:hAnsi="仿宋" w:eastAsia="仿宋" w:cs="仿宋"/>
          <w:color w:val="auto"/>
          <w:sz w:val="30"/>
          <w:szCs w:val="30"/>
        </w:rPr>
        <w:t>161.97万元；农林水支出5649.07万元，较上年减少2799.23万元；住房保障支出187.75万元，较上年减少144.72</w:t>
      </w:r>
      <w:r>
        <w:rPr>
          <w:rFonts w:hint="eastAsia" w:ascii="仿宋" w:hAnsi="仿宋" w:eastAsia="仿宋" w:cs="仿宋"/>
          <w:color w:val="auto"/>
          <w:sz w:val="30"/>
          <w:szCs w:val="30"/>
          <w:lang w:eastAsia="zh-CN"/>
        </w:rPr>
        <w:t>万元</w:t>
      </w:r>
      <w:r>
        <w:rPr>
          <w:rFonts w:hint="eastAsia" w:ascii="仿宋" w:hAnsi="仿宋" w:eastAsia="仿宋" w:cs="仿宋"/>
          <w:color w:val="auto"/>
          <w:sz w:val="30"/>
          <w:szCs w:val="30"/>
        </w:rPr>
        <w:t>；节能环保项目1133.25万元，较上年增加1133.25万元</w:t>
      </w:r>
      <w:r>
        <w:rPr>
          <w:rFonts w:hint="eastAsia" w:ascii="仿宋" w:hAnsi="仿宋" w:eastAsia="仿宋" w:cs="仿宋"/>
          <w:color w:val="auto"/>
          <w:sz w:val="30"/>
          <w:szCs w:val="30"/>
          <w:lang w:eastAsia="zh-CN"/>
        </w:rPr>
        <w:t>；粮油物资储备支出</w:t>
      </w:r>
      <w:r>
        <w:rPr>
          <w:rFonts w:hint="eastAsia" w:ascii="仿宋" w:hAnsi="仿宋" w:eastAsia="仿宋" w:cs="仿宋"/>
          <w:color w:val="auto"/>
          <w:sz w:val="30"/>
          <w:szCs w:val="30"/>
          <w:lang w:val="en-US" w:eastAsia="zh-CN"/>
        </w:rPr>
        <w:t>0万元，较上年减少4.4万元；其他支出0万元，较上年减少150万元</w:t>
      </w:r>
      <w:r>
        <w:rPr>
          <w:rFonts w:hint="eastAsia" w:ascii="仿宋" w:hAnsi="仿宋" w:eastAsia="仿宋" w:cs="仿宋"/>
          <w:color w:val="auto"/>
          <w:sz w:val="30"/>
          <w:szCs w:val="30"/>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spacing w:line="560" w:lineRule="exact"/>
        <w:ind w:firstLine="640" w:firstLineChars="200"/>
        <w:rPr>
          <w:rFonts w:ascii="仿宋" w:hAnsi="仿宋" w:eastAsia="仿宋" w:cs="仿宋"/>
          <w:color w:val="auto"/>
          <w:sz w:val="24"/>
          <w:szCs w:val="24"/>
        </w:rPr>
      </w:pPr>
      <w:r>
        <w:rPr>
          <w:rFonts w:hint="eastAsia" w:ascii="仿宋" w:hAnsi="仿宋" w:eastAsia="仿宋" w:cs="仿宋"/>
          <w:color w:val="auto"/>
          <w:sz w:val="32"/>
          <w:szCs w:val="32"/>
        </w:rPr>
        <w:t>2023年部门政府性基金支出总额0万元，较上年预算安排增（减）0万元，增（减）0%。</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（五）机关运行经费等重要事项的说明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2023年部门机关运行费预算</w:t>
      </w:r>
      <w:r>
        <w:rPr>
          <w:rFonts w:hint="eastAsia" w:ascii="仿宋" w:hAnsi="仿宋" w:eastAsia="仿宋" w:cs="仿宋"/>
          <w:color w:val="auto"/>
          <w:sz w:val="32"/>
          <w:szCs w:val="32"/>
          <w:u w:val="single"/>
        </w:rPr>
        <w:t xml:space="preserve">  249.52    </w:t>
      </w:r>
      <w:r>
        <w:rPr>
          <w:rFonts w:hint="eastAsia" w:ascii="仿宋" w:hAnsi="仿宋" w:eastAsia="仿宋" w:cs="仿宋"/>
          <w:color w:val="auto"/>
          <w:sz w:val="32"/>
          <w:szCs w:val="32"/>
        </w:rPr>
        <w:t>万元，比2021年(上一年度）预算增加</w:t>
      </w:r>
      <w:r>
        <w:rPr>
          <w:rFonts w:hint="eastAsia" w:ascii="仿宋" w:hAnsi="仿宋" w:eastAsia="仿宋" w:cs="仿宋"/>
          <w:color w:val="auto"/>
          <w:sz w:val="32"/>
          <w:szCs w:val="32"/>
          <w:u w:val="single"/>
        </w:rPr>
        <w:t xml:space="preserve">    1.95 </w:t>
      </w:r>
      <w:r>
        <w:rPr>
          <w:rFonts w:hint="eastAsia" w:ascii="仿宋" w:hAnsi="仿宋" w:eastAsia="仿宋" w:cs="仿宋"/>
          <w:color w:val="auto"/>
          <w:sz w:val="32"/>
          <w:szCs w:val="32"/>
        </w:rPr>
        <w:t>万元，增长</w:t>
      </w:r>
      <w:r>
        <w:rPr>
          <w:rFonts w:hint="eastAsia" w:ascii="仿宋" w:hAnsi="仿宋" w:eastAsia="仿宋" w:cs="仿宋"/>
          <w:color w:val="auto"/>
          <w:sz w:val="32"/>
          <w:szCs w:val="32"/>
          <w:u w:val="single"/>
        </w:rPr>
        <w:t xml:space="preserve">   0.78  </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（六）政府采购情况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2023年部门所属各单位政府采购总额</w:t>
      </w:r>
      <w:r>
        <w:rPr>
          <w:rFonts w:hint="eastAsia" w:ascii="仿宋" w:hAnsi="仿宋" w:eastAsia="仿宋" w:cs="仿宋"/>
          <w:color w:val="auto"/>
          <w:sz w:val="32"/>
          <w:szCs w:val="32"/>
          <w:u w:val="single"/>
        </w:rPr>
        <w:t xml:space="preserve">  438.75   </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u w:val="single"/>
        </w:rPr>
        <w:t xml:space="preserve">   18.75  </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u w:val="single"/>
        </w:rPr>
        <w:t xml:space="preserve">   420  </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（七）国有资产占有使用情况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截至2022年12月31日部门共有车辆</w:t>
      </w:r>
      <w:r>
        <w:rPr>
          <w:rFonts w:hint="eastAsia" w:ascii="仿宋" w:hAnsi="仿宋" w:eastAsia="仿宋" w:cs="仿宋"/>
          <w:color w:val="auto"/>
          <w:sz w:val="32"/>
          <w:szCs w:val="32"/>
          <w:u w:val="single"/>
        </w:rPr>
        <w:t xml:space="preserve">   1  </w:t>
      </w:r>
      <w:r>
        <w:rPr>
          <w:rFonts w:hint="eastAsia" w:ascii="仿宋" w:hAnsi="仿宋" w:eastAsia="仿宋" w:cs="仿宋"/>
          <w:color w:val="auto"/>
          <w:sz w:val="32"/>
          <w:szCs w:val="32"/>
        </w:rPr>
        <w:t>辆，其中：一般公务用车</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u w:val="single"/>
        </w:rPr>
        <w:t xml:space="preserve">    1 </w:t>
      </w:r>
      <w:r>
        <w:rPr>
          <w:rFonts w:hint="eastAsia" w:ascii="仿宋" w:hAnsi="仿宋" w:eastAsia="仿宋" w:cs="仿宋"/>
          <w:color w:val="auto"/>
          <w:sz w:val="32"/>
          <w:szCs w:val="32"/>
        </w:rPr>
        <w:t>辆。</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2023年本部门预算安排购置车辆</w:t>
      </w:r>
      <w:r>
        <w:rPr>
          <w:rFonts w:hint="eastAsia" w:ascii="仿宋" w:hAnsi="仿宋" w:eastAsia="仿宋" w:cs="仿宋"/>
          <w:color w:val="auto"/>
          <w:sz w:val="32"/>
          <w:szCs w:val="32"/>
          <w:u w:val="single"/>
        </w:rPr>
        <w:t xml:space="preserve">   0   </w:t>
      </w:r>
      <w:r>
        <w:rPr>
          <w:rFonts w:hint="eastAsia" w:ascii="仿宋" w:hAnsi="仿宋" w:eastAsia="仿宋" w:cs="仿宋"/>
          <w:color w:val="auto"/>
          <w:sz w:val="32"/>
          <w:szCs w:val="32"/>
        </w:rPr>
        <w:t>辆，安排购置单位价值200万元以上大型设备具体为：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2023年实行绩效目标管理的项目25＿个，涉及资金</w:t>
      </w:r>
      <w:r>
        <w:rPr>
          <w:rFonts w:hint="eastAsia" w:ascii="仿宋" w:hAnsi="仿宋" w:eastAsia="仿宋" w:cs="仿宋"/>
          <w:color w:val="auto"/>
          <w:sz w:val="30"/>
          <w:szCs w:val="30"/>
          <w:lang w:val="en-US" w:eastAsia="zh-CN"/>
        </w:rPr>
        <w:t>25084.5</w:t>
      </w:r>
      <w:r>
        <w:rPr>
          <w:rFonts w:hint="eastAsia" w:ascii="仿宋" w:hAnsi="仿宋" w:eastAsia="仿宋" w:cs="仿宋"/>
          <w:color w:val="auto"/>
          <w:sz w:val="32"/>
          <w:szCs w:val="32"/>
        </w:rPr>
        <w:t>万元。</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其中：项目名称：</w:t>
      </w:r>
      <w:r>
        <w:rPr>
          <w:rFonts w:hint="eastAsia" w:ascii="仿宋" w:hAnsi="仿宋" w:eastAsia="仿宋" w:cs="仿宋"/>
          <w:color w:val="auto"/>
          <w:sz w:val="32"/>
          <w:szCs w:val="32"/>
          <w:lang w:eastAsia="zh-CN"/>
        </w:rPr>
        <w:t>县级粮食生产补贴</w:t>
      </w:r>
    </w:p>
    <w:p>
      <w:pPr>
        <w:ind w:left="638" w:leftChars="304"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1.项目概述：巩固产粮大县地位不动摇，确保2023年完成粮食播种目标任务。</w:t>
      </w:r>
    </w:p>
    <w:p>
      <w:pPr>
        <w:spacing w:line="560" w:lineRule="exact"/>
        <w:ind w:firstLine="960" w:firstLineChars="3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2.立项依据：</w:t>
      </w:r>
      <w:r>
        <w:rPr>
          <w:rFonts w:hint="eastAsia" w:ascii="仿宋" w:hAnsi="仿宋" w:eastAsia="仿宋" w:cs="仿宋"/>
          <w:color w:val="auto"/>
          <w:sz w:val="32"/>
          <w:szCs w:val="32"/>
          <w:lang w:eastAsia="zh-CN"/>
        </w:rPr>
        <w:t>兴办字【</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12号</w:t>
      </w:r>
    </w:p>
    <w:p>
      <w:pPr>
        <w:spacing w:line="560" w:lineRule="exact"/>
        <w:ind w:firstLine="960" w:firstLineChars="300"/>
        <w:rPr>
          <w:rFonts w:ascii="仿宋" w:hAnsi="仿宋" w:eastAsia="仿宋" w:cs="仿宋"/>
          <w:color w:val="auto"/>
          <w:sz w:val="32"/>
          <w:szCs w:val="32"/>
        </w:rPr>
      </w:pPr>
      <w:r>
        <w:rPr>
          <w:rFonts w:hint="eastAsia" w:ascii="仿宋" w:hAnsi="仿宋" w:eastAsia="仿宋" w:cs="仿宋"/>
          <w:color w:val="auto"/>
          <w:sz w:val="32"/>
          <w:szCs w:val="32"/>
        </w:rPr>
        <w:t>3.实施主体：全县各乡镇种粮大户</w:t>
      </w:r>
    </w:p>
    <w:p>
      <w:pPr>
        <w:spacing w:line="560" w:lineRule="exact"/>
        <w:ind w:firstLine="960" w:firstLineChars="300"/>
        <w:rPr>
          <w:rFonts w:ascii="仿宋" w:hAnsi="仿宋" w:eastAsia="仿宋" w:cs="仿宋"/>
          <w:color w:val="auto"/>
          <w:sz w:val="32"/>
          <w:szCs w:val="32"/>
        </w:rPr>
      </w:pPr>
      <w:r>
        <w:rPr>
          <w:rFonts w:hint="eastAsia" w:ascii="仿宋" w:hAnsi="仿宋" w:eastAsia="仿宋" w:cs="仿宋"/>
          <w:color w:val="auto"/>
          <w:sz w:val="32"/>
          <w:szCs w:val="32"/>
        </w:rPr>
        <w:t>4.实施周期：一年</w:t>
      </w:r>
    </w:p>
    <w:p>
      <w:pPr>
        <w:spacing w:line="560" w:lineRule="exact"/>
        <w:ind w:firstLine="960" w:firstLineChars="300"/>
        <w:rPr>
          <w:rFonts w:ascii="仿宋" w:hAnsi="仿宋" w:eastAsia="仿宋" w:cs="仿宋"/>
          <w:color w:val="auto"/>
          <w:sz w:val="32"/>
          <w:szCs w:val="32"/>
        </w:rPr>
      </w:pPr>
      <w:r>
        <w:rPr>
          <w:rFonts w:hint="eastAsia" w:ascii="仿宋" w:hAnsi="仿宋" w:eastAsia="仿宋" w:cs="仿宋"/>
          <w:color w:val="auto"/>
          <w:sz w:val="32"/>
          <w:szCs w:val="32"/>
        </w:rPr>
        <w:t>5.年度预算安排：</w:t>
      </w:r>
      <w:r>
        <w:rPr>
          <w:rFonts w:hint="eastAsia" w:ascii="仿宋" w:hAnsi="仿宋" w:eastAsia="仿宋" w:cs="仿宋"/>
          <w:color w:val="auto"/>
          <w:sz w:val="32"/>
          <w:szCs w:val="32"/>
          <w:lang w:val="en-US" w:eastAsia="zh-CN"/>
        </w:rPr>
        <w:t>903.5</w:t>
      </w:r>
      <w:r>
        <w:rPr>
          <w:rFonts w:hint="eastAsia" w:ascii="仿宋" w:hAnsi="仿宋" w:eastAsia="仿宋" w:cs="仿宋"/>
          <w:color w:val="auto"/>
          <w:sz w:val="32"/>
          <w:szCs w:val="32"/>
        </w:rPr>
        <w:t>万元</w:t>
      </w:r>
    </w:p>
    <w:p>
      <w:pPr>
        <w:ind w:firstLine="960" w:firstLineChars="300"/>
        <w:rPr>
          <w:rFonts w:hint="eastAsia" w:ascii="仿宋" w:hAnsi="仿宋" w:eastAsia="仿宋" w:cs="仿宋"/>
          <w:color w:val="auto"/>
          <w:sz w:val="32"/>
          <w:szCs w:val="32"/>
        </w:rPr>
      </w:pPr>
      <w:r>
        <w:rPr>
          <w:rFonts w:hint="eastAsia" w:ascii="仿宋" w:hAnsi="仿宋" w:eastAsia="仿宋" w:cs="仿宋"/>
          <w:color w:val="auto"/>
          <w:sz w:val="32"/>
          <w:szCs w:val="32"/>
        </w:rPr>
        <w:t>6.年度绩效目标：巩固产粮大县地位不动摇，确保2023年完成粮食播种面积目标任务。</w:t>
      </w:r>
    </w:p>
    <w:p>
      <w:pPr>
        <w:pStyle w:val="2"/>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（九）国有资本经营情况</w:t>
      </w:r>
      <w:bookmarkStart w:id="0" w:name="_GoBack"/>
      <w:bookmarkEnd w:id="0"/>
    </w:p>
    <w:p>
      <w:pPr>
        <w:pStyle w:val="2"/>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无使用国有资本经营预算拨款安排的支出</w:t>
      </w:r>
    </w:p>
    <w:p>
      <w:pPr>
        <w:ind w:left="638" w:leftChars="304" w:firstLine="320" w:firstLineChars="100"/>
        <w:rPr>
          <w:rFonts w:hint="eastAsia" w:ascii="仿宋" w:hAnsi="仿宋" w:eastAsia="仿宋" w:cs="仿宋"/>
          <w:color w:val="auto"/>
          <w:sz w:val="32"/>
          <w:szCs w:val="32"/>
        </w:rPr>
      </w:pPr>
    </w:p>
    <w:p>
      <w:pPr>
        <w:spacing w:line="560" w:lineRule="exact"/>
        <w:ind w:left="10" w:leftChars="5" w:firstLine="643" w:firstLineChars="200"/>
        <w:rPr>
          <w:rFonts w:ascii="楷体" w:hAnsi="楷体" w:eastAsia="楷体" w:cs="楷体"/>
          <w:b/>
          <w:bCs/>
          <w:color w:val="auto"/>
          <w:sz w:val="32"/>
          <w:szCs w:val="32"/>
        </w:rPr>
      </w:pPr>
      <w:r>
        <w:rPr>
          <w:rFonts w:hint="eastAsia" w:ascii="楷体" w:hAnsi="楷体" w:eastAsia="楷体" w:cs="楷体"/>
          <w:b/>
          <w:bCs/>
          <w:color w:val="auto"/>
          <w:sz w:val="32"/>
          <w:szCs w:val="32"/>
        </w:rPr>
        <w:t>二、2023年“三公”经费预算情况说明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2023年兴国县农业农村局单位部门“三公”经费一般公共预算安排</w:t>
      </w:r>
      <w:r>
        <w:rPr>
          <w:rFonts w:hint="eastAsia" w:ascii="仿宋" w:hAnsi="仿宋" w:eastAsia="仿宋" w:cs="仿宋"/>
          <w:color w:val="auto"/>
          <w:sz w:val="32"/>
          <w:szCs w:val="32"/>
          <w:lang w:val="en-US" w:eastAsia="zh-CN"/>
        </w:rPr>
        <w:t>45.40</w:t>
      </w:r>
      <w:r>
        <w:rPr>
          <w:rFonts w:hint="eastAsia" w:ascii="仿宋" w:hAnsi="仿宋" w:eastAsia="仿宋" w:cs="仿宋"/>
          <w:color w:val="auto"/>
          <w:sz w:val="32"/>
          <w:szCs w:val="32"/>
        </w:rPr>
        <w:t>万元。其中：</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因公出国（境）费0万元，比上年增（减）0万元，主</w:t>
      </w: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rPr>
        <w:t>要原因是： 单位无安排因公出国支出。</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42.40</w:t>
      </w:r>
      <w:r>
        <w:rPr>
          <w:rFonts w:hint="eastAsia" w:ascii="仿宋" w:hAnsi="仿宋" w:eastAsia="仿宋" w:cs="仿宋"/>
          <w:color w:val="auto"/>
          <w:sz w:val="32"/>
          <w:szCs w:val="32"/>
        </w:rPr>
        <w:t>万元，比上年减少</w:t>
      </w:r>
      <w:r>
        <w:rPr>
          <w:rFonts w:hint="eastAsia" w:ascii="仿宋" w:hAnsi="仿宋" w:eastAsia="仿宋" w:cs="仿宋"/>
          <w:color w:val="auto"/>
          <w:sz w:val="32"/>
          <w:szCs w:val="32"/>
          <w:lang w:val="en-US" w:eastAsia="zh-CN"/>
        </w:rPr>
        <w:t>36.10</w:t>
      </w:r>
      <w:r>
        <w:rPr>
          <w:rFonts w:hint="eastAsia" w:ascii="仿宋" w:hAnsi="仿宋" w:eastAsia="仿宋" w:cs="仿宋"/>
          <w:color w:val="auto"/>
          <w:sz w:val="32"/>
          <w:szCs w:val="32"/>
        </w:rPr>
        <w:t>万元，主要原因是：缩减公务接待开支。</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万元，比上年减少</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万元，主要原因是：缩减开支。</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公务用车购置费0万元，比上年增（减）0万元，主要原因是：无公务用车购置安排。</w:t>
      </w:r>
    </w:p>
    <w:p>
      <w:pPr>
        <w:spacing w:line="560" w:lineRule="exact"/>
        <w:ind w:firstLine="640" w:firstLineChars="200"/>
        <w:rPr>
          <w:rFonts w:ascii="仿宋" w:hAnsi="仿宋" w:eastAsia="仿宋" w:cs="仿宋"/>
          <w:color w:val="auto"/>
          <w:sz w:val="32"/>
          <w:szCs w:val="32"/>
        </w:rPr>
      </w:pPr>
    </w:p>
    <w:p>
      <w:pPr>
        <w:spacing w:line="560" w:lineRule="exact"/>
        <w:jc w:val="center"/>
        <w:rPr>
          <w:rFonts w:hint="eastAsia" w:ascii="黑体" w:hAnsi="黑体" w:eastAsia="黑体" w:cs="黑体"/>
          <w:color w:val="auto"/>
          <w:sz w:val="32"/>
          <w:szCs w:val="32"/>
        </w:rPr>
      </w:pPr>
      <w:r>
        <w:rPr>
          <w:rFonts w:hint="eastAsia" w:ascii="黑体" w:hAnsi="黑体" w:eastAsia="黑体" w:cs="黑体"/>
          <w:color w:val="auto"/>
          <w:sz w:val="32"/>
          <w:szCs w:val="32"/>
        </w:rPr>
        <w:t>第三部分 兴国县</w:t>
      </w:r>
      <w:r>
        <w:rPr>
          <w:rFonts w:hint="eastAsia" w:ascii="黑体" w:hAnsi="黑体" w:eastAsia="黑体" w:cs="黑体"/>
          <w:color w:val="auto"/>
          <w:sz w:val="32"/>
          <w:szCs w:val="32"/>
          <w:lang w:eastAsia="zh-CN"/>
        </w:rPr>
        <w:t>农业农村局</w:t>
      </w:r>
      <w:r>
        <w:rPr>
          <w:rFonts w:hint="eastAsia" w:ascii="黑体" w:hAnsi="黑体" w:eastAsia="黑体" w:cs="黑体"/>
          <w:color w:val="auto"/>
          <w:sz w:val="32"/>
          <w:szCs w:val="32"/>
        </w:rPr>
        <w:t>2023年部门预算表</w:t>
      </w:r>
    </w:p>
    <w:p>
      <w:pPr>
        <w:pStyle w:val="3"/>
      </w:pPr>
    </w:p>
    <w:p>
      <w:pPr>
        <w:spacing w:line="560" w:lineRule="exact"/>
        <w:ind w:left="633" w:leftChars="0" w:hanging="633" w:hangingChars="198"/>
        <w:rPr>
          <w:rFonts w:hint="eastAsia" w:eastAsia="仿宋"/>
          <w:color w:val="auto"/>
          <w:lang w:eastAsia="zh-CN"/>
        </w:rPr>
      </w:pPr>
      <w:r>
        <w:rPr>
          <w:rFonts w:hint="eastAsia" w:ascii="仿宋" w:hAnsi="仿宋" w:eastAsia="仿宋" w:cs="仿宋"/>
          <w:color w:val="auto"/>
          <w:sz w:val="32"/>
          <w:szCs w:val="32"/>
        </w:rPr>
        <w:t>一、《收支预算总表》</w:t>
      </w:r>
      <w:r>
        <w:rPr>
          <w:rFonts w:hint="eastAsia" w:ascii="仿宋" w:hAnsi="仿宋" w:eastAsia="仿宋" w:cs="仿宋"/>
          <w:color w:val="auto"/>
          <w:sz w:val="32"/>
          <w:szCs w:val="32"/>
          <w:lang w:eastAsia="zh-CN"/>
        </w:rPr>
        <w:t>（见附表）</w:t>
      </w:r>
    </w:p>
    <w:p>
      <w:pPr>
        <w:pStyle w:val="3"/>
        <w:numPr>
          <w:ilvl w:val="0"/>
          <w:numId w:val="0"/>
        </w:numPr>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二、</w:t>
      </w:r>
      <w:r>
        <w:rPr>
          <w:rFonts w:hint="eastAsia" w:ascii="仿宋" w:hAnsi="仿宋" w:eastAsia="仿宋" w:cs="仿宋"/>
          <w:color w:val="auto"/>
          <w:sz w:val="32"/>
          <w:szCs w:val="32"/>
        </w:rPr>
        <w:t>《部门收入总表》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三、</w:t>
      </w:r>
      <w:r>
        <w:rPr>
          <w:rFonts w:hint="eastAsia" w:ascii="仿宋" w:hAnsi="仿宋" w:eastAsia="仿宋" w:cs="仿宋"/>
          <w:color w:val="auto"/>
          <w:sz w:val="32"/>
          <w:szCs w:val="32"/>
        </w:rPr>
        <w:t>《部门支出总表》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四、</w:t>
      </w:r>
      <w:r>
        <w:rPr>
          <w:rFonts w:hint="eastAsia" w:ascii="仿宋" w:hAnsi="仿宋" w:eastAsia="仿宋" w:cs="仿宋"/>
          <w:color w:val="auto"/>
          <w:sz w:val="32"/>
          <w:szCs w:val="32"/>
        </w:rPr>
        <w:t>《财政拨款收支总表》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五、</w:t>
      </w:r>
      <w:r>
        <w:rPr>
          <w:rFonts w:hint="eastAsia" w:ascii="仿宋" w:hAnsi="仿宋" w:eastAsia="仿宋" w:cs="仿宋"/>
          <w:color w:val="auto"/>
          <w:sz w:val="32"/>
          <w:szCs w:val="32"/>
        </w:rPr>
        <w:t>《一般公共预算支出表》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rPr>
          <w:color w:val="auto"/>
        </w:rPr>
      </w:pPr>
      <w:r>
        <w:rPr>
          <w:rFonts w:hint="eastAsia" w:ascii="仿宋" w:hAnsi="仿宋" w:eastAsia="仿宋" w:cs="仿宋"/>
          <w:color w:val="auto"/>
          <w:sz w:val="32"/>
          <w:szCs w:val="32"/>
          <w:lang w:eastAsia="zh-CN"/>
        </w:rPr>
        <w:t>六、</w:t>
      </w:r>
      <w:r>
        <w:rPr>
          <w:rFonts w:hint="eastAsia" w:ascii="仿宋" w:hAnsi="仿宋" w:eastAsia="仿宋" w:cs="仿宋"/>
          <w:color w:val="auto"/>
          <w:sz w:val="32"/>
          <w:szCs w:val="32"/>
        </w:rPr>
        <w:t>《一般公共预算基本支出表》</w:t>
      </w:r>
      <w:r>
        <w:rPr>
          <w:rFonts w:hint="eastAsia" w:ascii="仿宋" w:hAnsi="仿宋" w:eastAsia="仿宋" w:cs="仿宋"/>
          <w:color w:val="auto"/>
          <w:sz w:val="32"/>
          <w:szCs w:val="32"/>
          <w:lang w:eastAsia="zh-CN"/>
        </w:rPr>
        <w:t>（见附表）</w:t>
      </w:r>
    </w:p>
    <w:p>
      <w:pPr>
        <w:pStyle w:val="2"/>
        <w:numPr>
          <w:ilvl w:val="0"/>
          <w:numId w:val="0"/>
        </w:numPr>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七、</w:t>
      </w:r>
      <w:r>
        <w:rPr>
          <w:rFonts w:hint="eastAsia" w:ascii="仿宋" w:hAnsi="仿宋" w:eastAsia="仿宋" w:cs="仿宋"/>
          <w:color w:val="auto"/>
          <w:sz w:val="32"/>
          <w:szCs w:val="32"/>
        </w:rPr>
        <w:t>《一般公共预算“三公”经费支出表》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八、</w:t>
      </w:r>
      <w:r>
        <w:rPr>
          <w:rFonts w:hint="eastAsia" w:ascii="仿宋" w:hAnsi="仿宋" w:eastAsia="仿宋" w:cs="仿宋"/>
          <w:color w:val="auto"/>
          <w:sz w:val="32"/>
          <w:szCs w:val="32"/>
        </w:rPr>
        <w:t>《政府性基金预算支出表》</w:t>
      </w:r>
      <w:r>
        <w:rPr>
          <w:rFonts w:hint="eastAsia" w:ascii="仿宋" w:hAnsi="仿宋" w:eastAsia="仿宋" w:cs="仿宋"/>
          <w:color w:val="auto"/>
          <w:sz w:val="32"/>
          <w:szCs w:val="32"/>
          <w:lang w:eastAsia="zh-CN"/>
        </w:rPr>
        <w:t>（见附表）</w:t>
      </w:r>
    </w:p>
    <w:p>
      <w:pPr>
        <w:pStyle w:val="2"/>
        <w:ind w:left="0" w:leftChars="0" w:firstLine="0" w:firstLineChars="0"/>
        <w:rPr>
          <w:rFonts w:hint="eastAsia"/>
          <w:lang w:eastAsia="zh-CN"/>
        </w:rPr>
      </w:pPr>
      <w:r>
        <w:rPr>
          <w:rFonts w:hint="eastAsia" w:ascii="仿宋" w:hAnsi="仿宋" w:eastAsia="仿宋" w:cs="仿宋"/>
          <w:color w:val="auto"/>
          <w:sz w:val="32"/>
          <w:szCs w:val="32"/>
          <w:lang w:eastAsia="zh-CN"/>
        </w:rPr>
        <w:t>九、《国有资本经营预算支出表》（见附表）</w:t>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《部门整体支出绩效目标表》</w:t>
      </w: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ind w:left="0" w:leftChars="0" w:firstLine="0" w:firstLineChars="0"/>
        <w:rPr>
          <w:rFonts w:hint="eastAsia" w:ascii="仿宋" w:hAnsi="仿宋" w:eastAsia="仿宋" w:cs="仿宋"/>
          <w:color w:val="auto"/>
          <w:sz w:val="32"/>
          <w:szCs w:val="32"/>
        </w:rPr>
      </w:pPr>
    </w:p>
    <w:tbl>
      <w:tblPr>
        <w:tblStyle w:val="5"/>
        <w:tblW w:w="87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73"/>
        <w:gridCol w:w="450"/>
        <w:gridCol w:w="848"/>
        <w:gridCol w:w="847"/>
        <w:gridCol w:w="1466"/>
        <w:gridCol w:w="2166"/>
        <w:gridCol w:w="19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5" w:hRule="atLeast"/>
        </w:trPr>
        <w:tc>
          <w:tcPr>
            <w:tcW w:w="8740" w:type="dxa"/>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6"/>
                <w:szCs w:val="36"/>
                <w:u w:val="none"/>
                <w:lang w:val="en-US" w:eastAsia="zh-CN" w:bidi="ar"/>
              </w:rPr>
              <w:t>部门整体支出绩效目标表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atLeast"/>
        </w:trPr>
        <w:tc>
          <w:tcPr>
            <w:tcW w:w="8740" w:type="dxa"/>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iCs w:val="0"/>
                <w:color w:val="000000"/>
                <w:sz w:val="28"/>
                <w:szCs w:val="28"/>
                <w:u w:val="none"/>
              </w:rPr>
            </w:pPr>
            <w:r>
              <w:rPr>
                <w:rFonts w:hint="default" w:ascii="方正小标宋简体" w:hAnsi="方正小标宋简体" w:eastAsia="方正小标宋简体" w:cs="方正小标宋简体"/>
                <w:i w:val="0"/>
                <w:iCs w:val="0"/>
                <w:color w:val="000000"/>
                <w:kern w:val="0"/>
                <w:sz w:val="28"/>
                <w:szCs w:val="28"/>
                <w:u w:val="none"/>
                <w:lang w:val="en-US" w:eastAsia="zh-CN" w:bidi="ar"/>
              </w:rPr>
              <w:t>（ 2023 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部门名称</w:t>
            </w:r>
          </w:p>
        </w:tc>
        <w:tc>
          <w:tcPr>
            <w:tcW w:w="776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兴国县农业农村局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874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当年预算情况（万元）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22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收入预算合计</w:t>
            </w:r>
          </w:p>
        </w:tc>
        <w:tc>
          <w:tcPr>
            <w:tcW w:w="646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27,827.86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22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其中：财政拨款</w:t>
            </w:r>
          </w:p>
        </w:tc>
        <w:tc>
          <w:tcPr>
            <w:tcW w:w="2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7,652.78</w:t>
            </w:r>
          </w:p>
        </w:tc>
        <w:tc>
          <w:tcPr>
            <w:tcW w:w="21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其他经费</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20,175.08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trPr>
        <w:tc>
          <w:tcPr>
            <w:tcW w:w="22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支出预算合计</w:t>
            </w:r>
          </w:p>
        </w:tc>
        <w:tc>
          <w:tcPr>
            <w:tcW w:w="646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27,827.86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2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其中：基本支出</w:t>
            </w:r>
          </w:p>
        </w:tc>
        <w:tc>
          <w:tcPr>
            <w:tcW w:w="2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2,743.36</w:t>
            </w:r>
          </w:p>
        </w:tc>
        <w:tc>
          <w:tcPr>
            <w:tcW w:w="21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项目支出</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25,084.5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48" w:hRule="atLeast"/>
        </w:trPr>
        <w:tc>
          <w:tcPr>
            <w:tcW w:w="22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年度总体目标</w:t>
            </w:r>
          </w:p>
        </w:tc>
        <w:tc>
          <w:tcPr>
            <w:tcW w:w="646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（一）组织实施全县“三农”工作发展战略、中长期规划。组织起草农业农村、粮油流通管理的有关制度和规范性文件并组织实施。  （二）牵头组织改善农村人居环境，组织实施新农村建设。指导农村精神文明和农耕文化建设。   （三）负责农民承包地、农村宅基地改革和管理相关工作。（四）指导全县乡村特色产业、农产品加工业、休闲农业和乡镇企业发展工作，促进农村一二三产业融合发展。提出促进大宗农产品流通的建议，培育、保护农业品牌，组织农业产业化龙头企业监测和评定工作。发布全县农业农村经济信息，监测分析农业农村经济运行。承担全县农业统计和农业农村信息化有关工作。   （五）负责全县种植业、畜牧业、渔业、农垦、农业机械化等农业各产业的监督管理。  （六）负责全县农产品质量安全监督管理。（七）组织全县农业资源区划工作。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5" w:hRule="atLeast"/>
        </w:trPr>
        <w:tc>
          <w:tcPr>
            <w:tcW w:w="874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年度绩效指标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trPr>
        <w:tc>
          <w:tcPr>
            <w:tcW w:w="14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一级指标</w:t>
            </w:r>
          </w:p>
        </w:tc>
        <w:tc>
          <w:tcPr>
            <w:tcW w:w="16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二级指标</w:t>
            </w:r>
          </w:p>
        </w:tc>
        <w:tc>
          <w:tcPr>
            <w:tcW w:w="36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三级指标</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目标值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trPr>
        <w:tc>
          <w:tcPr>
            <w:tcW w:w="14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产出指标</w:t>
            </w:r>
          </w:p>
        </w:tc>
        <w:tc>
          <w:tcPr>
            <w:tcW w:w="169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产出指标</w:t>
            </w:r>
          </w:p>
        </w:tc>
        <w:tc>
          <w:tcPr>
            <w:tcW w:w="36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160个职工工资</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≥25826673.28元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trPr>
        <w:tc>
          <w:tcPr>
            <w:tcW w:w="14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6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农业生产发展资金</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≥49545000元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trPr>
        <w:tc>
          <w:tcPr>
            <w:tcW w:w="14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6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160个职工经费</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≥1606920元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trPr>
        <w:tc>
          <w:tcPr>
            <w:tcW w:w="14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9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质量指标</w:t>
            </w:r>
          </w:p>
        </w:tc>
        <w:tc>
          <w:tcPr>
            <w:tcW w:w="36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按时保质保量完成任务</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≥49545000元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trPr>
        <w:tc>
          <w:tcPr>
            <w:tcW w:w="14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6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按时保质保量发放到位</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≥27433593.28元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trPr>
        <w:tc>
          <w:tcPr>
            <w:tcW w:w="14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满意度指标</w:t>
            </w:r>
          </w:p>
        </w:tc>
        <w:tc>
          <w:tcPr>
            <w:tcW w:w="169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满意度指标</w:t>
            </w:r>
          </w:p>
        </w:tc>
        <w:tc>
          <w:tcPr>
            <w:tcW w:w="36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实施主体满意度</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14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6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保证职工满意</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≥98%</w:t>
            </w:r>
          </w:p>
        </w:tc>
      </w:tr>
    </w:tbl>
    <w:p>
      <w:pPr>
        <w:numPr>
          <w:ilvl w:val="0"/>
          <w:numId w:val="0"/>
        </w:numPr>
        <w:spacing w:line="560" w:lineRule="exact"/>
        <w:rPr>
          <w:rFonts w:ascii="仿宋" w:hAnsi="仿宋" w:eastAsia="仿宋" w:cs="仿宋"/>
          <w:color w:val="auto"/>
          <w:sz w:val="32"/>
          <w:szCs w:val="32"/>
        </w:rPr>
      </w:pPr>
      <w:r>
        <w:rPr>
          <w:rFonts w:hint="eastAsia" w:ascii="仿宋" w:hAnsi="仿宋" w:eastAsia="仿宋" w:cs="仿宋"/>
          <w:color w:val="auto"/>
          <w:sz w:val="32"/>
          <w:szCs w:val="32"/>
          <w:lang w:eastAsia="zh-CN"/>
        </w:rPr>
        <w:t>十一、</w:t>
      </w:r>
      <w:r>
        <w:rPr>
          <w:rFonts w:hint="eastAsia" w:ascii="仿宋" w:hAnsi="仿宋" w:eastAsia="仿宋" w:cs="仿宋"/>
          <w:color w:val="auto"/>
          <w:sz w:val="32"/>
          <w:szCs w:val="32"/>
        </w:rPr>
        <w:t>《项目支出绩效目标表》</w:t>
      </w:r>
    </w:p>
    <w:tbl>
      <w:tblPr>
        <w:tblStyle w:val="5"/>
        <w:tblW w:w="98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49"/>
        <w:gridCol w:w="1862"/>
        <w:gridCol w:w="2806"/>
        <w:gridCol w:w="1484"/>
        <w:gridCol w:w="23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846" w:type="dxa"/>
            <w:gridSpan w:val="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项目支出绩效目标表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846" w:type="dxa"/>
            <w:gridSpan w:val="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2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66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县级粮食生产补贴(2023年初预算)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2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主管部门及代码</w:t>
            </w:r>
          </w:p>
        </w:tc>
        <w:tc>
          <w:tcPr>
            <w:tcW w:w="2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501-兴国县农业农村局</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兴国县农业农村局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21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（万元）</w:t>
            </w:r>
          </w:p>
        </w:tc>
        <w:tc>
          <w:tcPr>
            <w:tcW w:w="2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年度资金总额</w:t>
            </w:r>
          </w:p>
        </w:tc>
        <w:tc>
          <w:tcPr>
            <w:tcW w:w="38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21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其中：财政拨款</w:t>
            </w:r>
          </w:p>
        </w:tc>
        <w:tc>
          <w:tcPr>
            <w:tcW w:w="38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21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其他资金</w:t>
            </w:r>
          </w:p>
        </w:tc>
        <w:tc>
          <w:tcPr>
            <w:tcW w:w="38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21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上年结转</w:t>
            </w:r>
          </w:p>
        </w:tc>
        <w:tc>
          <w:tcPr>
            <w:tcW w:w="38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8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巩固产粮大县地位不动摇，确保2023年完成粮食播种面积目标任务。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一级指标</w:t>
            </w:r>
          </w:p>
        </w:tc>
        <w:tc>
          <w:tcPr>
            <w:tcW w:w="1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二级指标</w:t>
            </w:r>
          </w:p>
        </w:tc>
        <w:tc>
          <w:tcPr>
            <w:tcW w:w="42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三级指标</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1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42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项目金额</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＝2700万元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3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1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42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符合条件的补贴对象发放率</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42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补贴资金发放程序规范性</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42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资金发放到户时限</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2023年12月底前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1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经济效益指标</w:t>
            </w:r>
          </w:p>
        </w:tc>
        <w:tc>
          <w:tcPr>
            <w:tcW w:w="42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增加种粮农户种植收益</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明显增加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1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w:t>
            </w:r>
          </w:p>
        </w:tc>
        <w:tc>
          <w:tcPr>
            <w:tcW w:w="42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种粮农户对补贴政策满意度</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nil"/>
              <w:left w:val="nil"/>
              <w:bottom w:val="nil"/>
              <w:right w:val="nil"/>
            </w:tcBorders>
            <w:shd w:val="clear" w:color="auto" w:fill="auto"/>
            <w:noWrap/>
            <w:vAlign w:val="bottom"/>
          </w:tcPr>
          <w:p>
            <w:pPr>
              <w:rPr>
                <w:rFonts w:hint="eastAsia" w:ascii="等线" w:hAnsi="等线" w:eastAsia="等线" w:cs="等线"/>
                <w:i w:val="0"/>
                <w:iCs w:val="0"/>
                <w:color w:val="000000"/>
                <w:sz w:val="22"/>
                <w:szCs w:val="22"/>
                <w:u w:val="none"/>
              </w:rPr>
            </w:pPr>
          </w:p>
        </w:tc>
        <w:tc>
          <w:tcPr>
            <w:tcW w:w="0" w:type="auto"/>
            <w:tcBorders>
              <w:top w:val="nil"/>
              <w:left w:val="nil"/>
              <w:bottom w:val="nil"/>
              <w:right w:val="nil"/>
            </w:tcBorders>
            <w:shd w:val="clear" w:color="auto" w:fill="auto"/>
            <w:noWrap/>
            <w:vAlign w:val="bottom"/>
          </w:tcPr>
          <w:p>
            <w:pPr>
              <w:rPr>
                <w:rFonts w:hint="default" w:ascii="等线" w:hAnsi="等线" w:eastAsia="等线" w:cs="等线"/>
                <w:i w:val="0"/>
                <w:iCs w:val="0"/>
                <w:color w:val="000000"/>
                <w:sz w:val="22"/>
                <w:szCs w:val="22"/>
                <w:u w:val="none"/>
              </w:rPr>
            </w:pPr>
          </w:p>
        </w:tc>
        <w:tc>
          <w:tcPr>
            <w:tcW w:w="0" w:type="auto"/>
            <w:tcBorders>
              <w:top w:val="nil"/>
              <w:left w:val="nil"/>
              <w:bottom w:val="nil"/>
              <w:right w:val="nil"/>
            </w:tcBorders>
            <w:shd w:val="clear" w:color="auto" w:fill="auto"/>
            <w:noWrap/>
            <w:vAlign w:val="bottom"/>
          </w:tcPr>
          <w:p>
            <w:pPr>
              <w:rPr>
                <w:rFonts w:hint="default" w:ascii="等线" w:hAnsi="等线" w:eastAsia="等线" w:cs="等线"/>
                <w:i w:val="0"/>
                <w:iCs w:val="0"/>
                <w:color w:val="000000"/>
                <w:sz w:val="22"/>
                <w:szCs w:val="22"/>
                <w:u w:val="none"/>
              </w:rPr>
            </w:pPr>
          </w:p>
        </w:tc>
        <w:tc>
          <w:tcPr>
            <w:tcW w:w="0" w:type="auto"/>
            <w:tcBorders>
              <w:top w:val="nil"/>
              <w:left w:val="nil"/>
              <w:bottom w:val="nil"/>
              <w:right w:val="nil"/>
            </w:tcBorders>
            <w:shd w:val="clear" w:color="auto" w:fill="auto"/>
            <w:noWrap/>
            <w:vAlign w:val="bottom"/>
          </w:tcPr>
          <w:p>
            <w:pPr>
              <w:rPr>
                <w:rFonts w:hint="default" w:ascii="等线" w:hAnsi="等线" w:eastAsia="等线" w:cs="等线"/>
                <w:i w:val="0"/>
                <w:iCs w:val="0"/>
                <w:color w:val="000000"/>
                <w:sz w:val="22"/>
                <w:szCs w:val="22"/>
                <w:u w:val="none"/>
              </w:rPr>
            </w:pPr>
          </w:p>
        </w:tc>
        <w:tc>
          <w:tcPr>
            <w:tcW w:w="0" w:type="auto"/>
            <w:tcBorders>
              <w:top w:val="nil"/>
              <w:left w:val="nil"/>
              <w:bottom w:val="nil"/>
              <w:right w:val="nil"/>
            </w:tcBorders>
            <w:shd w:val="clear" w:color="auto" w:fill="auto"/>
            <w:noWrap/>
            <w:vAlign w:val="bottom"/>
          </w:tcPr>
          <w:p>
            <w:pPr>
              <w:rPr>
                <w:rFonts w:hint="default" w:ascii="等线" w:hAnsi="等线" w:eastAsia="等线" w:cs="等线"/>
                <w:i w:val="0"/>
                <w:iCs w:val="0"/>
                <w:color w:val="000000"/>
                <w:sz w:val="22"/>
                <w:szCs w:val="22"/>
                <w:u w:val="none"/>
              </w:rPr>
            </w:pPr>
          </w:p>
        </w:tc>
      </w:tr>
    </w:tbl>
    <w:p>
      <w:pPr>
        <w:pStyle w:val="3"/>
        <w:rPr>
          <w:color w:val="auto"/>
        </w:rPr>
      </w:pPr>
    </w:p>
    <w:p>
      <w:pPr>
        <w:pStyle w:val="3"/>
        <w:rPr>
          <w:color w:val="auto"/>
        </w:rPr>
      </w:pPr>
    </w:p>
    <w:p>
      <w:pPr>
        <w:spacing w:line="560" w:lineRule="exact"/>
        <w:jc w:val="center"/>
        <w:rPr>
          <w:rFonts w:hint="eastAsia" w:ascii="黑体" w:hAnsi="黑体" w:eastAsia="黑体" w:cs="黑体"/>
          <w:color w:val="auto"/>
          <w:sz w:val="32"/>
          <w:szCs w:val="32"/>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第四部分 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各部门结合实际进行解释。</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（七）使用非财政拨款结余：填列历年滚存的非限定用途的非统计财政拨款结余弥补2023年收支差额的数额。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（八）上年结转和结余：填列2022年全部结转和结余的资金数，包括当年结转结余资金和历年滚存结转结余资金。</w:t>
      </w:r>
    </w:p>
    <w:p>
      <w:pPr>
        <w:spacing w:line="560" w:lineRule="exact"/>
        <w:ind w:firstLine="607" w:firstLineChars="189"/>
        <w:rPr>
          <w:rFonts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对部门或单位预算中涉及的支出功能分类科目（明细到项级），结合部门实际，参照《2023年政府收支分类科目》的规范说明行解释。</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spacing w:line="560" w:lineRule="exact"/>
        <w:ind w:firstLine="640" w:firstLineChars="200"/>
        <w:rPr>
          <w:rFonts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pPr>
        <w:rPr>
          <w:color w:val="auto"/>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A90C8F5-36D6-4E77-8FE9-72BAA1BD2AA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2" w:fontKey="{D2C1299F-E0C5-452E-BFB6-CFE5C4B4038E}"/>
  </w:font>
  <w:font w:name="方正小标宋简体">
    <w:panose1 w:val="02000000000000000000"/>
    <w:charset w:val="86"/>
    <w:family w:val="auto"/>
    <w:pitch w:val="default"/>
    <w:sig w:usb0="00000001" w:usb1="08000000" w:usb2="00000000" w:usb3="00000000" w:csb0="00040000" w:csb1="00000000"/>
    <w:embedRegular r:id="rId3" w:fontKey="{B3957D7C-5B3B-4160-B709-D287FC367F72}"/>
  </w:font>
  <w:font w:name="仿宋">
    <w:panose1 w:val="02010609060101010101"/>
    <w:charset w:val="86"/>
    <w:family w:val="auto"/>
    <w:pitch w:val="default"/>
    <w:sig w:usb0="800002BF" w:usb1="38CF7CFA" w:usb2="00000016" w:usb3="00000000" w:csb0="00040001" w:csb1="00000000"/>
    <w:embedRegular r:id="rId4" w:fontKey="{1C86BF1E-E02B-40BF-B025-546760D94503}"/>
  </w:font>
  <w:font w:name="楷体">
    <w:panose1 w:val="02010609060101010101"/>
    <w:charset w:val="86"/>
    <w:family w:val="modern"/>
    <w:pitch w:val="default"/>
    <w:sig w:usb0="800002BF" w:usb1="38CF7CFA" w:usb2="00000016" w:usb3="00000000" w:csb0="00040001" w:csb1="00000000"/>
    <w:embedRegular r:id="rId5" w:fontKey="{D037ECE2-E2EC-4C5F-BEA2-DFF54A6967DD}"/>
  </w:font>
  <w:font w:name="微软雅黑">
    <w:panose1 w:val="020B0503020204020204"/>
    <w:charset w:val="86"/>
    <w:family w:val="auto"/>
    <w:pitch w:val="default"/>
    <w:sig w:usb0="80000287" w:usb1="280F3C52" w:usb2="00000016" w:usb3="00000000" w:csb0="0004001F" w:csb1="00000000"/>
    <w:embedRegular r:id="rId6" w:fontKey="{C5F8939F-2E97-46B1-AFFB-D7F25A53542D}"/>
  </w:font>
  <w:font w:name="等线">
    <w:altName w:val="微软雅黑"/>
    <w:panose1 w:val="02010600030101010101"/>
    <w:charset w:val="86"/>
    <w:family w:val="auto"/>
    <w:pitch w:val="default"/>
    <w:sig w:usb0="00000000" w:usb1="00000000" w:usb2="00000016" w:usb3="00000000" w:csb0="0004000F" w:csb1="00000000"/>
    <w:embedRegular r:id="rId7" w:fontKey="{0645EEF1-EBAF-4883-8C5F-63D3283EFB5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path/>
          <v:fill on="f" focussize="0,0"/>
          <v:stroke on="f" weight="0.5pt" joinstyle="miter"/>
          <v:imagedata o:title=""/>
          <o:lock v:ext="edit"/>
          <v:textbox inset="0mm,0mm,0mm,0mm" style="mso-fit-shape-to-text:t;">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rPr>
                  <w:fldChar w:fldCharType="end"/>
                </w:r>
              </w:p>
            </w:txbxContent>
          </v:textbox>
        </v:shape>
      </w:pict>
    </w:r>
    <w:r>
      <w:pict>
        <v:shape id="文本框 1025" o:spid="_x0000_s102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path/>
          <v:fill on="f" focussize="0,0"/>
          <v:stroke on="f" joinstyle="miter"/>
          <v:imagedata o:title=""/>
          <o:lock v:ext="edit"/>
          <v:textbox inset="0mm,0mm,0mm,0mm" style="mso-fit-shape-to-text:t;">
            <w:txbxContent>
              <w:p>
                <w:pPr>
                  <w:pStyle w:val="4"/>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5F423C"/>
    <w:multiLevelType w:val="singleLevel"/>
    <w:tmpl w:val="E45F423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mUxM2RmNGFhYmMzMGE2NTQ3MWFlYjQzZmZlMTkyZjkifQ=="/>
  </w:docVars>
  <w:rsids>
    <w:rsidRoot w:val="445E02C8"/>
    <w:rsid w:val="00054BE9"/>
    <w:rsid w:val="00114399"/>
    <w:rsid w:val="0013178C"/>
    <w:rsid w:val="0017542A"/>
    <w:rsid w:val="001B45B9"/>
    <w:rsid w:val="00215322"/>
    <w:rsid w:val="00234282"/>
    <w:rsid w:val="00276E68"/>
    <w:rsid w:val="00284BEF"/>
    <w:rsid w:val="002A611F"/>
    <w:rsid w:val="003A2754"/>
    <w:rsid w:val="003A6AD6"/>
    <w:rsid w:val="003C565D"/>
    <w:rsid w:val="004E7C7F"/>
    <w:rsid w:val="00510D65"/>
    <w:rsid w:val="005661AA"/>
    <w:rsid w:val="00606A6F"/>
    <w:rsid w:val="006C1A92"/>
    <w:rsid w:val="00765381"/>
    <w:rsid w:val="007F7115"/>
    <w:rsid w:val="00843186"/>
    <w:rsid w:val="008727D3"/>
    <w:rsid w:val="00885DDC"/>
    <w:rsid w:val="00896F65"/>
    <w:rsid w:val="009547FC"/>
    <w:rsid w:val="009A67F6"/>
    <w:rsid w:val="009F1277"/>
    <w:rsid w:val="00A42C1B"/>
    <w:rsid w:val="00AE41F7"/>
    <w:rsid w:val="00BA5FD9"/>
    <w:rsid w:val="00BB7E9D"/>
    <w:rsid w:val="00C01BA4"/>
    <w:rsid w:val="00C654FB"/>
    <w:rsid w:val="00C85C36"/>
    <w:rsid w:val="00CB4FA5"/>
    <w:rsid w:val="00D44E77"/>
    <w:rsid w:val="00D77172"/>
    <w:rsid w:val="00FF5D1E"/>
    <w:rsid w:val="00FF76A9"/>
    <w:rsid w:val="029174F2"/>
    <w:rsid w:val="03465B2E"/>
    <w:rsid w:val="04803FB9"/>
    <w:rsid w:val="04B03193"/>
    <w:rsid w:val="04EE7A30"/>
    <w:rsid w:val="05543D15"/>
    <w:rsid w:val="068664FD"/>
    <w:rsid w:val="077E2CE0"/>
    <w:rsid w:val="0A0E7936"/>
    <w:rsid w:val="0A9D041D"/>
    <w:rsid w:val="0AED0FC7"/>
    <w:rsid w:val="0B684185"/>
    <w:rsid w:val="0B7F041B"/>
    <w:rsid w:val="0CFA3905"/>
    <w:rsid w:val="14CA1315"/>
    <w:rsid w:val="15800CD5"/>
    <w:rsid w:val="19CF11C0"/>
    <w:rsid w:val="19FB3199"/>
    <w:rsid w:val="24377A53"/>
    <w:rsid w:val="27067C4F"/>
    <w:rsid w:val="28D21782"/>
    <w:rsid w:val="28DE0127"/>
    <w:rsid w:val="2B0D1D89"/>
    <w:rsid w:val="2B150495"/>
    <w:rsid w:val="2E852F70"/>
    <w:rsid w:val="2F8F7C04"/>
    <w:rsid w:val="300D541D"/>
    <w:rsid w:val="326D79FF"/>
    <w:rsid w:val="32DF5484"/>
    <w:rsid w:val="370B6EB8"/>
    <w:rsid w:val="385C19CB"/>
    <w:rsid w:val="388F70F1"/>
    <w:rsid w:val="3A4013F4"/>
    <w:rsid w:val="3AD273C0"/>
    <w:rsid w:val="3D8B1F40"/>
    <w:rsid w:val="3F5F2902"/>
    <w:rsid w:val="3FD83DEE"/>
    <w:rsid w:val="3FFE2FA6"/>
    <w:rsid w:val="416C567E"/>
    <w:rsid w:val="42564B51"/>
    <w:rsid w:val="44272F23"/>
    <w:rsid w:val="445E02C8"/>
    <w:rsid w:val="45400223"/>
    <w:rsid w:val="49820DC2"/>
    <w:rsid w:val="51091D68"/>
    <w:rsid w:val="541B6B76"/>
    <w:rsid w:val="581F4981"/>
    <w:rsid w:val="5E301B76"/>
    <w:rsid w:val="60FD6CCC"/>
    <w:rsid w:val="61577E6A"/>
    <w:rsid w:val="65115B86"/>
    <w:rsid w:val="662800DC"/>
    <w:rsid w:val="67F05937"/>
    <w:rsid w:val="69486158"/>
    <w:rsid w:val="6AE37ADA"/>
    <w:rsid w:val="6F427F9C"/>
    <w:rsid w:val="71724DA6"/>
    <w:rsid w:val="72DD18A4"/>
    <w:rsid w:val="75D30A5F"/>
    <w:rsid w:val="76954FF6"/>
    <w:rsid w:val="76C13106"/>
    <w:rsid w:val="77B71FC1"/>
    <w:rsid w:val="7A1A1C11"/>
    <w:rsid w:val="7EC236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1"/>
    <w:rPr>
      <w:rFonts w:ascii="仿宋_GB2312" w:hAnsi="仿宋_GB2312" w:eastAsia="仿宋_GB2312" w:cs="仿宋_GB2312"/>
      <w:sz w:val="32"/>
      <w:szCs w:val="32"/>
      <w:lang w:val="zh-CN" w:bidi="zh-CN"/>
    </w:rPr>
  </w:style>
  <w:style w:type="paragraph" w:styleId="4">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5752</Words>
  <Characters>6432</Characters>
  <Lines>35</Lines>
  <Paragraphs>10</Paragraphs>
  <TotalTime>5</TotalTime>
  <ScaleCrop>false</ScaleCrop>
  <LinksUpToDate>false</LinksUpToDate>
  <CharactersWithSpaces>6544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dcterms:modified xsi:type="dcterms:W3CDTF">2024-06-13T01:28:01Z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DE8D0C3DFDBF4D6AB216AFD0F1733705</vt:lpwstr>
  </property>
</Properties>
</file>