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bCs/>
          <w:color w:val="000000"/>
          <w:sz w:val="44"/>
          <w:szCs w:val="44"/>
          <w:u w:val="none"/>
        </w:rPr>
      </w:pPr>
      <w:r>
        <w:rPr>
          <w:rFonts w:ascii="方正小标宋简体" w:hAnsi="方正小标宋简体"/>
          <w:bCs/>
          <w:color w:val="000000"/>
          <w:sz w:val="44"/>
          <w:szCs w:val="44"/>
          <w:u w:val="none"/>
        </w:rPr>
        <w:t>兴国县住房保障安置服务中心2023年部门预算编制说明</w:t>
      </w:r>
    </w:p>
    <w:p>
      <w:pPr>
        <w:spacing w:line="560" w:lineRule="exact"/>
        <w:jc w:val="center"/>
        <w:rPr>
          <w:rFonts w:ascii="黑体" w:hAnsi="黑体" w:eastAsia="黑体"/>
          <w:sz w:val="36"/>
          <w:szCs w:val="36"/>
          <w:u w:val="none"/>
        </w:rPr>
      </w:pPr>
      <w:r>
        <w:rPr>
          <w:rFonts w:hint="eastAsia" w:ascii="黑体" w:hAnsi="黑体" w:eastAsia="黑体"/>
          <w:sz w:val="36"/>
          <w:szCs w:val="36"/>
          <w:u w:val="none"/>
        </w:rPr>
        <w:t xml:space="preserve"> </w:t>
      </w:r>
    </w:p>
    <w:p>
      <w:pPr>
        <w:spacing w:line="560" w:lineRule="exact"/>
        <w:jc w:val="center"/>
        <w:rPr>
          <w:rFonts w:hint="eastAsia" w:ascii="黑体" w:hAnsi="黑体" w:eastAsia="黑体"/>
          <w:sz w:val="32"/>
          <w:szCs w:val="32"/>
          <w:u w:val="none"/>
        </w:rPr>
      </w:pPr>
      <w:r>
        <w:rPr>
          <w:rFonts w:hint="eastAsia" w:ascii="黑体" w:hAnsi="黑体" w:eastAsia="黑体"/>
          <w:sz w:val="32"/>
          <w:szCs w:val="32"/>
          <w:u w:val="none"/>
        </w:rPr>
        <w:t>目录</w:t>
      </w:r>
    </w:p>
    <w:p>
      <w:pPr>
        <w:spacing w:line="560" w:lineRule="exact"/>
        <w:jc w:val="center"/>
        <w:rPr>
          <w:rFonts w:hint="eastAsia" w:ascii="黑体" w:hAnsi="黑体" w:eastAsia="黑体"/>
          <w:sz w:val="32"/>
          <w:szCs w:val="32"/>
          <w:u w:val="none"/>
        </w:rPr>
      </w:pPr>
      <w:r>
        <w:rPr>
          <w:rFonts w:hint="eastAsia" w:ascii="黑体" w:hAnsi="黑体" w:eastAsia="黑体"/>
          <w:sz w:val="32"/>
          <w:szCs w:val="32"/>
          <w:u w:val="none"/>
        </w:rPr>
        <w:t xml:space="preserve"> </w:t>
      </w:r>
    </w:p>
    <w:p>
      <w:pPr>
        <w:spacing w:line="560" w:lineRule="exact"/>
        <w:ind w:left="684" w:hanging="684" w:hangingChars="213"/>
        <w:rPr>
          <w:rFonts w:hint="eastAsia" w:ascii="仿宋" w:hAnsi="仿宋" w:eastAsia="仿宋"/>
          <w:b/>
          <w:bCs/>
          <w:sz w:val="32"/>
          <w:szCs w:val="32"/>
          <w:u w:val="none"/>
        </w:rPr>
      </w:pPr>
      <w:r>
        <w:rPr>
          <w:rFonts w:hint="eastAsia" w:ascii="仿宋" w:hAnsi="仿宋" w:eastAsia="仿宋"/>
          <w:b/>
          <w:bCs/>
          <w:sz w:val="32"/>
          <w:szCs w:val="32"/>
          <w:u w:val="none"/>
        </w:rPr>
        <w:t>第一部分 兴国县住房保障安置服务中心概况</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一、部门主要职责</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二、部门基本情况</w:t>
      </w:r>
    </w:p>
    <w:p>
      <w:pPr>
        <w:spacing w:line="560" w:lineRule="exact"/>
        <w:ind w:left="684" w:hanging="684" w:hangingChars="213"/>
        <w:rPr>
          <w:rFonts w:hint="eastAsia" w:ascii="仿宋" w:hAnsi="仿宋" w:eastAsia="仿宋"/>
          <w:b/>
          <w:bCs/>
          <w:sz w:val="32"/>
          <w:szCs w:val="32"/>
          <w:u w:val="none"/>
        </w:rPr>
      </w:pPr>
      <w:r>
        <w:rPr>
          <w:rFonts w:hint="eastAsia" w:ascii="仿宋" w:hAnsi="仿宋" w:eastAsia="仿宋"/>
          <w:b/>
          <w:bCs/>
          <w:sz w:val="32"/>
          <w:szCs w:val="32"/>
          <w:u w:val="none"/>
        </w:rPr>
        <w:t>第二部分 兴国县住房保障安置服务中心部门预算情况说明</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一、2023年部门预算收支情况说明</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二、2023年“三公”经费预算情况说明</w:t>
      </w:r>
    </w:p>
    <w:p>
      <w:pPr>
        <w:spacing w:line="560" w:lineRule="exact"/>
        <w:ind w:left="684" w:hanging="684" w:hangingChars="213"/>
        <w:rPr>
          <w:rFonts w:hint="eastAsia" w:ascii="仿宋" w:hAnsi="仿宋" w:eastAsia="仿宋"/>
          <w:b/>
          <w:bCs/>
          <w:sz w:val="32"/>
          <w:szCs w:val="32"/>
          <w:u w:val="none"/>
        </w:rPr>
      </w:pPr>
      <w:r>
        <w:rPr>
          <w:rFonts w:hint="eastAsia" w:ascii="仿宋" w:hAnsi="仿宋" w:eastAsia="仿宋"/>
          <w:b/>
          <w:bCs/>
          <w:sz w:val="32"/>
          <w:szCs w:val="32"/>
          <w:u w:val="none"/>
        </w:rPr>
        <w:t>第三部分</w:t>
      </w:r>
      <w:r>
        <w:rPr>
          <w:rFonts w:hint="eastAsia" w:ascii="仿宋" w:hAnsi="仿宋" w:eastAsia="仿宋"/>
          <w:b/>
          <w:bCs/>
          <w:color w:val="FF0000"/>
          <w:sz w:val="32"/>
          <w:szCs w:val="32"/>
          <w:u w:val="none"/>
        </w:rPr>
        <w:t xml:space="preserve"> </w:t>
      </w:r>
      <w:r>
        <w:rPr>
          <w:rFonts w:hint="eastAsia" w:ascii="仿宋" w:hAnsi="仿宋" w:eastAsia="仿宋"/>
          <w:b/>
          <w:bCs/>
          <w:sz w:val="32"/>
          <w:szCs w:val="32"/>
          <w:u w:val="none"/>
        </w:rPr>
        <w:t>兴国县住房保障安置服务中心部门预算表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一、《收支预算总表》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二、《部门收入总表》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三、《部门支出总表》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四、《财政拨款收支总表》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五、《一般公共预算支出表》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六、《一般公共预算基本支出表》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七、《一般公共预算“三公”经费支出表》</w:t>
      </w:r>
    </w:p>
    <w:p>
      <w:pPr>
        <w:spacing w:line="560" w:lineRule="exact"/>
        <w:ind w:left="634" w:leftChars="284" w:hanging="38" w:hangingChars="12"/>
        <w:rPr>
          <w:rFonts w:hint="eastAsia" w:eastAsia="仿宋"/>
          <w:u w:val="none"/>
        </w:rPr>
      </w:pPr>
      <w:r>
        <w:rPr>
          <w:rFonts w:hint="eastAsia" w:ascii="仿宋" w:hAnsi="仿宋" w:eastAsia="仿宋"/>
          <w:sz w:val="32"/>
          <w:szCs w:val="32"/>
          <w:u w:val="none"/>
        </w:rPr>
        <w:t>八、《政府性基金预算支出表》</w:t>
      </w:r>
    </w:p>
    <w:p>
      <w:pPr>
        <w:spacing w:line="560" w:lineRule="exact"/>
        <w:ind w:left="634" w:leftChars="284" w:hanging="38" w:hangingChars="12"/>
        <w:rPr>
          <w:rFonts w:ascii="仿宋" w:hAnsi="仿宋" w:eastAsia="仿宋"/>
          <w:sz w:val="32"/>
          <w:szCs w:val="32"/>
          <w:u w:val="none"/>
        </w:rPr>
      </w:pPr>
      <w:r>
        <w:rPr>
          <w:rFonts w:hint="eastAsia" w:ascii="仿宋" w:hAnsi="仿宋" w:eastAsia="仿宋"/>
          <w:sz w:val="32"/>
          <w:szCs w:val="32"/>
          <w:u w:val="none"/>
        </w:rPr>
        <w:t>九、《国有资本经营预算支出表》</w:t>
      </w:r>
    </w:p>
    <w:p>
      <w:pPr>
        <w:spacing w:line="560" w:lineRule="exact"/>
        <w:ind w:left="10" w:leftChars="5" w:firstLine="620" w:firstLineChars="194"/>
        <w:rPr>
          <w:rFonts w:hint="eastAsia" w:ascii="仿宋" w:hAnsi="仿宋" w:eastAsia="仿宋"/>
          <w:sz w:val="32"/>
          <w:szCs w:val="32"/>
          <w:u w:val="none"/>
        </w:rPr>
      </w:pPr>
      <w:r>
        <w:rPr>
          <w:rFonts w:hint="eastAsia" w:ascii="仿宋" w:hAnsi="仿宋" w:eastAsia="仿宋"/>
          <w:sz w:val="32"/>
          <w:szCs w:val="32"/>
          <w:u w:val="none"/>
        </w:rPr>
        <w:t>十、《部门整体支出绩效目标表》</w:t>
      </w:r>
    </w:p>
    <w:p>
      <w:pPr>
        <w:spacing w:line="560" w:lineRule="exact"/>
        <w:ind w:left="10" w:leftChars="5" w:firstLine="620" w:firstLineChars="194"/>
        <w:rPr>
          <w:rFonts w:hint="eastAsia" w:ascii="仿宋" w:hAnsi="仿宋" w:eastAsia="仿宋"/>
          <w:sz w:val="32"/>
          <w:szCs w:val="32"/>
          <w:u w:val="none"/>
        </w:rPr>
      </w:pPr>
      <w:r>
        <w:rPr>
          <w:rFonts w:hint="eastAsia" w:ascii="仿宋" w:hAnsi="仿宋" w:eastAsia="仿宋"/>
          <w:sz w:val="32"/>
          <w:szCs w:val="32"/>
          <w:u w:val="none"/>
        </w:rPr>
        <w:t>十一、《项目支出绩效目标表》</w:t>
      </w:r>
    </w:p>
    <w:p>
      <w:pPr>
        <w:spacing w:line="560" w:lineRule="exact"/>
        <w:ind w:left="10" w:leftChars="5" w:firstLine="623" w:firstLineChars="194"/>
        <w:rPr>
          <w:rFonts w:hint="eastAsia" w:ascii="仿宋" w:hAnsi="仿宋" w:eastAsia="仿宋"/>
          <w:b/>
          <w:bCs/>
          <w:sz w:val="32"/>
          <w:szCs w:val="32"/>
          <w:u w:val="none"/>
        </w:rPr>
      </w:pPr>
      <w:r>
        <w:rPr>
          <w:rFonts w:hint="eastAsia" w:ascii="仿宋" w:hAnsi="仿宋" w:eastAsia="仿宋"/>
          <w:b/>
          <w:bCs/>
          <w:sz w:val="32"/>
          <w:szCs w:val="32"/>
          <w:u w:val="none"/>
        </w:rPr>
        <w:t>第四部分 名词解释</w:t>
      </w:r>
    </w:p>
    <w:p>
      <w:pPr>
        <w:spacing w:line="560" w:lineRule="exact"/>
        <w:jc w:val="center"/>
        <w:rPr>
          <w:rFonts w:hint="eastAsia" w:ascii="仿宋" w:hAnsi="仿宋" w:eastAsia="仿宋"/>
          <w:b/>
          <w:bCs/>
          <w:sz w:val="32"/>
          <w:szCs w:val="32"/>
          <w:u w:val="none"/>
        </w:rPr>
      </w:pPr>
      <w:r>
        <w:rPr>
          <w:rFonts w:hint="eastAsia" w:ascii="仿宋" w:hAnsi="仿宋" w:eastAsia="仿宋"/>
          <w:b/>
          <w:bCs/>
          <w:sz w:val="32"/>
          <w:szCs w:val="32"/>
          <w:u w:val="none"/>
        </w:rPr>
        <w:t xml:space="preserve"> </w:t>
      </w:r>
    </w:p>
    <w:p>
      <w:pPr>
        <w:spacing w:line="560" w:lineRule="exact"/>
        <w:jc w:val="center"/>
        <w:rPr>
          <w:rFonts w:hint="eastAsia" w:ascii="黑体" w:hAnsi="黑体" w:eastAsia="黑体"/>
          <w:sz w:val="32"/>
          <w:szCs w:val="32"/>
          <w:u w:val="none"/>
        </w:rPr>
      </w:pPr>
      <w:r>
        <w:rPr>
          <w:rFonts w:hint="eastAsia" w:ascii="黑体" w:hAnsi="黑体" w:eastAsia="黑体"/>
          <w:sz w:val="32"/>
          <w:szCs w:val="32"/>
          <w:u w:val="none"/>
        </w:rPr>
        <w:t xml:space="preserve">第一部分 </w:t>
      </w:r>
      <w:r>
        <w:rPr>
          <w:rFonts w:hint="eastAsia" w:ascii="仿宋" w:hAnsi="仿宋" w:eastAsia="仿宋"/>
          <w:b/>
          <w:bCs/>
          <w:sz w:val="32"/>
          <w:szCs w:val="32"/>
          <w:u w:val="none"/>
        </w:rPr>
        <w:t>兴国县住房保障安置服务中心</w:t>
      </w:r>
      <w:r>
        <w:rPr>
          <w:rFonts w:hint="eastAsia" w:ascii="黑体" w:hAnsi="黑体" w:eastAsia="黑体"/>
          <w:sz w:val="32"/>
          <w:szCs w:val="32"/>
          <w:u w:val="none"/>
        </w:rPr>
        <w:t>部门概况</w:t>
      </w:r>
    </w:p>
    <w:p>
      <w:pPr>
        <w:spacing w:line="560" w:lineRule="exact"/>
        <w:jc w:val="center"/>
        <w:rPr>
          <w:rFonts w:hint="eastAsia" w:ascii="仿宋" w:hAnsi="仿宋" w:eastAsia="仿宋"/>
          <w:b/>
          <w:bCs/>
          <w:sz w:val="32"/>
          <w:szCs w:val="32"/>
          <w:u w:val="none"/>
        </w:rPr>
      </w:pPr>
      <w:r>
        <w:rPr>
          <w:rFonts w:hint="eastAsia" w:ascii="仿宋" w:hAnsi="仿宋" w:eastAsia="仿宋"/>
          <w:b/>
          <w:bCs/>
          <w:sz w:val="32"/>
          <w:szCs w:val="32"/>
          <w:u w:val="none"/>
        </w:rPr>
        <w:t xml:space="preserve"> </w:t>
      </w:r>
    </w:p>
    <w:p>
      <w:pPr>
        <w:spacing w:line="560" w:lineRule="exact"/>
        <w:ind w:left="10" w:leftChars="5" w:firstLine="643" w:firstLineChars="200"/>
        <w:rPr>
          <w:rFonts w:hint="eastAsia" w:ascii="楷体" w:hAnsi="楷体" w:eastAsia="楷体"/>
          <w:b/>
          <w:bCs/>
          <w:sz w:val="32"/>
          <w:szCs w:val="32"/>
          <w:u w:val="none"/>
        </w:rPr>
      </w:pPr>
      <w:r>
        <w:rPr>
          <w:rFonts w:hint="eastAsia" w:ascii="楷体" w:hAnsi="楷体" w:eastAsia="楷体"/>
          <w:b/>
          <w:bCs/>
          <w:sz w:val="32"/>
          <w:szCs w:val="32"/>
          <w:u w:val="none"/>
        </w:rPr>
        <w:t>一、部门主要职责</w:t>
      </w:r>
    </w:p>
    <w:p>
      <w:pPr>
        <w:spacing w:line="600" w:lineRule="exact"/>
        <w:ind w:left="319" w:leftChars="152" w:firstLine="300" w:firstLineChars="100"/>
        <w:rPr>
          <w:rFonts w:hint="eastAsia" w:ascii="仿宋" w:hAnsi="仿宋" w:eastAsia="仿宋"/>
          <w:sz w:val="30"/>
          <w:szCs w:val="30"/>
          <w:u w:val="none"/>
        </w:rPr>
      </w:pPr>
      <w:r>
        <w:rPr>
          <w:rFonts w:hint="eastAsia" w:ascii="仿宋" w:hAnsi="仿宋" w:eastAsia="仿宋"/>
          <w:sz w:val="30"/>
          <w:szCs w:val="30"/>
          <w:u w:val="none"/>
        </w:rPr>
        <w:t>直属正科级事业单位，主要职责是：</w:t>
      </w:r>
    </w:p>
    <w:p>
      <w:pPr>
        <w:spacing w:line="600" w:lineRule="exact"/>
        <w:ind w:firstLine="600" w:firstLineChars="200"/>
        <w:rPr>
          <w:rFonts w:hint="eastAsia" w:ascii="仿宋" w:hAnsi="仿宋" w:eastAsia="仿宋"/>
          <w:sz w:val="30"/>
          <w:szCs w:val="30"/>
          <w:u w:val="none"/>
        </w:rPr>
      </w:pPr>
      <w:r>
        <w:rPr>
          <w:rFonts w:hint="eastAsia" w:ascii="仿宋" w:hAnsi="仿宋" w:eastAsia="仿宋"/>
          <w:sz w:val="30"/>
          <w:szCs w:val="30"/>
          <w:u w:val="none"/>
        </w:rPr>
        <w:t>1、贯彻执行国家和省有关房产的方针政策和法律、法规、规章，负责制定全县房产业管理办法和行业发展规划。主要是承担为保障性住房安置、房屋征收、房地产交易、公房管理、物业管理、商品住宅维修基金储存与使用等。</w:t>
      </w:r>
    </w:p>
    <w:p>
      <w:pPr>
        <w:spacing w:line="560" w:lineRule="exact"/>
        <w:ind w:left="10" w:leftChars="5" w:firstLine="643" w:firstLineChars="200"/>
        <w:rPr>
          <w:rFonts w:hint="eastAsia" w:ascii="楷体" w:hAnsi="楷体" w:eastAsia="楷体"/>
          <w:b/>
          <w:bCs/>
          <w:sz w:val="32"/>
          <w:szCs w:val="32"/>
          <w:u w:val="none"/>
        </w:rPr>
      </w:pPr>
      <w:r>
        <w:rPr>
          <w:rFonts w:hint="eastAsia" w:ascii="楷体" w:hAnsi="楷体" w:eastAsia="楷体"/>
          <w:b/>
          <w:bCs/>
          <w:sz w:val="32"/>
          <w:szCs w:val="32"/>
          <w:u w:val="none"/>
        </w:rPr>
        <w:t>二、部门基本情况</w:t>
      </w:r>
    </w:p>
    <w:p>
      <w:pPr>
        <w:ind w:firstLine="640" w:firstLineChars="200"/>
        <w:rPr>
          <w:rFonts w:hint="eastAsia" w:ascii="仿宋" w:hAnsi="仿宋" w:eastAsia="仿宋"/>
          <w:sz w:val="32"/>
          <w:szCs w:val="32"/>
          <w:u w:val="none"/>
        </w:rPr>
      </w:pPr>
      <w:r>
        <w:rPr>
          <w:rFonts w:hint="eastAsia" w:ascii="仿宋" w:hAnsi="仿宋" w:eastAsia="仿宋"/>
          <w:sz w:val="32"/>
          <w:szCs w:val="32"/>
          <w:u w:val="none"/>
        </w:rPr>
        <w:t>2023年兴国县住房保障安置服务中心共有预算单位</w:t>
      </w:r>
      <w:r>
        <w:rPr>
          <w:rFonts w:hint="eastAsia" w:ascii="仿宋" w:hAnsi="仿宋" w:eastAsia="仿宋"/>
          <w:kern w:val="0"/>
          <w:sz w:val="32"/>
          <w:szCs w:val="32"/>
          <w:u w:val="none"/>
        </w:rPr>
        <w:t>1</w:t>
      </w:r>
      <w:r>
        <w:rPr>
          <w:rFonts w:hint="eastAsia" w:ascii="仿宋" w:hAnsi="仿宋" w:eastAsia="仿宋"/>
          <w:sz w:val="32"/>
          <w:szCs w:val="32"/>
          <w:u w:val="none"/>
        </w:rPr>
        <w:t>个。</w:t>
      </w:r>
    </w:p>
    <w:p>
      <w:pPr>
        <w:spacing w:line="560" w:lineRule="exact"/>
        <w:ind w:firstLine="600" w:firstLineChars="200"/>
        <w:rPr>
          <w:rFonts w:hint="eastAsia" w:ascii="仿宋" w:hAnsi="仿宋" w:eastAsia="仿宋"/>
          <w:color w:val="FF0000"/>
          <w:sz w:val="24"/>
          <w:szCs w:val="24"/>
          <w:u w:val="none"/>
        </w:rPr>
      </w:pPr>
      <w:r>
        <w:rPr>
          <w:rFonts w:hint="eastAsia" w:ascii="仿宋" w:hAnsi="仿宋" w:eastAsia="仿宋"/>
          <w:sz w:val="30"/>
          <w:szCs w:val="30"/>
          <w:u w:val="none"/>
        </w:rPr>
        <w:t>编制人数</w:t>
      </w:r>
      <w:r>
        <w:rPr>
          <w:rFonts w:hint="eastAsia" w:ascii="仿宋" w:hAnsi="仿宋" w:eastAsia="仿宋"/>
          <w:sz w:val="30"/>
          <w:szCs w:val="30"/>
          <w:u w:val="none"/>
        </w:rPr>
        <w:t>44</w:t>
      </w:r>
      <w:r>
        <w:rPr>
          <w:rFonts w:hint="eastAsia" w:ascii="仿宋" w:hAnsi="仿宋" w:eastAsia="仿宋"/>
          <w:sz w:val="30"/>
          <w:szCs w:val="30"/>
          <w:u w:val="none"/>
        </w:rPr>
        <w:t>个，实有人数</w:t>
      </w:r>
      <w:r>
        <w:rPr>
          <w:rFonts w:hint="eastAsia" w:ascii="仿宋" w:hAnsi="仿宋" w:eastAsia="仿宋"/>
          <w:sz w:val="30"/>
          <w:szCs w:val="30"/>
          <w:u w:val="none"/>
        </w:rPr>
        <w:t>52</w:t>
      </w:r>
      <w:r>
        <w:rPr>
          <w:rFonts w:hint="eastAsia" w:ascii="仿宋" w:hAnsi="仿宋" w:eastAsia="仿宋"/>
          <w:sz w:val="30"/>
          <w:szCs w:val="30"/>
          <w:u w:val="none"/>
        </w:rPr>
        <w:t>人。其中：全额事业在职</w:t>
      </w:r>
      <w:r>
        <w:rPr>
          <w:rFonts w:hint="eastAsia" w:ascii="仿宋" w:hAnsi="仿宋" w:eastAsia="仿宋"/>
          <w:sz w:val="30"/>
          <w:szCs w:val="30"/>
          <w:u w:val="none"/>
        </w:rPr>
        <w:t>43</w:t>
      </w:r>
      <w:r>
        <w:rPr>
          <w:rFonts w:hint="eastAsia" w:ascii="仿宋" w:hAnsi="仿宋" w:eastAsia="仿宋"/>
          <w:sz w:val="30"/>
          <w:szCs w:val="30"/>
          <w:u w:val="none"/>
        </w:rPr>
        <w:t>人，自收自支在职</w:t>
      </w:r>
      <w:r>
        <w:rPr>
          <w:rFonts w:hint="eastAsia" w:ascii="仿宋" w:hAnsi="仿宋" w:eastAsia="仿宋"/>
          <w:sz w:val="30"/>
          <w:szCs w:val="30"/>
          <w:u w:val="none"/>
        </w:rPr>
        <w:t>9</w:t>
      </w:r>
      <w:r>
        <w:rPr>
          <w:rFonts w:hint="eastAsia" w:ascii="仿宋" w:hAnsi="仿宋" w:eastAsia="仿宋"/>
          <w:sz w:val="30"/>
          <w:szCs w:val="30"/>
          <w:u w:val="none"/>
        </w:rPr>
        <w:t>人，退休</w:t>
      </w:r>
      <w:r>
        <w:rPr>
          <w:rFonts w:hint="eastAsia" w:ascii="仿宋" w:hAnsi="仿宋" w:eastAsia="仿宋"/>
          <w:sz w:val="30"/>
          <w:szCs w:val="30"/>
          <w:u w:val="none"/>
        </w:rPr>
        <w:t>28</w:t>
      </w:r>
      <w:r>
        <w:rPr>
          <w:rFonts w:hint="eastAsia" w:ascii="仿宋" w:hAnsi="仿宋" w:eastAsia="仿宋"/>
          <w:sz w:val="30"/>
          <w:szCs w:val="30"/>
          <w:u w:val="none"/>
        </w:rPr>
        <w:t>人，</w:t>
      </w:r>
      <w:r>
        <w:rPr>
          <w:rFonts w:hint="eastAsia" w:ascii="仿宋" w:hAnsi="仿宋" w:eastAsia="仿宋"/>
          <w:sz w:val="32"/>
          <w:szCs w:val="32"/>
          <w:u w:val="none"/>
        </w:rPr>
        <w:t>遗属人数</w:t>
      </w:r>
      <w:r>
        <w:rPr>
          <w:rFonts w:hint="eastAsia" w:ascii="仿宋" w:hAnsi="仿宋" w:eastAsia="仿宋"/>
          <w:kern w:val="0"/>
          <w:sz w:val="32"/>
          <w:szCs w:val="32"/>
          <w:u w:val="none"/>
        </w:rPr>
        <w:t>4</w:t>
      </w:r>
      <w:r>
        <w:rPr>
          <w:rFonts w:hint="eastAsia" w:ascii="仿宋" w:hAnsi="仿宋" w:eastAsia="仿宋"/>
          <w:sz w:val="32"/>
          <w:szCs w:val="32"/>
          <w:u w:val="none"/>
        </w:rPr>
        <w:t>人。</w:t>
      </w:r>
    </w:p>
    <w:p>
      <w:pPr>
        <w:spacing w:line="560" w:lineRule="exact"/>
        <w:jc w:val="center"/>
        <w:rPr>
          <w:rFonts w:hint="eastAsia" w:ascii="黑体" w:hAnsi="黑体" w:eastAsia="黑体"/>
          <w:sz w:val="32"/>
          <w:szCs w:val="32"/>
          <w:u w:val="none"/>
        </w:rPr>
      </w:pPr>
      <w:r>
        <w:rPr>
          <w:rFonts w:hint="eastAsia" w:ascii="黑体" w:hAnsi="黑体" w:eastAsia="黑体"/>
          <w:sz w:val="32"/>
          <w:szCs w:val="32"/>
          <w:u w:val="none"/>
        </w:rPr>
        <w:t xml:space="preserve">第二部分 </w:t>
      </w:r>
      <w:r>
        <w:rPr>
          <w:rFonts w:hint="eastAsia" w:ascii="仿宋" w:hAnsi="仿宋" w:eastAsia="仿宋"/>
          <w:b/>
          <w:bCs/>
          <w:sz w:val="32"/>
          <w:szCs w:val="32"/>
          <w:u w:val="none"/>
        </w:rPr>
        <w:t>兴国县住房保障安置服务中心</w:t>
      </w:r>
      <w:r>
        <w:rPr>
          <w:rFonts w:hint="eastAsia" w:ascii="黑体" w:hAnsi="黑体" w:eastAsia="黑体"/>
          <w:sz w:val="32"/>
          <w:szCs w:val="32"/>
          <w:u w:val="none"/>
        </w:rPr>
        <w:t>部门预算情况说明</w:t>
      </w:r>
    </w:p>
    <w:p>
      <w:pPr>
        <w:spacing w:line="560" w:lineRule="exact"/>
        <w:jc w:val="center"/>
        <w:rPr>
          <w:rFonts w:hint="eastAsia" w:ascii="仿宋" w:hAnsi="仿宋" w:eastAsia="仿宋"/>
          <w:b/>
          <w:bCs/>
          <w:sz w:val="32"/>
          <w:szCs w:val="32"/>
          <w:u w:val="none"/>
        </w:rPr>
      </w:pPr>
      <w:r>
        <w:rPr>
          <w:rFonts w:hint="eastAsia" w:ascii="仿宋" w:hAnsi="仿宋" w:eastAsia="仿宋"/>
          <w:b/>
          <w:bCs/>
          <w:sz w:val="32"/>
          <w:szCs w:val="32"/>
          <w:u w:val="none"/>
        </w:rPr>
        <w:t xml:space="preserve"> </w:t>
      </w:r>
    </w:p>
    <w:p>
      <w:pPr>
        <w:spacing w:line="560" w:lineRule="exact"/>
        <w:ind w:left="10" w:leftChars="5" w:firstLine="643" w:firstLineChars="200"/>
        <w:rPr>
          <w:rFonts w:hint="eastAsia" w:ascii="楷体" w:hAnsi="楷体" w:eastAsia="楷体"/>
          <w:b/>
          <w:bCs/>
          <w:sz w:val="32"/>
          <w:szCs w:val="32"/>
          <w:u w:val="none"/>
        </w:rPr>
      </w:pPr>
      <w:r>
        <w:rPr>
          <w:rFonts w:hint="eastAsia" w:ascii="楷体" w:hAnsi="楷体" w:eastAsia="楷体"/>
          <w:b/>
          <w:bCs/>
          <w:sz w:val="32"/>
          <w:szCs w:val="32"/>
          <w:u w:val="none"/>
        </w:rPr>
        <w:t>一、2023年部门预算收支情况说明</w:t>
      </w: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（一）收入预算情况</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1157.16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6618.92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85%</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增减变化主要原因是：其他资金安排的保障房工程项目减少。</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u w:val="none"/>
        </w:rPr>
      </w:pPr>
      <w:r>
        <w:rPr>
          <w:rFonts w:hint="eastAsia" w:ascii="仿宋" w:hAnsi="仿宋" w:eastAsia="仿宋" w:cs="仿宋"/>
          <w:color w:val="auto"/>
          <w:spacing w:val="11"/>
          <w:sz w:val="30"/>
          <w:szCs w:val="30"/>
          <w:u w:val="none"/>
        </w:rPr>
        <w:t>其中：财政拨款收入</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1063.53</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z w:val="32"/>
          <w:szCs w:val="32"/>
          <w:u w:val="none"/>
          <w:lang w:val="en-US" w:eastAsia="zh-CN"/>
        </w:rPr>
        <w:t>387.85</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23"/>
          <w:sz w:val="30"/>
          <w:szCs w:val="30"/>
          <w:u w:val="none"/>
          <w:lang w:eastAsia="zh-CN"/>
        </w:rPr>
        <w:t>政府性基金预算收入</w:t>
      </w:r>
      <w:r>
        <w:rPr>
          <w:rFonts w:hint="eastAsia" w:ascii="仿宋" w:hAnsi="仿宋" w:eastAsia="仿宋" w:cs="仿宋"/>
          <w:color w:val="auto"/>
          <w:spacing w:val="23"/>
          <w:sz w:val="30"/>
          <w:szCs w:val="30"/>
          <w:u w:val="none"/>
        </w:rPr>
        <w:t>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w:t>
      </w:r>
      <w:r>
        <w:rPr>
          <w:rFonts w:hint="eastAsia" w:ascii="仿宋" w:hAnsi="仿宋" w:eastAsia="仿宋" w:cs="仿宋"/>
          <w:color w:val="auto"/>
          <w:spacing w:val="23"/>
          <w:sz w:val="30"/>
          <w:szCs w:val="30"/>
          <w:u w:val="none"/>
        </w:rPr>
        <w:t>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7"/>
          <w:sz w:val="30"/>
          <w:szCs w:val="30"/>
          <w:u w:val="none"/>
        </w:rPr>
        <w:t>万元,较上年预算安排增加（减少）</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上级补助</w:t>
      </w:r>
      <w:r>
        <w:rPr>
          <w:rFonts w:hint="eastAsia" w:ascii="仿宋" w:hAnsi="仿宋" w:eastAsia="仿宋" w:cs="仿宋"/>
          <w:color w:val="auto"/>
          <w:spacing w:val="8"/>
          <w:sz w:val="30"/>
          <w:szCs w:val="30"/>
          <w:u w:val="none"/>
        </w:rPr>
        <w:t>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8"/>
          <w:sz w:val="30"/>
          <w:szCs w:val="30"/>
          <w:u w:val="none"/>
        </w:rPr>
        <w:t>万元,较上年预算安排增加（减少）</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93.63</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7006.77</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4"/>
          <w:sz w:val="30"/>
          <w:szCs w:val="30"/>
          <w:u w:val="none"/>
        </w:rPr>
        <w:t>。</w:t>
      </w:r>
    </w:p>
    <w:p>
      <w:pPr>
        <w:spacing w:line="560" w:lineRule="exact"/>
        <w:ind w:firstLine="643" w:firstLineChars="200"/>
        <w:rPr>
          <w:rFonts w:hint="eastAsia" w:ascii="仿宋" w:hAnsi="仿宋" w:eastAsia="仿宋"/>
          <w:sz w:val="32"/>
          <w:szCs w:val="32"/>
          <w:u w:val="none"/>
        </w:rPr>
      </w:pPr>
      <w:r>
        <w:rPr>
          <w:rFonts w:hint="eastAsia" w:ascii="仿宋" w:hAnsi="仿宋" w:eastAsia="仿宋"/>
          <w:b/>
          <w:bCs/>
          <w:sz w:val="32"/>
          <w:szCs w:val="32"/>
          <w:u w:val="none"/>
        </w:rPr>
        <w:t>（二）支出预算情况</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1157.16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6618.92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85%</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eastAsia="zh-CN"/>
        </w:rPr>
        <w:t>其他资金安排的保障房工程项目减少。</w:t>
      </w:r>
    </w:p>
    <w:p>
      <w:pPr>
        <w:spacing w:line="560" w:lineRule="exact"/>
        <w:ind w:firstLine="600" w:firstLineChars="200"/>
        <w:rPr>
          <w:rFonts w:hint="eastAsia" w:ascii="仿宋" w:hAnsi="仿宋" w:eastAsia="仿宋" w:cs="仿宋"/>
          <w:color w:val="auto"/>
          <w:sz w:val="30"/>
          <w:szCs w:val="30"/>
          <w:u w:val="none"/>
        </w:rPr>
      </w:pP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按支出项目类别及经济分类科目划分：基本支出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619.88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120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571.42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37.79</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5.68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val="en-US" w:eastAsia="zh-CN"/>
        </w:rPr>
        <w:t>537.28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6738.92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537.28</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89.43</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8.02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28.37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4.48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50.77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1.35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988.59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17"/>
          <w:sz w:val="30"/>
          <w:szCs w:val="30"/>
          <w:u w:val="none"/>
          <w:lang w:eastAsia="zh-CN"/>
        </w:rPr>
        <w:t>减少</w:t>
      </w:r>
      <w:r>
        <w:rPr>
          <w:rFonts w:hint="eastAsia" w:ascii="仿宋" w:hAnsi="仿宋" w:eastAsia="仿宋" w:cs="仿宋"/>
          <w:color w:val="auto"/>
          <w:sz w:val="32"/>
          <w:szCs w:val="32"/>
          <w:u w:val="none"/>
          <w:lang w:val="en-US" w:eastAsia="zh-CN"/>
        </w:rPr>
        <w:t>6632.77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pStyle w:val="2"/>
        <w:rPr>
          <w:rFonts w:hint="eastAsia"/>
          <w:u w:val="none"/>
        </w:rPr>
      </w:pP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（三）财政拨款支出情况</w:t>
      </w:r>
    </w:p>
    <w:p>
      <w:pPr>
        <w:pStyle w:val="2"/>
        <w:ind w:firstLine="640" w:firstLineChars="200"/>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1063.53</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387.85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57%</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增减变化主要原因是：人员工资，保障类标准提高，增加保障企业退休人员补助，增加摇号软件支出等</w:t>
      </w:r>
      <w:bookmarkStart w:id="0" w:name="_GoBack"/>
      <w:bookmarkEnd w:id="0"/>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按支出项目类别及经济分类科目划分：基本支出</w:t>
      </w:r>
      <w:r>
        <w:rPr>
          <w:rFonts w:hint="eastAsia" w:ascii="仿宋" w:hAnsi="仿宋" w:eastAsia="仿宋" w:cs="仿宋"/>
          <w:color w:val="auto"/>
          <w:sz w:val="32"/>
          <w:szCs w:val="32"/>
          <w:u w:val="none"/>
          <w:lang w:val="en-US" w:eastAsia="zh-CN"/>
        </w:rPr>
        <w:t>526.25</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26.37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477.79</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37.79</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5.68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537.28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361.48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537.28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w:t>
      </w:r>
    </w:p>
    <w:p>
      <w:pPr>
        <w:spacing w:line="560" w:lineRule="exact"/>
        <w:ind w:firstLine="600" w:firstLineChars="200"/>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89.43</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8.02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28.37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4.48</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50.77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1.35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894.96</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374</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pStyle w:val="2"/>
        <w:rPr>
          <w:rFonts w:hint="eastAsia"/>
          <w:u w:val="none"/>
        </w:rPr>
      </w:pP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（四）政府性基金情况</w:t>
      </w:r>
    </w:p>
    <w:p>
      <w:pPr>
        <w:spacing w:line="560" w:lineRule="exact"/>
        <w:ind w:firstLine="640" w:firstLineChars="200"/>
        <w:rPr>
          <w:rFonts w:hint="default" w:ascii="仿宋" w:hAnsi="仿宋" w:eastAsia="仿宋"/>
          <w:sz w:val="32"/>
          <w:szCs w:val="32"/>
          <w:u w:val="none"/>
          <w:lang w:val="en-US" w:eastAsia="zh-CN"/>
        </w:rPr>
      </w:pPr>
      <w:r>
        <w:rPr>
          <w:rFonts w:hint="eastAsia" w:ascii="仿宋" w:hAnsi="仿宋" w:eastAsia="仿宋"/>
          <w:sz w:val="32"/>
          <w:szCs w:val="32"/>
          <w:u w:val="none"/>
          <w:lang w:val="en-US" w:eastAsia="zh-CN"/>
        </w:rPr>
        <w:t>2023年单位政府性基金支出总额0万元，较上年预算安排增（减）0万元，增（减）0%</w:t>
      </w:r>
      <w:r>
        <w:rPr>
          <w:rFonts w:hint="eastAsia" w:ascii="仿宋" w:hAnsi="仿宋" w:eastAsia="仿宋"/>
          <w:sz w:val="32"/>
          <w:szCs w:val="32"/>
          <w:u w:val="none"/>
        </w:rPr>
        <w:t>。</w:t>
      </w: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（五）机关运行经费等重要事项的说明</w:t>
      </w:r>
    </w:p>
    <w:p>
      <w:pPr>
        <w:spacing w:line="560" w:lineRule="exact"/>
        <w:ind w:firstLine="640" w:firstLineChars="200"/>
        <w:rPr>
          <w:rFonts w:hint="eastAsia" w:ascii="仿宋" w:hAnsi="仿宋" w:eastAsia="仿宋"/>
          <w:sz w:val="32"/>
          <w:szCs w:val="32"/>
          <w:u w:val="none"/>
          <w:lang w:eastAsia="zh-CN"/>
        </w:rPr>
      </w:pPr>
      <w:r>
        <w:rPr>
          <w:rFonts w:hint="eastAsia" w:ascii="仿宋" w:hAnsi="仿宋" w:eastAsia="仿宋"/>
          <w:sz w:val="32"/>
          <w:szCs w:val="32"/>
          <w:u w:val="none"/>
        </w:rPr>
        <w:t xml:space="preserve">2023年部门机关运行费预算 </w:t>
      </w:r>
      <w:r>
        <w:rPr>
          <w:rFonts w:hint="eastAsia" w:ascii="仿宋" w:hAnsi="仿宋" w:eastAsia="仿宋"/>
          <w:sz w:val="32"/>
          <w:szCs w:val="32"/>
          <w:u w:val="none"/>
        </w:rPr>
        <w:t>37.79</w:t>
      </w:r>
      <w:r>
        <w:rPr>
          <w:rFonts w:hint="eastAsia" w:ascii="仿宋" w:hAnsi="仿宋" w:eastAsia="仿宋"/>
          <w:sz w:val="32"/>
          <w:szCs w:val="32"/>
          <w:u w:val="none"/>
        </w:rPr>
        <w:t>万元，比上一年度预算增加（减少）</w:t>
      </w:r>
      <w:r>
        <w:rPr>
          <w:rFonts w:hint="eastAsia" w:ascii="仿宋" w:hAnsi="仿宋" w:eastAsia="仿宋"/>
          <w:sz w:val="32"/>
          <w:szCs w:val="32"/>
          <w:u w:val="none"/>
        </w:rPr>
        <w:t>0</w:t>
      </w:r>
      <w:r>
        <w:rPr>
          <w:rFonts w:hint="eastAsia" w:ascii="仿宋" w:hAnsi="仿宋" w:eastAsia="仿宋"/>
          <w:sz w:val="32"/>
          <w:szCs w:val="32"/>
          <w:u w:val="none"/>
        </w:rPr>
        <w:t>万元，增长（下降）</w:t>
      </w:r>
      <w:r>
        <w:rPr>
          <w:rFonts w:hint="eastAsia" w:ascii="仿宋" w:hAnsi="仿宋" w:eastAsia="仿宋"/>
          <w:sz w:val="32"/>
          <w:szCs w:val="32"/>
          <w:u w:val="none"/>
        </w:rPr>
        <w:t>0</w:t>
      </w:r>
      <w:r>
        <w:rPr>
          <w:rFonts w:hint="eastAsia" w:ascii="仿宋" w:hAnsi="仿宋" w:eastAsia="仿宋"/>
          <w:sz w:val="32"/>
          <w:szCs w:val="32"/>
          <w:u w:val="none"/>
        </w:rPr>
        <w:t>%。增减变化主要原因是：无增减变化</w:t>
      </w:r>
      <w:r>
        <w:rPr>
          <w:rFonts w:hint="eastAsia" w:ascii="仿宋" w:hAnsi="仿宋" w:eastAsia="仿宋"/>
          <w:sz w:val="32"/>
          <w:szCs w:val="32"/>
          <w:u w:val="none"/>
          <w:lang w:eastAsia="zh-CN"/>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b/>
          <w:bCs/>
          <w:sz w:val="32"/>
          <w:szCs w:val="32"/>
          <w:u w:val="none"/>
        </w:rPr>
      </w:pPr>
      <w:r>
        <w:rPr>
          <w:rFonts w:hint="eastAsia" w:ascii="仿宋" w:hAnsi="仿宋" w:eastAsia="仿宋"/>
          <w:b/>
          <w:bCs/>
          <w:sz w:val="32"/>
          <w:szCs w:val="32"/>
          <w:u w:val="none"/>
        </w:rPr>
        <w:t>（六）政府采购情况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sz w:val="32"/>
          <w:szCs w:val="32"/>
          <w:u w:val="none"/>
        </w:rPr>
        <w:t>2023年部门所属各单位政府采购总额</w:t>
      </w:r>
      <w:r>
        <w:rPr>
          <w:rFonts w:hint="eastAsia" w:ascii="仿宋" w:hAnsi="仿宋" w:eastAsia="仿宋"/>
          <w:sz w:val="32"/>
          <w:szCs w:val="32"/>
          <w:u w:val="none"/>
        </w:rPr>
        <w:t xml:space="preserve"> 5</w:t>
      </w:r>
      <w:r>
        <w:rPr>
          <w:rFonts w:hint="eastAsia" w:ascii="仿宋" w:hAnsi="仿宋" w:eastAsia="仿宋"/>
          <w:sz w:val="32"/>
          <w:szCs w:val="32"/>
          <w:u w:val="none"/>
        </w:rPr>
        <w:t>万元，其中：政府采购货物预算</w:t>
      </w:r>
      <w:r>
        <w:rPr>
          <w:rFonts w:hint="eastAsia" w:ascii="仿宋" w:hAnsi="仿宋" w:eastAsia="仿宋"/>
          <w:sz w:val="32"/>
          <w:szCs w:val="32"/>
          <w:u w:val="none"/>
        </w:rPr>
        <w:t>5</w:t>
      </w:r>
      <w:r>
        <w:rPr>
          <w:rFonts w:hint="eastAsia" w:ascii="仿宋" w:hAnsi="仿宋" w:eastAsia="仿宋"/>
          <w:sz w:val="32"/>
          <w:szCs w:val="32"/>
          <w:u w:val="none"/>
        </w:rPr>
        <w:t>万元。</w:t>
      </w:r>
      <w:r>
        <w:rPr>
          <w:rFonts w:hint="eastAsia" w:ascii="仿宋" w:hAnsi="仿宋" w:eastAsia="仿宋" w:cs="仿宋"/>
          <w:color w:val="auto"/>
          <w:sz w:val="32"/>
          <w:szCs w:val="32"/>
          <w:u w:val="none"/>
        </w:rPr>
        <w:t xml:space="preserve">政府采购工程预算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万元、政府采购服务预算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0" w:firstLineChars="200"/>
        <w:rPr>
          <w:rFonts w:hint="eastAsia" w:ascii="仿宋" w:hAnsi="仿宋" w:eastAsia="仿宋"/>
          <w:sz w:val="32"/>
          <w:szCs w:val="32"/>
          <w:u w:val="none"/>
        </w:rPr>
      </w:pP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（七）国有资产占有使用情况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 xml:space="preserve">12月31日部门共有车辆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 xml:space="preserve">一般公务用车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rPr>
        <w:t>部门预算安排购置车辆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辆，安排购置单位价值200万元以上大型设备具体为：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rPr>
        <w:t>。</w:t>
      </w:r>
    </w:p>
    <w:p>
      <w:pPr>
        <w:spacing w:line="560" w:lineRule="exact"/>
        <w:ind w:firstLine="643" w:firstLineChars="200"/>
        <w:rPr>
          <w:rFonts w:hint="eastAsia" w:ascii="仿宋" w:hAnsi="仿宋" w:eastAsia="仿宋"/>
          <w:b/>
          <w:bCs/>
          <w:sz w:val="32"/>
          <w:szCs w:val="32"/>
          <w:u w:val="none"/>
        </w:rPr>
      </w:pPr>
      <w:r>
        <w:rPr>
          <w:rFonts w:hint="eastAsia" w:ascii="仿宋" w:hAnsi="仿宋" w:eastAsia="仿宋"/>
          <w:b/>
          <w:bCs/>
          <w:sz w:val="32"/>
          <w:szCs w:val="32"/>
          <w:u w:val="none"/>
        </w:rPr>
        <w:t>（八）绩效目标设置情况</w:t>
      </w:r>
    </w:p>
    <w:p>
      <w:pPr>
        <w:spacing w:line="560" w:lineRule="exact"/>
        <w:ind w:left="634" w:leftChars="284" w:hanging="38" w:hangingChars="12"/>
        <w:rPr>
          <w:rFonts w:hint="eastAsia" w:ascii="仿宋" w:hAnsi="仿宋" w:eastAsia="仿宋"/>
          <w:sz w:val="24"/>
          <w:szCs w:val="24"/>
          <w:u w:val="none"/>
        </w:rPr>
      </w:pPr>
      <w:r>
        <w:rPr>
          <w:rFonts w:hint="eastAsia" w:ascii="仿宋" w:hAnsi="仿宋" w:eastAsia="仿宋"/>
          <w:sz w:val="32"/>
          <w:szCs w:val="32"/>
          <w:u w:val="none"/>
        </w:rPr>
        <w:t>2023年实行绩效目标管理的项目</w:t>
      </w:r>
      <w:r>
        <w:rPr>
          <w:rFonts w:hint="eastAsia" w:ascii="仿宋" w:hAnsi="仿宋" w:eastAsia="仿宋"/>
          <w:sz w:val="32"/>
          <w:szCs w:val="32"/>
          <w:u w:val="none"/>
        </w:rPr>
        <w:t>5</w:t>
      </w:r>
      <w:r>
        <w:rPr>
          <w:rFonts w:hint="eastAsia" w:ascii="仿宋" w:hAnsi="仿宋" w:eastAsia="仿宋"/>
          <w:sz w:val="32"/>
          <w:szCs w:val="32"/>
          <w:u w:val="none"/>
        </w:rPr>
        <w:t>个，涉及资金</w:t>
      </w:r>
      <w:r>
        <w:rPr>
          <w:rFonts w:hint="eastAsia" w:ascii="仿宋" w:hAnsi="仿宋" w:eastAsia="仿宋"/>
          <w:sz w:val="32"/>
          <w:szCs w:val="32"/>
          <w:u w:val="none"/>
        </w:rPr>
        <w:t>537.28</w:t>
      </w:r>
      <w:r>
        <w:rPr>
          <w:rFonts w:hint="eastAsia" w:ascii="仿宋" w:hAnsi="仿宋" w:eastAsia="仿宋"/>
          <w:sz w:val="32"/>
          <w:szCs w:val="32"/>
          <w:u w:val="none"/>
        </w:rPr>
        <w:t>万元。</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其中：</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项目名称：住房维修资金便捷支行与数据整理费用</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1.项目概述：住房维修资金便捷支行与数据整理</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2.立项依据：赣市住房字[2022]29号</w:t>
      </w:r>
    </w:p>
    <w:p>
      <w:pPr>
        <w:spacing w:line="560" w:lineRule="exact"/>
        <w:ind w:firstLine="640" w:firstLineChars="200"/>
        <w:rPr>
          <w:rFonts w:hint="eastAsia" w:ascii="仿宋" w:hAnsi="仿宋" w:eastAsia="仿宋"/>
          <w:sz w:val="32"/>
          <w:szCs w:val="32"/>
          <w:u w:val="none"/>
          <w:lang w:eastAsia="zh-CN"/>
        </w:rPr>
      </w:pPr>
      <w:r>
        <w:rPr>
          <w:rFonts w:hint="eastAsia" w:ascii="仿宋" w:hAnsi="仿宋" w:eastAsia="仿宋"/>
          <w:sz w:val="32"/>
          <w:szCs w:val="32"/>
          <w:u w:val="none"/>
        </w:rPr>
        <w:t>3.实施主体：</w:t>
      </w:r>
      <w:r>
        <w:rPr>
          <w:rFonts w:hint="eastAsia" w:ascii="仿宋" w:hAnsi="仿宋" w:eastAsia="仿宋"/>
          <w:sz w:val="32"/>
          <w:szCs w:val="32"/>
          <w:u w:val="none"/>
          <w:lang w:eastAsia="zh-CN"/>
        </w:rPr>
        <w:t>兴国县住房保障安置服务中心</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4.实施周期：一年</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5.年度预算安排：33万元</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6.年度绩效目标：提升服务水平98%，群众满意度98%。</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项目名称：政府购买服务形式保障人员</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1.项目概述：政府购买服务形式保障人员</w:t>
      </w:r>
    </w:p>
    <w:p>
      <w:pPr>
        <w:spacing w:line="560" w:lineRule="exact"/>
        <w:ind w:firstLine="640" w:firstLineChars="200"/>
        <w:rPr>
          <w:rFonts w:hint="eastAsia" w:ascii="仿宋" w:hAnsi="仿宋" w:eastAsia="仿宋"/>
          <w:sz w:val="32"/>
          <w:szCs w:val="32"/>
          <w:u w:val="none"/>
          <w:lang w:eastAsia="zh-CN"/>
        </w:rPr>
      </w:pPr>
      <w:r>
        <w:rPr>
          <w:rFonts w:hint="eastAsia" w:ascii="仿宋" w:hAnsi="仿宋" w:eastAsia="仿宋"/>
          <w:sz w:val="32"/>
          <w:szCs w:val="32"/>
          <w:u w:val="none"/>
        </w:rPr>
        <w:t>2.立项依据：</w:t>
      </w:r>
      <w:r>
        <w:rPr>
          <w:rFonts w:hint="eastAsia" w:ascii="仿宋" w:hAnsi="仿宋" w:eastAsia="仿宋"/>
          <w:sz w:val="32"/>
          <w:szCs w:val="32"/>
          <w:u w:val="none"/>
          <w:lang w:eastAsia="zh-CN"/>
        </w:rPr>
        <w:t>无</w:t>
      </w:r>
    </w:p>
    <w:p>
      <w:pPr>
        <w:spacing w:line="560" w:lineRule="exact"/>
        <w:ind w:firstLine="640" w:firstLineChars="200"/>
        <w:rPr>
          <w:rFonts w:hint="eastAsia" w:ascii="仿宋" w:hAnsi="仿宋" w:eastAsia="仿宋"/>
          <w:sz w:val="32"/>
          <w:szCs w:val="32"/>
          <w:u w:val="none"/>
          <w:lang w:eastAsia="zh-CN"/>
        </w:rPr>
      </w:pPr>
      <w:r>
        <w:rPr>
          <w:rFonts w:hint="eastAsia" w:ascii="仿宋" w:hAnsi="仿宋" w:eastAsia="仿宋"/>
          <w:sz w:val="32"/>
          <w:szCs w:val="32"/>
          <w:u w:val="none"/>
        </w:rPr>
        <w:t>3.实施主体：</w:t>
      </w:r>
      <w:r>
        <w:rPr>
          <w:rFonts w:hint="eastAsia" w:ascii="仿宋" w:hAnsi="仿宋" w:eastAsia="仿宋"/>
          <w:sz w:val="32"/>
          <w:szCs w:val="32"/>
          <w:u w:val="none"/>
          <w:lang w:eastAsia="zh-CN"/>
        </w:rPr>
        <w:t>兴国县住房保障安置服务中心</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4.实施周期：一年</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5.年度预算安排：450万元</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6.年度绩效目标：提升服务水平98%，群众满意度98%。</w:t>
      </w:r>
    </w:p>
    <w:p>
      <w:pPr>
        <w:spacing w:line="560" w:lineRule="exact"/>
        <w:rPr>
          <w:rFonts w:hint="eastAsia" w:ascii="仿宋" w:hAnsi="仿宋" w:eastAsia="仿宋"/>
          <w:b/>
          <w:bCs/>
          <w:sz w:val="32"/>
          <w:szCs w:val="32"/>
          <w:u w:val="none"/>
        </w:rPr>
      </w:pPr>
      <w:r>
        <w:rPr>
          <w:rFonts w:hint="eastAsia" w:ascii="仿宋" w:hAnsi="仿宋" w:eastAsia="仿宋"/>
          <w:b/>
          <w:bCs/>
          <w:sz w:val="32"/>
          <w:szCs w:val="32"/>
          <w:u w:val="none"/>
        </w:rPr>
        <w:t xml:space="preserve"> </w:t>
      </w:r>
    </w:p>
    <w:p>
      <w:pPr>
        <w:spacing w:line="560" w:lineRule="exact"/>
        <w:ind w:firstLine="321" w:firstLineChars="100"/>
        <w:rPr>
          <w:rFonts w:hint="eastAsia" w:ascii="仿宋" w:hAnsi="仿宋" w:eastAsia="仿宋"/>
          <w:b/>
          <w:bCs/>
          <w:sz w:val="32"/>
          <w:szCs w:val="32"/>
          <w:u w:val="none"/>
        </w:rPr>
      </w:pPr>
      <w:r>
        <w:rPr>
          <w:rFonts w:hint="eastAsia" w:ascii="仿宋" w:hAnsi="仿宋" w:eastAsia="仿宋"/>
          <w:b/>
          <w:bCs/>
          <w:sz w:val="32"/>
          <w:szCs w:val="32"/>
          <w:u w:val="none"/>
        </w:rPr>
        <w:t>（九）国有资本经营情况</w:t>
      </w:r>
    </w:p>
    <w:p>
      <w:pPr>
        <w:pStyle w:val="2"/>
        <w:ind w:firstLine="640" w:firstLineChars="200"/>
        <w:rPr>
          <w:rFonts w:hint="eastAsia" w:ascii="仿宋" w:hAnsi="仿宋" w:eastAsia="仿宋" w:cs="Times New Roman"/>
          <w:u w:val="none"/>
        </w:rPr>
      </w:pPr>
      <w:r>
        <w:rPr>
          <w:rFonts w:ascii="仿宋" w:hAnsi="仿宋" w:eastAsia="仿宋" w:cs="Times New Roman"/>
          <w:u w:val="none"/>
        </w:rPr>
        <w:t>无使用国有资本经营预算拨款安排的支出</w:t>
      </w:r>
    </w:p>
    <w:p>
      <w:pPr>
        <w:spacing w:line="560" w:lineRule="exact"/>
        <w:ind w:left="10" w:leftChars="5" w:firstLine="643" w:firstLineChars="200"/>
        <w:rPr>
          <w:rFonts w:ascii="楷体" w:hAnsi="楷体" w:eastAsia="楷体"/>
          <w:b/>
          <w:bCs/>
          <w:sz w:val="32"/>
          <w:szCs w:val="32"/>
          <w:u w:val="none"/>
        </w:rPr>
      </w:pPr>
      <w:r>
        <w:rPr>
          <w:rFonts w:hint="eastAsia" w:ascii="楷体" w:hAnsi="楷体" w:eastAsia="楷体"/>
          <w:b/>
          <w:bCs/>
          <w:sz w:val="32"/>
          <w:szCs w:val="32"/>
          <w:u w:val="none"/>
        </w:rPr>
        <w:t>二、2023年“三公”经费预算情况说明</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sz w:val="32"/>
          <w:szCs w:val="32"/>
          <w:u w:val="none"/>
        </w:rPr>
        <w:t>2023年兴国县住房保障安置服务中心</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rPr>
        <w:t>万元。其中：</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w:t>
      </w:r>
    </w:p>
    <w:p>
      <w:pPr>
        <w:spacing w:line="560" w:lineRule="exact"/>
        <w:ind w:firstLine="0" w:firstLineChars="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要原因是：</w:t>
      </w:r>
      <w:r>
        <w:rPr>
          <w:rFonts w:hint="eastAsia" w:ascii="仿宋" w:hAnsi="仿宋" w:eastAsia="仿宋"/>
          <w:sz w:val="32"/>
          <w:szCs w:val="32"/>
          <w:u w:val="none"/>
        </w:rPr>
        <w:t>较上年无变化</w:t>
      </w:r>
      <w:r>
        <w:rPr>
          <w:rFonts w:hint="eastAsia" w:ascii="仿宋" w:hAnsi="仿宋" w:eastAsia="仿宋" w:cs="仿宋"/>
          <w:color w:val="auto"/>
          <w:sz w:val="32"/>
          <w:szCs w:val="32"/>
          <w:u w:val="none"/>
        </w:rPr>
        <w:t xml:space="preserve"> 。</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rPr>
        <w:t>万元，比上年增（减）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万元，主要原因</w:t>
      </w:r>
    </w:p>
    <w:p>
      <w:pPr>
        <w:spacing w:line="560" w:lineRule="exact"/>
        <w:ind w:firstLine="0" w:firstLineChars="0"/>
        <w:rPr>
          <w:rFonts w:ascii="仿宋" w:hAnsi="仿宋" w:eastAsia="仿宋" w:cs="仿宋"/>
          <w:color w:val="auto"/>
          <w:sz w:val="32"/>
          <w:szCs w:val="32"/>
          <w:u w:val="none"/>
        </w:rPr>
      </w:pPr>
      <w:r>
        <w:rPr>
          <w:rFonts w:hint="eastAsia" w:ascii="仿宋" w:hAnsi="仿宋" w:eastAsia="仿宋" w:cs="仿宋"/>
          <w:color w:val="auto"/>
          <w:sz w:val="32"/>
          <w:szCs w:val="32"/>
          <w:u w:val="none"/>
        </w:rPr>
        <w:t>是：</w:t>
      </w:r>
      <w:r>
        <w:rPr>
          <w:rFonts w:hint="eastAsia" w:ascii="仿宋" w:hAnsi="仿宋" w:eastAsia="仿宋"/>
          <w:sz w:val="32"/>
          <w:szCs w:val="32"/>
          <w:u w:val="none"/>
        </w:rPr>
        <w:t>较上年无变化</w:t>
      </w:r>
      <w:r>
        <w:rPr>
          <w:rFonts w:hint="eastAsia" w:ascii="仿宋" w:hAnsi="仿宋" w:eastAsia="仿宋" w:cs="仿宋"/>
          <w:color w:val="auto"/>
          <w:sz w:val="32"/>
          <w:szCs w:val="32"/>
          <w:u w:val="none"/>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0" w:firstLineChars="0"/>
        <w:rPr>
          <w:rFonts w:ascii="仿宋" w:hAnsi="仿宋" w:eastAsia="仿宋" w:cs="仿宋"/>
          <w:color w:val="auto"/>
          <w:sz w:val="32"/>
          <w:szCs w:val="32"/>
          <w:u w:val="none"/>
        </w:rPr>
      </w:pPr>
      <w:r>
        <w:rPr>
          <w:rFonts w:hint="eastAsia" w:ascii="仿宋" w:hAnsi="仿宋" w:eastAsia="仿宋" w:cs="仿宋"/>
          <w:color w:val="auto"/>
          <w:sz w:val="32"/>
          <w:szCs w:val="32"/>
          <w:u w:val="none"/>
        </w:rPr>
        <w:t>主要原因是：</w:t>
      </w:r>
      <w:r>
        <w:rPr>
          <w:rFonts w:hint="eastAsia" w:ascii="仿宋" w:hAnsi="仿宋" w:eastAsia="仿宋"/>
          <w:sz w:val="32"/>
          <w:szCs w:val="32"/>
          <w:u w:val="none"/>
        </w:rPr>
        <w:t>较上年无变化</w:t>
      </w:r>
      <w:r>
        <w:rPr>
          <w:rFonts w:hint="eastAsia" w:ascii="仿宋" w:hAnsi="仿宋" w:eastAsia="仿宋" w:cs="仿宋"/>
          <w:color w:val="auto"/>
          <w:sz w:val="32"/>
          <w:szCs w:val="32"/>
          <w:u w:val="none"/>
        </w:rPr>
        <w:t>。</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万元，主要</w:t>
      </w:r>
    </w:p>
    <w:p>
      <w:pPr>
        <w:spacing w:line="560" w:lineRule="exact"/>
        <w:ind w:firstLine="0" w:firstLineChars="0"/>
        <w:rPr>
          <w:rFonts w:hint="default" w:eastAsia="宋体"/>
          <w:u w:val="none"/>
          <w:lang w:val="en-US" w:eastAsia="zh-CN"/>
        </w:rPr>
      </w:pPr>
      <w:r>
        <w:rPr>
          <w:rFonts w:hint="eastAsia" w:ascii="仿宋" w:hAnsi="仿宋" w:eastAsia="仿宋" w:cs="仿宋"/>
          <w:color w:val="auto"/>
          <w:sz w:val="32"/>
          <w:szCs w:val="32"/>
          <w:u w:val="none"/>
        </w:rPr>
        <w:t>原因是：</w:t>
      </w:r>
      <w:r>
        <w:rPr>
          <w:rFonts w:hint="eastAsia" w:ascii="仿宋" w:hAnsi="仿宋" w:eastAsia="仿宋"/>
          <w:sz w:val="32"/>
          <w:szCs w:val="32"/>
          <w:u w:val="none"/>
        </w:rPr>
        <w:t>较上年无变化</w:t>
      </w:r>
      <w:r>
        <w:rPr>
          <w:rFonts w:hint="eastAsia" w:ascii="仿宋" w:hAnsi="仿宋" w:eastAsia="仿宋" w:cs="仿宋"/>
          <w:color w:val="auto"/>
          <w:sz w:val="32"/>
          <w:szCs w:val="32"/>
          <w:u w:val="none"/>
        </w:rPr>
        <w:t>。</w:t>
      </w: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r>
        <w:rPr>
          <w:rFonts w:hint="eastAsia" w:ascii="黑体" w:hAnsi="黑体" w:eastAsia="黑体"/>
          <w:sz w:val="32"/>
          <w:szCs w:val="32"/>
          <w:u w:val="none"/>
        </w:rPr>
        <w:t>第三部分</w:t>
      </w:r>
      <w:r>
        <w:rPr>
          <w:rFonts w:hint="eastAsia" w:ascii="仿宋" w:hAnsi="仿宋" w:eastAsia="仿宋"/>
          <w:b/>
          <w:bCs/>
          <w:sz w:val="32"/>
          <w:szCs w:val="32"/>
          <w:u w:val="none"/>
        </w:rPr>
        <w:t>兴国县住房保障安置服务中心</w:t>
      </w:r>
      <w:r>
        <w:rPr>
          <w:rFonts w:hint="eastAsia" w:ascii="黑体" w:hAnsi="黑体" w:eastAsia="黑体"/>
          <w:sz w:val="32"/>
          <w:szCs w:val="32"/>
          <w:u w:val="none"/>
        </w:rPr>
        <w:t>2023年部门预算表</w:t>
      </w:r>
    </w:p>
    <w:p>
      <w:pPr>
        <w:spacing w:line="560" w:lineRule="exact"/>
        <w:ind w:left="634" w:leftChars="284" w:hanging="38" w:hangingChars="12"/>
        <w:rPr>
          <w:rFonts w:ascii="仿宋" w:hAnsi="仿宋" w:eastAsia="仿宋"/>
          <w:sz w:val="32"/>
          <w:szCs w:val="32"/>
          <w:u w:val="none"/>
        </w:rPr>
      </w:pPr>
      <w:r>
        <w:rPr>
          <w:rFonts w:hint="eastAsia" w:ascii="仿宋" w:hAnsi="仿宋" w:eastAsia="仿宋"/>
          <w:sz w:val="32"/>
          <w:szCs w:val="32"/>
          <w:u w:val="none"/>
        </w:rPr>
        <w:t>一、《收支预算总表》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二、《部门收入总表》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三、《部门支出总表》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四、《财政拨款收支总表》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五、《一般公共预算支出表》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六、《一般公共预算基本支出表》</w:t>
      </w:r>
    </w:p>
    <w:p>
      <w:pPr>
        <w:spacing w:line="560" w:lineRule="exact"/>
        <w:ind w:left="634" w:leftChars="284" w:hanging="38" w:hangingChars="12"/>
        <w:rPr>
          <w:rFonts w:hint="eastAsia" w:ascii="仿宋" w:hAnsi="仿宋" w:eastAsia="仿宋"/>
          <w:sz w:val="32"/>
          <w:szCs w:val="32"/>
          <w:u w:val="none"/>
        </w:rPr>
      </w:pPr>
      <w:r>
        <w:rPr>
          <w:rFonts w:hint="eastAsia" w:ascii="仿宋" w:hAnsi="仿宋" w:eastAsia="仿宋"/>
          <w:sz w:val="32"/>
          <w:szCs w:val="32"/>
          <w:u w:val="none"/>
        </w:rPr>
        <w:t>七、《一般公共预算“三公”经费支出表》</w:t>
      </w:r>
    </w:p>
    <w:p>
      <w:pPr>
        <w:spacing w:line="560" w:lineRule="exact"/>
        <w:ind w:left="634" w:leftChars="284" w:hanging="38" w:hangingChars="12"/>
        <w:rPr>
          <w:rFonts w:hint="eastAsia" w:eastAsia="仿宋"/>
          <w:u w:val="none"/>
        </w:rPr>
      </w:pPr>
      <w:r>
        <w:rPr>
          <w:rFonts w:hint="eastAsia" w:ascii="仿宋" w:hAnsi="仿宋" w:eastAsia="仿宋"/>
          <w:sz w:val="32"/>
          <w:szCs w:val="32"/>
          <w:u w:val="none"/>
        </w:rPr>
        <w:t>八、《政府性基金预算支出表》</w:t>
      </w:r>
    </w:p>
    <w:p>
      <w:pPr>
        <w:spacing w:line="560" w:lineRule="exact"/>
        <w:ind w:left="634" w:leftChars="284" w:hanging="38" w:hangingChars="12"/>
        <w:rPr>
          <w:rFonts w:ascii="仿宋" w:hAnsi="仿宋" w:eastAsia="仿宋"/>
          <w:sz w:val="32"/>
          <w:szCs w:val="32"/>
          <w:u w:val="none"/>
        </w:rPr>
      </w:pPr>
      <w:r>
        <w:rPr>
          <w:rFonts w:hint="eastAsia" w:ascii="仿宋" w:hAnsi="仿宋" w:eastAsia="仿宋"/>
          <w:sz w:val="32"/>
          <w:szCs w:val="32"/>
          <w:u w:val="none"/>
        </w:rPr>
        <w:t>九、《国有资本经营预算支出表》</w:t>
      </w:r>
    </w:p>
    <w:p>
      <w:pPr>
        <w:spacing w:line="560" w:lineRule="exact"/>
        <w:ind w:left="10" w:leftChars="5" w:firstLine="620" w:firstLineChars="194"/>
        <w:rPr>
          <w:rFonts w:hint="eastAsia" w:ascii="仿宋" w:hAnsi="仿宋" w:eastAsia="仿宋"/>
          <w:sz w:val="32"/>
          <w:szCs w:val="32"/>
          <w:u w:val="none"/>
        </w:rPr>
      </w:pPr>
      <w:r>
        <w:rPr>
          <w:rFonts w:hint="eastAsia" w:ascii="仿宋" w:hAnsi="仿宋" w:eastAsia="仿宋"/>
          <w:sz w:val="32"/>
          <w:szCs w:val="32"/>
          <w:u w:val="none"/>
        </w:rPr>
        <w:t>十、《部门整体支出绩效目标表》</w:t>
      </w:r>
    </w:p>
    <w:p>
      <w:pPr>
        <w:spacing w:line="560" w:lineRule="exact"/>
        <w:ind w:left="10" w:leftChars="5" w:firstLine="620" w:firstLineChars="194"/>
        <w:rPr>
          <w:rFonts w:hint="eastAsia" w:ascii="仿宋" w:hAnsi="仿宋" w:eastAsia="仿宋"/>
          <w:sz w:val="32"/>
          <w:szCs w:val="32"/>
          <w:u w:val="none"/>
        </w:rPr>
      </w:pPr>
      <w:r>
        <w:rPr>
          <w:rFonts w:hint="eastAsia" w:ascii="仿宋" w:hAnsi="仿宋" w:eastAsia="仿宋"/>
          <w:sz w:val="32"/>
          <w:szCs w:val="32"/>
          <w:u w:val="none"/>
        </w:rPr>
        <w:t>十一、《项目支出绩效目标表》</w:t>
      </w:r>
    </w:p>
    <w:p>
      <w:pPr>
        <w:pStyle w:val="6"/>
        <w:ind w:firstLine="320"/>
        <w:rPr>
          <w:rFonts w:hint="eastAsia"/>
          <w:u w:val="none"/>
        </w:rPr>
      </w:pPr>
    </w:p>
    <w:p>
      <w:pPr>
        <w:spacing w:line="560" w:lineRule="exact"/>
        <w:ind w:left="634" w:hanging="633" w:hangingChars="198"/>
        <w:rPr>
          <w:rFonts w:hint="eastAsia" w:ascii="仿宋" w:hAnsi="仿宋" w:eastAsia="仿宋"/>
          <w:sz w:val="32"/>
          <w:szCs w:val="32"/>
          <w:u w:val="none"/>
        </w:rPr>
      </w:pPr>
    </w:p>
    <w:p>
      <w:pPr>
        <w:spacing w:line="560" w:lineRule="exact"/>
        <w:ind w:left="634" w:hanging="633" w:hangingChars="198"/>
        <w:rPr>
          <w:rFonts w:hint="eastAsia" w:ascii="仿宋" w:hAnsi="仿宋" w:eastAsia="仿宋"/>
          <w:sz w:val="32"/>
          <w:szCs w:val="32"/>
          <w:u w:val="none"/>
        </w:rPr>
      </w:pPr>
    </w:p>
    <w:p>
      <w:pPr>
        <w:spacing w:line="560" w:lineRule="exact"/>
        <w:ind w:left="634" w:hanging="633" w:hangingChars="198"/>
        <w:rPr>
          <w:rFonts w:hint="eastAsia" w:ascii="仿宋" w:hAnsi="仿宋" w:eastAsia="仿宋"/>
          <w:sz w:val="32"/>
          <w:szCs w:val="32"/>
          <w:u w:val="none"/>
        </w:rPr>
      </w:pPr>
    </w:p>
    <w:p>
      <w:pPr>
        <w:rPr>
          <w:u w:val="none"/>
        </w:rPr>
      </w:pPr>
      <w:r>
        <w:rPr>
          <w:u w:val="none"/>
        </w:rPr>
        <w:drawing>
          <wp:inline distT="0" distB="0" distL="0" distR="0">
            <wp:extent cx="5569585" cy="847598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5574793" cy="8483610"/>
                    </a:xfrm>
                    <a:prstGeom prst="rect">
                      <a:avLst/>
                    </a:prstGeom>
                    <a:noFill/>
                    <a:ln w="9525">
                      <a:noFill/>
                      <a:miter lim="800000"/>
                      <a:headEnd/>
                      <a:tailEnd/>
                    </a:ln>
                  </pic:spPr>
                </pic:pic>
              </a:graphicData>
            </a:graphic>
          </wp:inline>
        </w:drawing>
      </w:r>
    </w:p>
    <w:p>
      <w:pPr>
        <w:rPr>
          <w:u w:val="none"/>
        </w:rPr>
      </w:pPr>
      <w:r>
        <w:rPr>
          <w:u w:val="none"/>
        </w:rPr>
        <w:t xml:space="preserve"> </w:t>
      </w:r>
      <w:r>
        <w:rPr>
          <w:u w:val="none"/>
        </w:rPr>
        <w:drawing>
          <wp:inline distT="0" distB="0" distL="0" distR="0">
            <wp:extent cx="6355715" cy="3895090"/>
            <wp:effectExtent l="19050" t="0" r="6426"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5" cstate="print"/>
                    <a:srcRect/>
                    <a:stretch>
                      <a:fillRect/>
                    </a:stretch>
                  </pic:blipFill>
                  <pic:spPr>
                    <a:xfrm>
                      <a:off x="0" y="0"/>
                      <a:ext cx="6356274" cy="3895409"/>
                    </a:xfrm>
                    <a:prstGeom prst="rect">
                      <a:avLst/>
                    </a:prstGeom>
                    <a:noFill/>
                    <a:ln w="9525">
                      <a:noFill/>
                      <a:miter lim="800000"/>
                      <a:headEnd/>
                      <a:tailEnd/>
                    </a:ln>
                  </pic:spPr>
                </pic:pic>
              </a:graphicData>
            </a:graphic>
          </wp:inline>
        </w:drawing>
      </w:r>
    </w:p>
    <w:p>
      <w:pPr>
        <w:rPr>
          <w:u w:val="none"/>
        </w:rPr>
      </w:pPr>
      <w:r>
        <w:rPr>
          <w:u w:val="none"/>
        </w:rPr>
        <w:t xml:space="preserve"> </w:t>
      </w:r>
    </w:p>
    <w:p>
      <w:pPr>
        <w:rPr>
          <w:u w:val="none"/>
        </w:rPr>
      </w:pPr>
      <w:r>
        <w:rPr>
          <w:u w:val="none"/>
        </w:rPr>
        <w:t xml:space="preserve"> </w:t>
      </w:r>
    </w:p>
    <w:p>
      <w:pPr>
        <w:rPr>
          <w:u w:val="none"/>
        </w:rPr>
      </w:pPr>
      <w:r>
        <w:rPr>
          <w:u w:val="none"/>
        </w:rPr>
        <w:t xml:space="preserve"> </w:t>
      </w:r>
    </w:p>
    <w:p>
      <w:pPr>
        <w:rPr>
          <w:u w:val="none"/>
        </w:rPr>
      </w:pPr>
      <w:r>
        <w:rPr>
          <w:u w:val="none"/>
        </w:rPr>
        <w:t xml:space="preserve"> </w:t>
      </w:r>
    </w:p>
    <w:p>
      <w:pPr>
        <w:rPr>
          <w:u w:val="none"/>
        </w:rPr>
      </w:pPr>
      <w:r>
        <w:rPr>
          <w:u w:val="none"/>
        </w:rPr>
        <w:t xml:space="preserve"> </w:t>
      </w:r>
    </w:p>
    <w:p>
      <w:pPr>
        <w:rPr>
          <w:u w:val="none"/>
        </w:rPr>
      </w:pPr>
      <w:r>
        <w:rPr>
          <w:u w:val="none"/>
        </w:rPr>
        <w:t xml:space="preserve"> </w:t>
      </w:r>
    </w:p>
    <w:p>
      <w:pPr>
        <w:rPr>
          <w:u w:val="none"/>
        </w:rPr>
      </w:pPr>
      <w:r>
        <w:rPr>
          <w:u w:val="none"/>
        </w:rPr>
        <w:t xml:space="preserve"> </w:t>
      </w:r>
    </w:p>
    <w:p>
      <w:pPr>
        <w:pStyle w:val="2"/>
        <w:rPr>
          <w:rFonts w:hint="eastAsia" w:eastAsia="仿宋" w:cs="仿宋_GB2312"/>
          <w:color w:val="FF0000"/>
          <w:u w:val="none"/>
        </w:rPr>
      </w:pPr>
    </w:p>
    <w:p>
      <w:pPr>
        <w:pStyle w:val="2"/>
        <w:rPr>
          <w:rFonts w:hint="eastAsia"/>
          <w:u w:val="none"/>
        </w:rPr>
      </w:pPr>
      <w:r>
        <w:rPr>
          <w:u w:val="none"/>
        </w:rPr>
        <w:t xml:space="preserve"> </w:t>
      </w: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pStyle w:val="6"/>
        <w:ind w:firstLine="320"/>
        <w:rPr>
          <w:rFonts w:hint="eastAsia"/>
          <w:u w:val="none"/>
        </w:rPr>
      </w:pPr>
      <w:r>
        <w:rPr>
          <w:rFonts w:hint="eastAsia"/>
          <w:u w:val="none"/>
        </w:rPr>
        <w:drawing>
          <wp:inline distT="0" distB="0" distL="0" distR="0">
            <wp:extent cx="5986145" cy="5675630"/>
            <wp:effectExtent l="19050" t="0" r="0" b="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noChangeArrowheads="1"/>
                    </pic:cNvPicPr>
                  </pic:nvPicPr>
                  <pic:blipFill>
                    <a:blip r:embed="rId6" cstate="print"/>
                    <a:srcRect/>
                    <a:stretch>
                      <a:fillRect/>
                    </a:stretch>
                  </pic:blipFill>
                  <pic:spPr>
                    <a:xfrm>
                      <a:off x="0" y="0"/>
                      <a:ext cx="5986271" cy="5675942"/>
                    </a:xfrm>
                    <a:prstGeom prst="rect">
                      <a:avLst/>
                    </a:prstGeom>
                    <a:noFill/>
                    <a:ln w="9525">
                      <a:noFill/>
                      <a:miter lim="800000"/>
                      <a:headEnd/>
                      <a:tailEnd/>
                    </a:ln>
                  </pic:spPr>
                </pic:pic>
              </a:graphicData>
            </a:graphic>
          </wp:inline>
        </w:drawing>
      </w:r>
    </w:p>
    <w:p>
      <w:pPr>
        <w:pStyle w:val="6"/>
        <w:ind w:firstLine="320"/>
        <w:rPr>
          <w:rFonts w:hint="eastAsia"/>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tabs>
          <w:tab w:val="left" w:pos="3133"/>
        </w:tabs>
        <w:spacing w:line="560" w:lineRule="exact"/>
        <w:rPr>
          <w:rFonts w:hint="eastAsia" w:ascii="黑体" w:hAnsi="黑体" w:eastAsia="黑体"/>
          <w:sz w:val="32"/>
          <w:szCs w:val="32"/>
          <w:u w:val="none"/>
        </w:rPr>
      </w:pPr>
    </w:p>
    <w:p>
      <w:pPr>
        <w:tabs>
          <w:tab w:val="left" w:pos="3133"/>
        </w:tabs>
        <w:spacing w:line="560" w:lineRule="exact"/>
        <w:rPr>
          <w:rFonts w:hint="eastAsia" w:ascii="黑体" w:hAnsi="黑体" w:eastAsia="黑体"/>
          <w:sz w:val="32"/>
          <w:szCs w:val="32"/>
          <w:u w:val="none"/>
        </w:rPr>
      </w:pPr>
    </w:p>
    <w:p>
      <w:pPr>
        <w:tabs>
          <w:tab w:val="left" w:pos="3133"/>
        </w:tabs>
        <w:spacing w:line="560" w:lineRule="exact"/>
        <w:rPr>
          <w:rFonts w:hint="eastAsia" w:ascii="黑体" w:hAnsi="黑体" w:eastAsia="黑体"/>
          <w:sz w:val="32"/>
          <w:szCs w:val="32"/>
          <w:u w:val="none"/>
        </w:rPr>
      </w:pPr>
    </w:p>
    <w:p>
      <w:pPr>
        <w:widowControl/>
        <w:jc w:val="left"/>
        <w:rPr>
          <w:rFonts w:hint="eastAsia" w:ascii="仿宋_GB2312" w:hAnsi="仿宋_GB2312" w:cs="宋体"/>
          <w:sz w:val="32"/>
          <w:szCs w:val="32"/>
          <w:u w:val="none"/>
        </w:rPr>
      </w:pPr>
    </w:p>
    <w:p>
      <w:pPr>
        <w:pStyle w:val="6"/>
        <w:ind w:firstLine="320"/>
        <w:rPr>
          <w:rFonts w:hint="eastAsia"/>
          <w:u w:val="none"/>
        </w:rPr>
      </w:pPr>
      <w:r>
        <w:rPr>
          <w:rFonts w:hint="eastAsia"/>
          <w:u w:val="none"/>
        </w:rPr>
        <w:drawing>
          <wp:inline distT="0" distB="0" distL="0" distR="0">
            <wp:extent cx="5742305" cy="3589655"/>
            <wp:effectExtent l="19050" t="0" r="0" b="0"/>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noChangeArrowheads="1"/>
                    </pic:cNvPicPr>
                  </pic:nvPicPr>
                  <pic:blipFill>
                    <a:blip r:embed="rId7" cstate="print"/>
                    <a:srcRect/>
                    <a:stretch>
                      <a:fillRect/>
                    </a:stretch>
                  </pic:blipFill>
                  <pic:spPr>
                    <a:xfrm>
                      <a:off x="0" y="0"/>
                      <a:ext cx="5750432" cy="3594922"/>
                    </a:xfrm>
                    <a:prstGeom prst="rect">
                      <a:avLst/>
                    </a:prstGeom>
                    <a:noFill/>
                    <a:ln w="9525">
                      <a:noFill/>
                      <a:miter lim="800000"/>
                      <a:headEnd/>
                      <a:tailEnd/>
                    </a:ln>
                  </pic:spPr>
                </pic:pic>
              </a:graphicData>
            </a:graphic>
          </wp:inline>
        </w:drawing>
      </w: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spacing w:line="560" w:lineRule="exact"/>
        <w:jc w:val="center"/>
        <w:rPr>
          <w:rFonts w:hint="eastAsia" w:ascii="黑体" w:hAnsi="黑体" w:eastAsia="黑体"/>
          <w:sz w:val="32"/>
          <w:szCs w:val="32"/>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r>
        <w:rPr>
          <w:rFonts w:hint="eastAsia"/>
          <w:u w:val="none"/>
        </w:rPr>
        <w:drawing>
          <wp:inline distT="0" distB="0" distL="0" distR="0">
            <wp:extent cx="6188710" cy="4358640"/>
            <wp:effectExtent l="19050" t="0" r="2540" b="0"/>
            <wp:docPr id="4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3"/>
                    <pic:cNvPicPr>
                      <a:picLocks noChangeAspect="1" noChangeArrowheads="1"/>
                    </pic:cNvPicPr>
                  </pic:nvPicPr>
                  <pic:blipFill>
                    <a:blip r:embed="rId8" cstate="print"/>
                    <a:srcRect/>
                    <a:stretch>
                      <a:fillRect/>
                    </a:stretch>
                  </pic:blipFill>
                  <pic:spPr>
                    <a:xfrm>
                      <a:off x="0" y="0"/>
                      <a:ext cx="6188710" cy="4359159"/>
                    </a:xfrm>
                    <a:prstGeom prst="rect">
                      <a:avLst/>
                    </a:prstGeom>
                    <a:noFill/>
                    <a:ln w="9525">
                      <a:noFill/>
                      <a:miter lim="800000"/>
                      <a:headEnd/>
                      <a:tailEnd/>
                    </a:ln>
                  </pic:spPr>
                </pic:pic>
              </a:graphicData>
            </a:graphic>
          </wp:inline>
        </w:drawing>
      </w:r>
    </w:p>
    <w:p>
      <w:pPr>
        <w:pStyle w:val="6"/>
        <w:ind w:firstLine="320"/>
        <w:rPr>
          <w:rFonts w:hint="eastAsia"/>
          <w:u w:val="none"/>
        </w:rPr>
      </w:pPr>
    </w:p>
    <w:p>
      <w:pPr>
        <w:pStyle w:val="6"/>
        <w:ind w:firstLine="320"/>
        <w:rPr>
          <w:rFonts w:hint="eastAsia"/>
          <w:u w:val="none"/>
        </w:rPr>
      </w:pPr>
    </w:p>
    <w:p>
      <w:pPr>
        <w:spacing w:line="560" w:lineRule="exact"/>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p>
      <w:pPr>
        <w:spacing w:line="560" w:lineRule="exact"/>
        <w:jc w:val="center"/>
        <w:rPr>
          <w:rFonts w:hint="eastAsia" w:ascii="黑体" w:hAnsi="黑体" w:eastAsia="黑体"/>
          <w:sz w:val="32"/>
          <w:szCs w:val="32"/>
          <w:u w:val="none"/>
        </w:rPr>
      </w:pPr>
    </w:p>
    <w:tbl>
      <w:tblPr>
        <w:tblStyle w:val="7"/>
        <w:tblW w:w="20994" w:type="dxa"/>
        <w:tblInd w:w="96" w:type="dxa"/>
        <w:tblLayout w:type="autofit"/>
        <w:tblCellMar>
          <w:top w:w="0" w:type="dxa"/>
          <w:left w:w="108" w:type="dxa"/>
          <w:bottom w:w="0" w:type="dxa"/>
          <w:right w:w="108" w:type="dxa"/>
        </w:tblCellMar>
      </w:tblPr>
      <w:tblGrid>
        <w:gridCol w:w="8184"/>
        <w:gridCol w:w="3990"/>
        <w:gridCol w:w="2940"/>
        <w:gridCol w:w="2940"/>
        <w:gridCol w:w="2940"/>
      </w:tblGrid>
      <w:tr>
        <w:tblPrEx>
          <w:tblCellMar>
            <w:top w:w="0" w:type="dxa"/>
            <w:left w:w="108" w:type="dxa"/>
            <w:bottom w:w="0" w:type="dxa"/>
            <w:right w:w="108" w:type="dxa"/>
          </w:tblCellMar>
        </w:tblPrEx>
        <w:trPr>
          <w:trHeight w:val="420" w:hRule="atLeast"/>
        </w:trPr>
        <w:tc>
          <w:tcPr>
            <w:tcW w:w="8184"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u w:val="none"/>
              </w:rPr>
            </w:pPr>
          </w:p>
        </w:tc>
        <w:tc>
          <w:tcPr>
            <w:tcW w:w="3990"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u w:val="none"/>
              </w:rPr>
            </w:pPr>
          </w:p>
        </w:tc>
        <w:tc>
          <w:tcPr>
            <w:tcW w:w="2940"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u w:val="none"/>
              </w:rPr>
            </w:pPr>
          </w:p>
        </w:tc>
        <w:tc>
          <w:tcPr>
            <w:tcW w:w="2940"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u w:val="none"/>
              </w:rPr>
            </w:pPr>
          </w:p>
        </w:tc>
        <w:tc>
          <w:tcPr>
            <w:tcW w:w="2940"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u w:val="none"/>
              </w:rPr>
            </w:pPr>
          </w:p>
        </w:tc>
      </w:tr>
    </w:tbl>
    <w:p>
      <w:pPr>
        <w:tabs>
          <w:tab w:val="left" w:pos="1924"/>
        </w:tabs>
        <w:spacing w:line="560" w:lineRule="exact"/>
        <w:rPr>
          <w:rFonts w:hint="eastAsia" w:ascii="黑体" w:hAnsi="黑体" w:eastAsia="黑体"/>
          <w:sz w:val="32"/>
          <w:szCs w:val="32"/>
          <w:u w:val="none"/>
        </w:rPr>
      </w:pPr>
      <w:r>
        <w:rPr>
          <w:rFonts w:ascii="黑体" w:hAnsi="黑体" w:eastAsia="黑体"/>
          <w:sz w:val="32"/>
          <w:szCs w:val="32"/>
          <w:u w:val="none"/>
        </w:rPr>
        <w:tab/>
      </w:r>
    </w:p>
    <w:p>
      <w:pPr>
        <w:tabs>
          <w:tab w:val="left" w:pos="1924"/>
        </w:tabs>
        <w:spacing w:line="560" w:lineRule="exact"/>
        <w:rPr>
          <w:rFonts w:hint="eastAsia" w:ascii="黑体" w:hAnsi="黑体" w:eastAsia="黑体"/>
          <w:sz w:val="32"/>
          <w:szCs w:val="32"/>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r>
        <w:rPr>
          <w:rFonts w:hint="eastAsia"/>
          <w:u w:val="none"/>
        </w:rPr>
        <w:drawing>
          <wp:inline distT="0" distB="0" distL="0" distR="0">
            <wp:extent cx="6188710" cy="5262245"/>
            <wp:effectExtent l="19050" t="0" r="2540" b="0"/>
            <wp:docPr id="5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5"/>
                    <pic:cNvPicPr>
                      <a:picLocks noChangeAspect="1" noChangeArrowheads="1"/>
                    </pic:cNvPicPr>
                  </pic:nvPicPr>
                  <pic:blipFill>
                    <a:blip r:embed="rId9" cstate="print"/>
                    <a:srcRect/>
                    <a:stretch>
                      <a:fillRect/>
                    </a:stretch>
                  </pic:blipFill>
                  <pic:spPr>
                    <a:xfrm>
                      <a:off x="0" y="0"/>
                      <a:ext cx="6188710" cy="5262874"/>
                    </a:xfrm>
                    <a:prstGeom prst="rect">
                      <a:avLst/>
                    </a:prstGeom>
                    <a:noFill/>
                    <a:ln w="9525">
                      <a:noFill/>
                      <a:miter lim="800000"/>
                      <a:headEnd/>
                      <a:tailEnd/>
                    </a:ln>
                  </pic:spPr>
                </pic:pic>
              </a:graphicData>
            </a:graphic>
          </wp:inline>
        </w:drawing>
      </w:r>
    </w:p>
    <w:p>
      <w:pPr>
        <w:pStyle w:val="6"/>
        <w:ind w:firstLine="320"/>
        <w:rPr>
          <w:rFonts w:hint="eastAsia"/>
          <w:u w:val="none"/>
        </w:rPr>
      </w:pPr>
    </w:p>
    <w:p>
      <w:pPr>
        <w:tabs>
          <w:tab w:val="left" w:pos="1924"/>
        </w:tabs>
        <w:spacing w:line="560" w:lineRule="exact"/>
        <w:rPr>
          <w:rFonts w:hint="eastAsia" w:ascii="黑体" w:hAnsi="黑体" w:eastAsia="黑体"/>
          <w:sz w:val="32"/>
          <w:szCs w:val="32"/>
          <w:u w:val="none"/>
        </w:rPr>
      </w:pPr>
    </w:p>
    <w:p>
      <w:pPr>
        <w:pStyle w:val="6"/>
        <w:ind w:firstLine="320"/>
        <w:rPr>
          <w:rFonts w:hint="eastAsia"/>
          <w:u w:val="none"/>
        </w:rPr>
      </w:pPr>
    </w:p>
    <w:p>
      <w:pPr>
        <w:spacing w:line="560" w:lineRule="exact"/>
        <w:jc w:val="center"/>
        <w:rPr>
          <w:rFonts w:hint="eastAsia" w:ascii="黑体" w:hAnsi="黑体" w:eastAsia="黑体"/>
          <w:sz w:val="32"/>
          <w:szCs w:val="32"/>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rPr>
          <w:u w:val="none"/>
        </w:rPr>
      </w:pPr>
      <w:r>
        <w:rPr>
          <w:u w:val="none"/>
        </w:rPr>
        <w:drawing>
          <wp:inline distT="0" distB="0" distL="0" distR="0">
            <wp:extent cx="6645910" cy="1403350"/>
            <wp:effectExtent l="19050" t="0" r="2540" b="0"/>
            <wp:docPr id="5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6"/>
                    <pic:cNvPicPr>
                      <a:picLocks noChangeAspect="1" noChangeArrowheads="1"/>
                    </pic:cNvPicPr>
                  </pic:nvPicPr>
                  <pic:blipFill>
                    <a:blip r:embed="rId10" cstate="print"/>
                    <a:srcRect/>
                    <a:stretch>
                      <a:fillRect/>
                    </a:stretch>
                  </pic:blipFill>
                  <pic:spPr>
                    <a:xfrm>
                      <a:off x="0" y="0"/>
                      <a:ext cx="6645910" cy="1403915"/>
                    </a:xfrm>
                    <a:prstGeom prst="rect">
                      <a:avLst/>
                    </a:prstGeom>
                    <a:noFill/>
                    <a:ln w="9525">
                      <a:noFill/>
                      <a:miter lim="800000"/>
                      <a:headEnd/>
                      <a:tailEnd/>
                    </a:ln>
                  </pic:spPr>
                </pic:pic>
              </a:graphicData>
            </a:graphic>
          </wp:inline>
        </w:drawing>
      </w:r>
    </w:p>
    <w:p>
      <w:pPr>
        <w:rPr>
          <w:u w:val="none"/>
        </w:rPr>
      </w:pPr>
    </w:p>
    <w:p>
      <w:pPr>
        <w:rPr>
          <w:u w:val="none"/>
        </w:rPr>
      </w:pPr>
    </w:p>
    <w:p>
      <w:pPr>
        <w:rPr>
          <w:u w:val="none"/>
        </w:rPr>
      </w:pPr>
    </w:p>
    <w:p>
      <w:pPr>
        <w:tabs>
          <w:tab w:val="left" w:pos="6705"/>
        </w:tabs>
        <w:rPr>
          <w:rFonts w:hint="eastAsia"/>
          <w:u w:val="none"/>
        </w:rPr>
      </w:pPr>
      <w:r>
        <w:rPr>
          <w:u w:val="none"/>
        </w:rPr>
        <w:tab/>
      </w: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r>
        <w:rPr>
          <w:u w:val="none"/>
        </w:rPr>
        <w:drawing>
          <wp:inline distT="0" distB="0" distL="0" distR="0">
            <wp:extent cx="6188710" cy="1285875"/>
            <wp:effectExtent l="19050" t="0" r="2540" b="0"/>
            <wp:docPr id="5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7"/>
                    <pic:cNvPicPr>
                      <a:picLocks noChangeAspect="1" noChangeArrowheads="1"/>
                    </pic:cNvPicPr>
                  </pic:nvPicPr>
                  <pic:blipFill>
                    <a:blip r:embed="rId11" cstate="print"/>
                    <a:srcRect/>
                    <a:stretch>
                      <a:fillRect/>
                    </a:stretch>
                  </pic:blipFill>
                  <pic:spPr>
                    <a:xfrm>
                      <a:off x="0" y="0"/>
                      <a:ext cx="6188710" cy="1286224"/>
                    </a:xfrm>
                    <a:prstGeom prst="rect">
                      <a:avLst/>
                    </a:prstGeom>
                    <a:noFill/>
                    <a:ln w="9525">
                      <a:noFill/>
                      <a:miter lim="800000"/>
                      <a:headEnd/>
                      <a:tailEnd/>
                    </a:ln>
                  </pic:spPr>
                </pic:pic>
              </a:graphicData>
            </a:graphic>
          </wp:inline>
        </w:drawing>
      </w:r>
    </w:p>
    <w:p>
      <w:pPr>
        <w:rPr>
          <w:rFonts w:hint="eastAsia"/>
          <w:u w:val="none"/>
        </w:rPr>
      </w:pPr>
    </w:p>
    <w:p>
      <w:pPr>
        <w:rPr>
          <w:rFonts w:hint="eastAsia"/>
          <w:u w:val="none"/>
        </w:rPr>
      </w:pPr>
    </w:p>
    <w:p>
      <w:pPr>
        <w:rPr>
          <w:rFonts w:hint="eastAsia"/>
          <w:u w:val="none"/>
        </w:rPr>
      </w:pPr>
    </w:p>
    <w:p>
      <w:pPr>
        <w:rPr>
          <w:u w:val="none"/>
        </w:rPr>
      </w:pPr>
    </w:p>
    <w:p>
      <w:pPr>
        <w:tabs>
          <w:tab w:val="left" w:pos="8179"/>
        </w:tabs>
        <w:rPr>
          <w:rFonts w:hint="eastAsia"/>
          <w:u w:val="none"/>
        </w:rPr>
      </w:pPr>
      <w:r>
        <w:rPr>
          <w:u w:val="none"/>
        </w:rPr>
        <w:tab/>
      </w: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r>
        <w:rPr>
          <w:u w:val="none"/>
        </w:rPr>
        <w:drawing>
          <wp:inline distT="0" distB="0" distL="0" distR="0">
            <wp:extent cx="6188710" cy="1378585"/>
            <wp:effectExtent l="19050" t="0" r="2540" b="0"/>
            <wp:docPr id="5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8"/>
                    <pic:cNvPicPr>
                      <a:picLocks noChangeAspect="1" noChangeArrowheads="1"/>
                    </pic:cNvPicPr>
                  </pic:nvPicPr>
                  <pic:blipFill>
                    <a:blip r:embed="rId12" cstate="print"/>
                    <a:srcRect/>
                    <a:stretch>
                      <a:fillRect/>
                    </a:stretch>
                  </pic:blipFill>
                  <pic:spPr>
                    <a:xfrm>
                      <a:off x="0" y="0"/>
                      <a:ext cx="6188710" cy="1378753"/>
                    </a:xfrm>
                    <a:prstGeom prst="rect">
                      <a:avLst/>
                    </a:prstGeom>
                    <a:noFill/>
                    <a:ln w="9525">
                      <a:noFill/>
                      <a:miter lim="800000"/>
                      <a:headEnd/>
                      <a:tailEnd/>
                    </a:ln>
                  </pic:spPr>
                </pic:pic>
              </a:graphicData>
            </a:graphic>
          </wp:inline>
        </w:drawing>
      </w:r>
    </w:p>
    <w:p>
      <w:pPr>
        <w:rPr>
          <w:rFonts w:hint="eastAsia"/>
          <w:u w:val="none"/>
        </w:rPr>
      </w:pPr>
    </w:p>
    <w:p>
      <w:pPr>
        <w:rPr>
          <w:rFonts w:hint="eastAsia"/>
          <w:u w:val="none"/>
        </w:rPr>
      </w:pPr>
    </w:p>
    <w:p>
      <w:pPr>
        <w:rPr>
          <w:rFonts w:hint="eastAsia"/>
          <w:u w:val="none"/>
        </w:rPr>
      </w:pPr>
    </w:p>
    <w:p>
      <w:pPr>
        <w:rPr>
          <w:rFonts w:hint="eastAsia"/>
          <w:u w:val="none"/>
        </w:rPr>
      </w:pPr>
    </w:p>
    <w:p>
      <w:pPr>
        <w:rPr>
          <w:rFonts w:hint="eastAsia"/>
          <w:u w:val="none"/>
        </w:rPr>
      </w:pPr>
    </w:p>
    <w:p>
      <w:pPr>
        <w:rPr>
          <w:rFonts w:hint="eastAsia"/>
          <w:u w:val="none"/>
        </w:rPr>
      </w:pPr>
    </w:p>
    <w:p>
      <w:pPr>
        <w:rPr>
          <w:u w:val="none"/>
        </w:rPr>
      </w:pPr>
    </w:p>
    <w:p>
      <w:pPr>
        <w:tabs>
          <w:tab w:val="left" w:pos="5460"/>
        </w:tabs>
        <w:rPr>
          <w:rFonts w:hint="eastAsia"/>
          <w:u w:val="none"/>
        </w:rPr>
      </w:pPr>
      <w:r>
        <w:rPr>
          <w:u w:val="none"/>
        </w:rPr>
        <w:tab/>
      </w: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tbl>
      <w:tblPr>
        <w:tblStyle w:val="7"/>
        <w:tblpPr w:leftFromText="180" w:rightFromText="180" w:vertAnchor="text" w:tblpX="157" w:tblpY="1"/>
        <w:tblOverlap w:val="never"/>
        <w:tblW w:w="0" w:type="auto"/>
        <w:tblInd w:w="0" w:type="dxa"/>
        <w:tblLayout w:type="fixed"/>
        <w:tblCellMar>
          <w:top w:w="0" w:type="dxa"/>
          <w:left w:w="0" w:type="dxa"/>
          <w:bottom w:w="0" w:type="dxa"/>
          <w:right w:w="0" w:type="dxa"/>
        </w:tblCellMar>
      </w:tblPr>
      <w:tblGrid>
        <w:gridCol w:w="1052"/>
        <w:gridCol w:w="516"/>
        <w:gridCol w:w="972"/>
        <w:gridCol w:w="972"/>
        <w:gridCol w:w="1305"/>
        <w:gridCol w:w="2010"/>
        <w:gridCol w:w="1835"/>
      </w:tblGrid>
      <w:tr>
        <w:tblPrEx>
          <w:tblCellMar>
            <w:top w:w="0" w:type="dxa"/>
            <w:left w:w="0" w:type="dxa"/>
            <w:bottom w:w="0" w:type="dxa"/>
            <w:right w:w="0" w:type="dxa"/>
          </w:tblCellMar>
        </w:tblPrEx>
        <w:trPr>
          <w:trHeight w:val="801" w:hRule="atLeast"/>
        </w:trPr>
        <w:tc>
          <w:tcPr>
            <w:tcW w:w="8662" w:type="dxa"/>
            <w:gridSpan w:val="7"/>
            <w:tcBorders>
              <w:top w:val="nil"/>
              <w:left w:val="nil"/>
              <w:bottom w:val="nil"/>
              <w:right w:val="nil"/>
            </w:tcBorders>
            <w:tcMar>
              <w:top w:w="15" w:type="dxa"/>
              <w:left w:w="15" w:type="dxa"/>
              <w:bottom w:w="0" w:type="dxa"/>
              <w:right w:w="15" w:type="dxa"/>
            </w:tcMar>
            <w:vAlign w:val="center"/>
          </w:tcPr>
          <w:p>
            <w:pPr>
              <w:widowControl/>
              <w:jc w:val="center"/>
              <w:textAlignment w:val="center"/>
              <w:rPr>
                <w:rFonts w:ascii="方正小标宋简体" w:hAnsi="方正小标宋简体"/>
                <w:color w:val="000000"/>
                <w:sz w:val="36"/>
                <w:szCs w:val="36"/>
                <w:u w:val="none"/>
              </w:rPr>
            </w:pPr>
            <w:r>
              <w:rPr>
                <w:rFonts w:ascii="方正小标宋简体" w:hAnsi="方正小标宋简体"/>
                <w:color w:val="000000"/>
                <w:kern w:val="0"/>
                <w:sz w:val="36"/>
                <w:szCs w:val="36"/>
                <w:u w:val="none"/>
              </w:rPr>
              <w:t>部门整体支出绩效目标表</w:t>
            </w:r>
          </w:p>
        </w:tc>
      </w:tr>
      <w:tr>
        <w:tblPrEx>
          <w:tblCellMar>
            <w:top w:w="0" w:type="dxa"/>
            <w:left w:w="0" w:type="dxa"/>
            <w:bottom w:w="0" w:type="dxa"/>
            <w:right w:w="0" w:type="dxa"/>
          </w:tblCellMar>
        </w:tblPrEx>
        <w:trPr>
          <w:trHeight w:val="450" w:hRule="atLeast"/>
        </w:trPr>
        <w:tc>
          <w:tcPr>
            <w:tcW w:w="8662" w:type="dxa"/>
            <w:gridSpan w:val="7"/>
            <w:tcBorders>
              <w:top w:val="nil"/>
              <w:left w:val="nil"/>
              <w:bottom w:val="nil"/>
              <w:right w:val="nil"/>
            </w:tcBorders>
            <w:tcMar>
              <w:top w:w="15" w:type="dxa"/>
              <w:left w:w="15" w:type="dxa"/>
              <w:bottom w:w="0" w:type="dxa"/>
              <w:right w:w="15" w:type="dxa"/>
            </w:tcMar>
            <w:vAlign w:val="center"/>
          </w:tcPr>
          <w:p>
            <w:pPr>
              <w:widowControl/>
              <w:ind w:firstLine="3220" w:firstLineChars="1150"/>
              <w:textAlignment w:val="center"/>
              <w:rPr>
                <w:rFonts w:ascii="方正小标宋简体" w:hAnsi="方正小标宋简体"/>
                <w:color w:val="000000"/>
                <w:sz w:val="28"/>
                <w:szCs w:val="28"/>
                <w:u w:val="none"/>
              </w:rPr>
            </w:pPr>
            <w:r>
              <w:rPr>
                <w:rFonts w:ascii="方正小标宋简体" w:hAnsi="方正小标宋简体"/>
                <w:color w:val="000000"/>
                <w:kern w:val="0"/>
                <w:sz w:val="28"/>
                <w:szCs w:val="28"/>
                <w:u w:val="none"/>
              </w:rPr>
              <w:t>（ 2023 年度）</w:t>
            </w:r>
          </w:p>
        </w:tc>
      </w:tr>
      <w:tr>
        <w:tblPrEx>
          <w:tblCellMar>
            <w:top w:w="0" w:type="dxa"/>
            <w:left w:w="0" w:type="dxa"/>
            <w:bottom w:w="0" w:type="dxa"/>
            <w:right w:w="0" w:type="dxa"/>
          </w:tblCellMar>
        </w:tblPrEx>
        <w:trPr>
          <w:trHeight w:val="600" w:hRule="atLeast"/>
        </w:trPr>
        <w:tc>
          <w:tcPr>
            <w:tcW w:w="10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部门名称</w:t>
            </w:r>
          </w:p>
        </w:tc>
        <w:tc>
          <w:tcPr>
            <w:tcW w:w="761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兴国县住房保障安置服务中心</w:t>
            </w:r>
          </w:p>
        </w:tc>
      </w:tr>
      <w:tr>
        <w:tblPrEx>
          <w:tblCellMar>
            <w:top w:w="0" w:type="dxa"/>
            <w:left w:w="0" w:type="dxa"/>
            <w:bottom w:w="0" w:type="dxa"/>
            <w:right w:w="0" w:type="dxa"/>
          </w:tblCellMar>
        </w:tblPrEx>
        <w:trPr>
          <w:trHeight w:val="600" w:hRule="atLeast"/>
        </w:trPr>
        <w:tc>
          <w:tcPr>
            <w:tcW w:w="8662" w:type="dxa"/>
            <w:gridSpan w:val="7"/>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当年预算情况（万元）</w:t>
            </w:r>
          </w:p>
        </w:tc>
      </w:tr>
      <w:tr>
        <w:tblPrEx>
          <w:tblCellMar>
            <w:top w:w="0" w:type="dxa"/>
            <w:left w:w="0" w:type="dxa"/>
            <w:bottom w:w="0" w:type="dxa"/>
            <w:right w:w="0" w:type="dxa"/>
          </w:tblCellMar>
        </w:tblPrEx>
        <w:trPr>
          <w:trHeight w:val="459" w:hRule="atLeast"/>
        </w:trPr>
        <w:tc>
          <w:tcPr>
            <w:tcW w:w="25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收入预算合计</w:t>
            </w:r>
          </w:p>
        </w:tc>
        <w:tc>
          <w:tcPr>
            <w:tcW w:w="6122"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1,157.16</w:t>
            </w:r>
          </w:p>
        </w:tc>
      </w:tr>
      <w:tr>
        <w:tblPrEx>
          <w:tblCellMar>
            <w:top w:w="0" w:type="dxa"/>
            <w:left w:w="0" w:type="dxa"/>
            <w:bottom w:w="0" w:type="dxa"/>
            <w:right w:w="0" w:type="dxa"/>
          </w:tblCellMar>
        </w:tblPrEx>
        <w:trPr>
          <w:trHeight w:val="501" w:hRule="atLeast"/>
        </w:trPr>
        <w:tc>
          <w:tcPr>
            <w:tcW w:w="25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其中：财政拨款</w:t>
            </w:r>
          </w:p>
        </w:tc>
        <w:tc>
          <w:tcPr>
            <w:tcW w:w="227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1,063.53</w:t>
            </w:r>
          </w:p>
        </w:tc>
        <w:tc>
          <w:tcPr>
            <w:tcW w:w="201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其他经费</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93.63</w:t>
            </w:r>
          </w:p>
        </w:tc>
      </w:tr>
      <w:tr>
        <w:tblPrEx>
          <w:tblCellMar>
            <w:top w:w="0" w:type="dxa"/>
            <w:left w:w="0" w:type="dxa"/>
            <w:bottom w:w="0" w:type="dxa"/>
            <w:right w:w="0" w:type="dxa"/>
          </w:tblCellMar>
        </w:tblPrEx>
        <w:trPr>
          <w:trHeight w:val="420" w:hRule="atLeast"/>
        </w:trPr>
        <w:tc>
          <w:tcPr>
            <w:tcW w:w="25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支出预算合计</w:t>
            </w:r>
          </w:p>
        </w:tc>
        <w:tc>
          <w:tcPr>
            <w:tcW w:w="6122"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1,157.16</w:t>
            </w:r>
          </w:p>
        </w:tc>
      </w:tr>
      <w:tr>
        <w:tblPrEx>
          <w:tblCellMar>
            <w:top w:w="0" w:type="dxa"/>
            <w:left w:w="0" w:type="dxa"/>
            <w:bottom w:w="0" w:type="dxa"/>
            <w:right w:w="0" w:type="dxa"/>
          </w:tblCellMar>
        </w:tblPrEx>
        <w:trPr>
          <w:trHeight w:val="519" w:hRule="atLeast"/>
        </w:trPr>
        <w:tc>
          <w:tcPr>
            <w:tcW w:w="25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其中：基本支出</w:t>
            </w:r>
          </w:p>
        </w:tc>
        <w:tc>
          <w:tcPr>
            <w:tcW w:w="227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619.88</w:t>
            </w:r>
          </w:p>
        </w:tc>
        <w:tc>
          <w:tcPr>
            <w:tcW w:w="201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项目支出</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537.28</w:t>
            </w:r>
          </w:p>
        </w:tc>
      </w:tr>
      <w:tr>
        <w:tblPrEx>
          <w:tblCellMar>
            <w:top w:w="0" w:type="dxa"/>
            <w:left w:w="0" w:type="dxa"/>
            <w:bottom w:w="0" w:type="dxa"/>
            <w:right w:w="0" w:type="dxa"/>
          </w:tblCellMar>
        </w:tblPrEx>
        <w:trPr>
          <w:trHeight w:val="1581" w:hRule="atLeast"/>
        </w:trPr>
        <w:tc>
          <w:tcPr>
            <w:tcW w:w="25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年度总体目标</w:t>
            </w:r>
          </w:p>
        </w:tc>
        <w:tc>
          <w:tcPr>
            <w:tcW w:w="6122"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2023年工作顺利开展</w:t>
            </w:r>
          </w:p>
        </w:tc>
      </w:tr>
      <w:tr>
        <w:tblPrEx>
          <w:tblCellMar>
            <w:top w:w="0" w:type="dxa"/>
            <w:left w:w="0" w:type="dxa"/>
            <w:bottom w:w="0" w:type="dxa"/>
            <w:right w:w="0" w:type="dxa"/>
          </w:tblCellMar>
        </w:tblPrEx>
        <w:trPr>
          <w:trHeight w:val="621" w:hRule="atLeast"/>
        </w:trPr>
        <w:tc>
          <w:tcPr>
            <w:tcW w:w="8662" w:type="dxa"/>
            <w:gridSpan w:val="7"/>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年度绩效指标</w:t>
            </w:r>
          </w:p>
        </w:tc>
      </w:tr>
      <w:tr>
        <w:tblPrEx>
          <w:tblCellMar>
            <w:top w:w="0" w:type="dxa"/>
            <w:left w:w="0" w:type="dxa"/>
            <w:bottom w:w="0" w:type="dxa"/>
            <w:right w:w="0" w:type="dxa"/>
          </w:tblCellMar>
        </w:tblPrEx>
        <w:trPr>
          <w:trHeight w:val="540" w:hRule="atLeast"/>
        </w:trPr>
        <w:tc>
          <w:tcPr>
            <w:tcW w:w="156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一级指标</w:t>
            </w:r>
          </w:p>
        </w:tc>
        <w:tc>
          <w:tcPr>
            <w:tcW w:w="194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二级指标</w:t>
            </w:r>
          </w:p>
        </w:tc>
        <w:tc>
          <w:tcPr>
            <w:tcW w:w="33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三级指标</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u w:val="none"/>
              </w:rPr>
            </w:pPr>
            <w:r>
              <w:rPr>
                <w:rFonts w:hint="eastAsia" w:ascii="宋体" w:hAnsi="宋体"/>
                <w:b/>
                <w:color w:val="000000"/>
                <w:kern w:val="0"/>
                <w:u w:val="none"/>
              </w:rPr>
              <w:t>目标值</w:t>
            </w:r>
          </w:p>
        </w:tc>
      </w:tr>
      <w:tr>
        <w:tblPrEx>
          <w:tblCellMar>
            <w:top w:w="0" w:type="dxa"/>
            <w:left w:w="0" w:type="dxa"/>
            <w:bottom w:w="0" w:type="dxa"/>
            <w:right w:w="0" w:type="dxa"/>
          </w:tblCellMar>
        </w:tblPrEx>
        <w:trPr>
          <w:trHeight w:val="540" w:hRule="atLeast"/>
        </w:trPr>
        <w:tc>
          <w:tcPr>
            <w:tcW w:w="1568" w:type="dxa"/>
            <w:gridSpan w:val="2"/>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产出指标</w:t>
            </w:r>
          </w:p>
        </w:tc>
        <w:tc>
          <w:tcPr>
            <w:tcW w:w="194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产出指标</w:t>
            </w:r>
          </w:p>
        </w:tc>
        <w:tc>
          <w:tcPr>
            <w:tcW w:w="33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2023年在编人员</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43个</w:t>
            </w:r>
          </w:p>
        </w:tc>
      </w:tr>
      <w:tr>
        <w:tblPrEx>
          <w:tblCellMar>
            <w:top w:w="0" w:type="dxa"/>
            <w:left w:w="0" w:type="dxa"/>
            <w:bottom w:w="0" w:type="dxa"/>
            <w:right w:w="0" w:type="dxa"/>
          </w:tblCellMar>
        </w:tblPrEx>
        <w:trPr>
          <w:trHeight w:val="540" w:hRule="atLeast"/>
        </w:trPr>
        <w:tc>
          <w:tcPr>
            <w:tcW w:w="1568"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u w:val="none"/>
              </w:rPr>
            </w:pPr>
          </w:p>
        </w:tc>
        <w:tc>
          <w:tcPr>
            <w:tcW w:w="194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质量指标</w:t>
            </w:r>
          </w:p>
        </w:tc>
        <w:tc>
          <w:tcPr>
            <w:tcW w:w="33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2023年群众满意度</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≥98%</w:t>
            </w:r>
          </w:p>
        </w:tc>
      </w:tr>
      <w:tr>
        <w:tblPrEx>
          <w:tblCellMar>
            <w:top w:w="0" w:type="dxa"/>
            <w:left w:w="0" w:type="dxa"/>
            <w:bottom w:w="0" w:type="dxa"/>
            <w:right w:w="0" w:type="dxa"/>
          </w:tblCellMar>
        </w:tblPrEx>
        <w:trPr>
          <w:trHeight w:val="540" w:hRule="atLeast"/>
        </w:trPr>
        <w:tc>
          <w:tcPr>
            <w:tcW w:w="156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满意度指标</w:t>
            </w:r>
          </w:p>
        </w:tc>
        <w:tc>
          <w:tcPr>
            <w:tcW w:w="194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满意度指标</w:t>
            </w:r>
          </w:p>
        </w:tc>
        <w:tc>
          <w:tcPr>
            <w:tcW w:w="33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u w:val="none"/>
              </w:rPr>
            </w:pPr>
            <w:r>
              <w:rPr>
                <w:rFonts w:hint="eastAsia" w:ascii="宋体" w:hAnsi="宋体"/>
                <w:color w:val="000000"/>
                <w:kern w:val="0"/>
                <w:u w:val="none"/>
              </w:rPr>
              <w:t>2023年服务对象满意度</w:t>
            </w:r>
          </w:p>
        </w:tc>
        <w:tc>
          <w:tcPr>
            <w:tcW w:w="18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olor w:val="000000"/>
                <w:u w:val="none"/>
              </w:rPr>
            </w:pPr>
            <w:r>
              <w:rPr>
                <w:rFonts w:hint="eastAsia" w:ascii="宋体" w:hAnsi="宋体"/>
                <w:color w:val="000000"/>
                <w:kern w:val="0"/>
                <w:u w:val="none"/>
              </w:rPr>
              <w:t>≥98%</w:t>
            </w:r>
          </w:p>
        </w:tc>
      </w:tr>
    </w:tbl>
    <w:p>
      <w:pPr>
        <w:pStyle w:val="6"/>
        <w:ind w:firstLine="320"/>
        <w:rPr>
          <w:rFonts w:hint="eastAsia"/>
          <w:u w:val="none"/>
        </w:rPr>
      </w:pPr>
      <w:r>
        <w:rPr>
          <w:u w:val="none"/>
        </w:rPr>
        <w:br w:type="textWrapping" w:clear="all"/>
      </w:r>
    </w:p>
    <w:p>
      <w:pPr>
        <w:rPr>
          <w:u w:val="none"/>
        </w:rPr>
      </w:pPr>
    </w:p>
    <w:p>
      <w:pPr>
        <w:rPr>
          <w:u w:val="none"/>
        </w:rPr>
      </w:pPr>
    </w:p>
    <w:p>
      <w:pPr>
        <w:rPr>
          <w:u w:val="none"/>
        </w:rPr>
      </w:pPr>
      <w:r>
        <w:rPr>
          <w:u w:val="none"/>
        </w:rPr>
        <w:t xml:space="preserve"> </w:t>
      </w:r>
    </w:p>
    <w:p>
      <w:pPr>
        <w:rPr>
          <w:u w:val="none"/>
        </w:rPr>
      </w:pPr>
      <w:r>
        <w:rPr>
          <w:u w:val="none"/>
        </w:rPr>
        <w:t xml:space="preserve"> </w:t>
      </w:r>
    </w:p>
    <w:p>
      <w:pPr>
        <w:pStyle w:val="6"/>
        <w:ind w:firstLine="320"/>
        <w:rPr>
          <w:u w:val="none"/>
        </w:rPr>
      </w:pPr>
    </w:p>
    <w:p>
      <w:pPr>
        <w:pStyle w:val="6"/>
        <w:ind w:firstLine="320"/>
        <w:rPr>
          <w:rFonts w:hint="eastAsia"/>
          <w:u w:val="none"/>
        </w:rPr>
      </w:pPr>
    </w:p>
    <w:p>
      <w:pPr>
        <w:pStyle w:val="6"/>
        <w:ind w:firstLine="320"/>
        <w:rPr>
          <w:rFonts w:hint="eastAsia"/>
          <w:u w:val="none"/>
        </w:rPr>
      </w:pPr>
    </w:p>
    <w:p>
      <w:pPr>
        <w:pStyle w:val="6"/>
        <w:ind w:firstLine="320"/>
        <w:rPr>
          <w:rFonts w:hint="eastAsia"/>
          <w:u w:val="none"/>
        </w:rPr>
      </w:pPr>
    </w:p>
    <w:tbl>
      <w:tblPr>
        <w:tblStyle w:val="7"/>
        <w:tblW w:w="0" w:type="auto"/>
        <w:tblInd w:w="93" w:type="dxa"/>
        <w:tblLayout w:type="fixed"/>
        <w:tblCellMar>
          <w:top w:w="0" w:type="dxa"/>
          <w:left w:w="0" w:type="dxa"/>
          <w:bottom w:w="0" w:type="dxa"/>
          <w:right w:w="0" w:type="dxa"/>
        </w:tblCellMar>
      </w:tblPr>
      <w:tblGrid>
        <w:gridCol w:w="1349"/>
        <w:gridCol w:w="1862"/>
        <w:gridCol w:w="2806"/>
        <w:gridCol w:w="1484"/>
        <w:gridCol w:w="2564"/>
      </w:tblGrid>
      <w:tr>
        <w:tblPrEx>
          <w:tblCellMar>
            <w:top w:w="0" w:type="dxa"/>
            <w:left w:w="0" w:type="dxa"/>
            <w:bottom w:w="0" w:type="dxa"/>
            <w:right w:w="0" w:type="dxa"/>
          </w:tblCellMar>
        </w:tblPrEx>
        <w:trPr>
          <w:trHeight w:val="460" w:hRule="atLeast"/>
        </w:trPr>
        <w:tc>
          <w:tcPr>
            <w:tcW w:w="10065" w:type="dxa"/>
            <w:gridSpan w:val="5"/>
            <w:tcBorders>
              <w:top w:val="nil"/>
              <w:left w:val="nil"/>
              <w:bottom w:val="nil"/>
              <w:right w:val="nil"/>
            </w:tcBorders>
            <w:tcMar>
              <w:top w:w="15" w:type="dxa"/>
              <w:left w:w="15" w:type="dxa"/>
              <w:bottom w:w="0" w:type="dxa"/>
              <w:right w:w="15" w:type="dxa"/>
            </w:tcMar>
            <w:vAlign w:val="center"/>
          </w:tcPr>
          <w:p>
            <w:pPr>
              <w:widowControl/>
              <w:jc w:val="center"/>
              <w:textAlignment w:val="center"/>
              <w:rPr>
                <w:rFonts w:ascii="方正小标宋简体" w:hAnsi="方正小标宋简体"/>
                <w:color w:val="000000"/>
                <w:sz w:val="36"/>
                <w:szCs w:val="36"/>
                <w:u w:val="none"/>
              </w:rPr>
            </w:pPr>
            <w:r>
              <w:rPr>
                <w:rFonts w:ascii="方正小标宋简体" w:hAnsi="方正小标宋简体"/>
                <w:color w:val="000000"/>
                <w:kern w:val="0"/>
                <w:sz w:val="36"/>
                <w:szCs w:val="36"/>
                <w:u w:val="none"/>
              </w:rPr>
              <w:t>项目支出绩效目标表</w:t>
            </w:r>
          </w:p>
        </w:tc>
      </w:tr>
      <w:tr>
        <w:tblPrEx>
          <w:tblCellMar>
            <w:top w:w="0" w:type="dxa"/>
            <w:left w:w="0" w:type="dxa"/>
            <w:bottom w:w="0" w:type="dxa"/>
            <w:right w:w="0" w:type="dxa"/>
          </w:tblCellMar>
        </w:tblPrEx>
        <w:trPr>
          <w:trHeight w:val="460" w:hRule="atLeast"/>
        </w:trPr>
        <w:tc>
          <w:tcPr>
            <w:tcW w:w="10065" w:type="dxa"/>
            <w:gridSpan w:val="5"/>
            <w:tcBorders>
              <w:top w:val="nil"/>
              <w:left w:val="nil"/>
              <w:bottom w:val="nil"/>
              <w:right w:val="nil"/>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（2023年度）</w:t>
            </w:r>
          </w:p>
        </w:tc>
      </w:tr>
      <w:tr>
        <w:tblPrEx>
          <w:tblCellMar>
            <w:top w:w="0" w:type="dxa"/>
            <w:left w:w="0" w:type="dxa"/>
            <w:bottom w:w="0" w:type="dxa"/>
            <w:right w:w="0" w:type="dxa"/>
          </w:tblCellMar>
        </w:tblPrEx>
        <w:trPr>
          <w:trHeight w:val="460" w:hRule="atLeast"/>
        </w:trPr>
        <w:tc>
          <w:tcPr>
            <w:tcW w:w="321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项目名称</w:t>
            </w:r>
          </w:p>
        </w:tc>
        <w:tc>
          <w:tcPr>
            <w:tcW w:w="685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住房维修资金便捷支付与数据整理费用</w:t>
            </w:r>
          </w:p>
        </w:tc>
      </w:tr>
      <w:tr>
        <w:tblPrEx>
          <w:tblCellMar>
            <w:top w:w="0" w:type="dxa"/>
            <w:left w:w="0" w:type="dxa"/>
            <w:bottom w:w="0" w:type="dxa"/>
            <w:right w:w="0" w:type="dxa"/>
          </w:tblCellMar>
        </w:tblPrEx>
        <w:trPr>
          <w:trHeight w:val="460" w:hRule="atLeast"/>
        </w:trPr>
        <w:tc>
          <w:tcPr>
            <w:tcW w:w="321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主管部门及代码</w:t>
            </w:r>
          </w:p>
        </w:tc>
        <w:tc>
          <w:tcPr>
            <w:tcW w:w="280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308-兴国县住房保障安置服务中心</w:t>
            </w:r>
          </w:p>
        </w:tc>
        <w:tc>
          <w:tcPr>
            <w:tcW w:w="148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实施单位</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兴国县住房保障安置服务中心</w:t>
            </w:r>
          </w:p>
        </w:tc>
      </w:tr>
      <w:tr>
        <w:tblPrEx>
          <w:tblCellMar>
            <w:top w:w="0" w:type="dxa"/>
            <w:left w:w="0" w:type="dxa"/>
            <w:bottom w:w="0" w:type="dxa"/>
            <w:right w:w="0" w:type="dxa"/>
          </w:tblCellMar>
        </w:tblPrEx>
        <w:trPr>
          <w:trHeight w:val="460" w:hRule="atLeast"/>
        </w:trPr>
        <w:tc>
          <w:tcPr>
            <w:tcW w:w="3211" w:type="dxa"/>
            <w:gridSpan w:val="2"/>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u w:val="none"/>
              </w:rPr>
            </w:pPr>
            <w:r>
              <w:rPr>
                <w:rFonts w:hint="eastAsia" w:ascii="宋体" w:hAnsi="宋体"/>
                <w:color w:val="000000"/>
                <w:kern w:val="0"/>
                <w:sz w:val="24"/>
                <w:szCs w:val="24"/>
                <w:u w:val="none"/>
              </w:rPr>
              <w:t>项目资金</w:t>
            </w:r>
          </w:p>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（万元）</w:t>
            </w:r>
          </w:p>
        </w:tc>
        <w:tc>
          <w:tcPr>
            <w:tcW w:w="280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年度资金总额</w:t>
            </w:r>
          </w:p>
        </w:tc>
        <w:tc>
          <w:tcPr>
            <w:tcW w:w="404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33</w:t>
            </w:r>
          </w:p>
        </w:tc>
      </w:tr>
      <w:tr>
        <w:tblPrEx>
          <w:tblCellMar>
            <w:top w:w="0" w:type="dxa"/>
            <w:left w:w="0" w:type="dxa"/>
            <w:bottom w:w="0" w:type="dxa"/>
            <w:right w:w="0" w:type="dxa"/>
          </w:tblCellMar>
        </w:tblPrEx>
        <w:trPr>
          <w:trHeight w:val="460" w:hRule="atLeast"/>
        </w:trPr>
        <w:tc>
          <w:tcPr>
            <w:tcW w:w="11927"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280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其中：财政拨款</w:t>
            </w:r>
          </w:p>
        </w:tc>
        <w:tc>
          <w:tcPr>
            <w:tcW w:w="404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33</w:t>
            </w:r>
          </w:p>
        </w:tc>
      </w:tr>
      <w:tr>
        <w:tblPrEx>
          <w:tblCellMar>
            <w:top w:w="0" w:type="dxa"/>
            <w:left w:w="0" w:type="dxa"/>
            <w:bottom w:w="0" w:type="dxa"/>
            <w:right w:w="0" w:type="dxa"/>
          </w:tblCellMar>
        </w:tblPrEx>
        <w:trPr>
          <w:trHeight w:val="460" w:hRule="atLeast"/>
        </w:trPr>
        <w:tc>
          <w:tcPr>
            <w:tcW w:w="11927"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280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其他资金</w:t>
            </w:r>
          </w:p>
        </w:tc>
        <w:tc>
          <w:tcPr>
            <w:tcW w:w="404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0</w:t>
            </w:r>
          </w:p>
        </w:tc>
      </w:tr>
      <w:tr>
        <w:tblPrEx>
          <w:tblCellMar>
            <w:top w:w="0" w:type="dxa"/>
            <w:left w:w="0" w:type="dxa"/>
            <w:bottom w:w="0" w:type="dxa"/>
            <w:right w:w="0" w:type="dxa"/>
          </w:tblCellMar>
        </w:tblPrEx>
        <w:trPr>
          <w:trHeight w:val="460" w:hRule="atLeast"/>
        </w:trPr>
        <w:tc>
          <w:tcPr>
            <w:tcW w:w="11927"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280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上年结转</w:t>
            </w:r>
          </w:p>
        </w:tc>
        <w:tc>
          <w:tcPr>
            <w:tcW w:w="404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0</w:t>
            </w:r>
          </w:p>
        </w:tc>
      </w:tr>
      <w:tr>
        <w:tblPrEx>
          <w:tblCellMar>
            <w:top w:w="0" w:type="dxa"/>
            <w:left w:w="0" w:type="dxa"/>
            <w:bottom w:w="0" w:type="dxa"/>
            <w:right w:w="0" w:type="dxa"/>
          </w:tblCellMar>
        </w:tblPrEx>
        <w:trPr>
          <w:trHeight w:val="460" w:hRule="atLeast"/>
        </w:trPr>
        <w:tc>
          <w:tcPr>
            <w:tcW w:w="10065" w:type="dxa"/>
            <w:gridSpan w:val="5"/>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b/>
                <w:color w:val="000000"/>
                <w:sz w:val="24"/>
                <w:szCs w:val="24"/>
                <w:u w:val="none"/>
              </w:rPr>
            </w:pPr>
            <w:r>
              <w:rPr>
                <w:rFonts w:hint="eastAsia" w:ascii="宋体" w:hAnsi="宋体"/>
                <w:b/>
                <w:color w:val="000000"/>
                <w:kern w:val="0"/>
                <w:sz w:val="24"/>
                <w:szCs w:val="24"/>
                <w:u w:val="none"/>
              </w:rPr>
              <w:t>年度绩效目标</w:t>
            </w:r>
          </w:p>
        </w:tc>
      </w:tr>
      <w:tr>
        <w:tblPrEx>
          <w:tblCellMar>
            <w:top w:w="0" w:type="dxa"/>
            <w:left w:w="0" w:type="dxa"/>
            <w:bottom w:w="0" w:type="dxa"/>
            <w:right w:w="0" w:type="dxa"/>
          </w:tblCellMar>
        </w:tblPrEx>
        <w:trPr>
          <w:trHeight w:val="460" w:hRule="atLeast"/>
        </w:trPr>
        <w:tc>
          <w:tcPr>
            <w:tcW w:w="10065"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住房维修资金便捷支付与数据整理费用</w:t>
            </w:r>
          </w:p>
        </w:tc>
      </w:tr>
      <w:tr>
        <w:tblPrEx>
          <w:tblCellMar>
            <w:top w:w="0" w:type="dxa"/>
            <w:left w:w="0" w:type="dxa"/>
            <w:bottom w:w="0" w:type="dxa"/>
            <w:right w:w="0" w:type="dxa"/>
          </w:tblCellMar>
        </w:tblPrEx>
        <w:trPr>
          <w:trHeight w:val="460" w:hRule="atLeast"/>
        </w:trPr>
        <w:tc>
          <w:tcPr>
            <w:tcW w:w="134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sz w:val="24"/>
                <w:szCs w:val="24"/>
                <w:u w:val="none"/>
              </w:rPr>
            </w:pPr>
            <w:r>
              <w:rPr>
                <w:rFonts w:hint="eastAsia" w:ascii="宋体" w:hAnsi="宋体"/>
                <w:b/>
                <w:color w:val="000000"/>
                <w:kern w:val="0"/>
                <w:sz w:val="24"/>
                <w:szCs w:val="24"/>
                <w:u w:val="none"/>
              </w:rPr>
              <w:t>一级指标</w:t>
            </w: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sz w:val="24"/>
                <w:szCs w:val="24"/>
                <w:u w:val="none"/>
              </w:rPr>
            </w:pPr>
            <w:r>
              <w:rPr>
                <w:rFonts w:hint="eastAsia" w:ascii="宋体" w:hAnsi="宋体"/>
                <w:b/>
                <w:color w:val="000000"/>
                <w:kern w:val="0"/>
                <w:sz w:val="24"/>
                <w:szCs w:val="24"/>
                <w:u w:val="none"/>
              </w:rPr>
              <w:t>二级指标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sz w:val="24"/>
                <w:szCs w:val="24"/>
                <w:u w:val="none"/>
              </w:rPr>
            </w:pPr>
            <w:r>
              <w:rPr>
                <w:rFonts w:hint="eastAsia" w:ascii="宋体" w:hAnsi="宋体"/>
                <w:b/>
                <w:color w:val="000000"/>
                <w:kern w:val="0"/>
                <w:sz w:val="24"/>
                <w:szCs w:val="24"/>
                <w:u w:val="none"/>
              </w:rPr>
              <w:t>三级指标</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color w:val="000000"/>
                <w:sz w:val="24"/>
                <w:szCs w:val="24"/>
                <w:u w:val="none"/>
              </w:rPr>
            </w:pPr>
            <w:r>
              <w:rPr>
                <w:rFonts w:hint="eastAsia" w:ascii="宋体" w:hAnsi="宋体"/>
                <w:b/>
                <w:color w:val="000000"/>
                <w:kern w:val="0"/>
                <w:sz w:val="24"/>
                <w:szCs w:val="24"/>
                <w:u w:val="none"/>
              </w:rPr>
              <w:t>指标值</w:t>
            </w:r>
          </w:p>
        </w:tc>
      </w:tr>
      <w:tr>
        <w:tblPrEx>
          <w:tblCellMar>
            <w:top w:w="0" w:type="dxa"/>
            <w:left w:w="0" w:type="dxa"/>
            <w:bottom w:w="0" w:type="dxa"/>
            <w:right w:w="0" w:type="dxa"/>
          </w:tblCellMar>
        </w:tblPrEx>
        <w:trPr>
          <w:trHeight w:val="460" w:hRule="atLeast"/>
        </w:trPr>
        <w:tc>
          <w:tcPr>
            <w:tcW w:w="1349"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成本指标</w:t>
            </w: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经济成本指标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经济成本</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≥330000元</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社会成本指标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社会成本</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≥330000元</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生态环境成本指标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生态环境</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≥1元</w:t>
            </w:r>
          </w:p>
        </w:tc>
      </w:tr>
      <w:tr>
        <w:tblPrEx>
          <w:tblCellMar>
            <w:top w:w="0" w:type="dxa"/>
            <w:left w:w="0" w:type="dxa"/>
            <w:bottom w:w="0" w:type="dxa"/>
            <w:right w:w="0" w:type="dxa"/>
          </w:tblCellMar>
        </w:tblPrEx>
        <w:trPr>
          <w:trHeight w:val="460" w:hRule="atLeast"/>
        </w:trPr>
        <w:tc>
          <w:tcPr>
            <w:tcW w:w="1349"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产出指标</w:t>
            </w: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数量指标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数量</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质量指标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质量</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时效指标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时效</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349"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效益指标</w:t>
            </w: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经济效益指标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经济效益</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社会效益指标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社会效益</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006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olor w:val="000000"/>
                <w:sz w:val="24"/>
                <w:szCs w:val="24"/>
                <w:u w:val="none"/>
              </w:rPr>
            </w:pP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生态效益指标</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生态效益</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≥300份</w:t>
            </w:r>
          </w:p>
        </w:tc>
      </w:tr>
      <w:tr>
        <w:tblPrEx>
          <w:tblCellMar>
            <w:top w:w="0" w:type="dxa"/>
            <w:left w:w="0" w:type="dxa"/>
            <w:bottom w:w="0" w:type="dxa"/>
            <w:right w:w="0" w:type="dxa"/>
          </w:tblCellMar>
        </w:tblPrEx>
        <w:trPr>
          <w:trHeight w:val="460" w:hRule="atLeast"/>
        </w:trPr>
        <w:tc>
          <w:tcPr>
            <w:tcW w:w="134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满意度指标</w:t>
            </w:r>
          </w:p>
        </w:tc>
        <w:tc>
          <w:tcPr>
            <w:tcW w:w="186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服务对象满意度</w:t>
            </w:r>
          </w:p>
        </w:tc>
        <w:tc>
          <w:tcPr>
            <w:tcW w:w="429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群众 满意度</w:t>
            </w:r>
          </w:p>
        </w:tc>
        <w:tc>
          <w:tcPr>
            <w:tcW w:w="256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u w:val="none"/>
              </w:rPr>
            </w:pPr>
            <w:r>
              <w:rPr>
                <w:rFonts w:hint="eastAsia" w:ascii="宋体" w:hAnsi="宋体"/>
                <w:color w:val="000000"/>
                <w:kern w:val="0"/>
                <w:sz w:val="24"/>
                <w:szCs w:val="24"/>
                <w:u w:val="none"/>
              </w:rPr>
              <w:t>≥98%</w:t>
            </w:r>
          </w:p>
        </w:tc>
      </w:tr>
    </w:tbl>
    <w:p>
      <w:pPr>
        <w:rPr>
          <w:u w:val="none"/>
        </w:rPr>
      </w:pPr>
      <w:r>
        <w:rPr>
          <w:u w:val="none"/>
        </w:rPr>
        <w:t xml:space="preserve"> </w:t>
      </w:r>
    </w:p>
    <w:p>
      <w:pPr>
        <w:pStyle w:val="2"/>
        <w:rPr>
          <w:u w:val="none"/>
        </w:rPr>
      </w:pPr>
      <w:r>
        <w:rPr>
          <w:u w:val="none"/>
        </w:rPr>
        <w:t xml:space="preserve"> </w:t>
      </w:r>
    </w:p>
    <w:p>
      <w:pPr>
        <w:rPr>
          <w:rFonts w:eastAsia="仿宋"/>
          <w:color w:val="FF0000"/>
          <w:u w:val="none"/>
        </w:rPr>
      </w:pPr>
      <w:r>
        <w:rPr>
          <w:rFonts w:hint="eastAsia" w:eastAsia="仿宋"/>
          <w:color w:val="FF0000"/>
          <w:u w:val="none"/>
        </w:rPr>
        <w:t xml:space="preserve"> </w:t>
      </w:r>
    </w:p>
    <w:p>
      <w:pPr>
        <w:rPr>
          <w:rFonts w:hint="eastAsia"/>
          <w:u w:val="none"/>
        </w:rPr>
      </w:pPr>
      <w:r>
        <w:rPr>
          <w:rFonts w:hint="eastAsia" w:eastAsia="仿宋"/>
          <w:color w:val="FF0000"/>
          <w:u w:val="none"/>
        </w:rPr>
        <w:br w:type="page"/>
      </w:r>
    </w:p>
    <w:p>
      <w:pPr>
        <w:spacing w:line="560" w:lineRule="exact"/>
        <w:jc w:val="center"/>
        <w:rPr>
          <w:rFonts w:ascii="黑体" w:hAnsi="黑体" w:eastAsia="黑体"/>
          <w:sz w:val="32"/>
          <w:szCs w:val="32"/>
          <w:u w:val="none"/>
        </w:rPr>
      </w:pPr>
      <w:r>
        <w:rPr>
          <w:rFonts w:hint="eastAsia" w:ascii="黑体" w:hAnsi="黑体" w:eastAsia="黑体"/>
          <w:sz w:val="32"/>
          <w:szCs w:val="32"/>
          <w:u w:val="none"/>
        </w:rPr>
        <w:t>第四部分 名词解释</w:t>
      </w:r>
    </w:p>
    <w:p>
      <w:pPr>
        <w:spacing w:line="560" w:lineRule="exact"/>
        <w:ind w:firstLine="604" w:firstLineChars="189"/>
        <w:jc w:val="center"/>
        <w:rPr>
          <w:rFonts w:hint="eastAsia" w:ascii="仿宋" w:hAnsi="仿宋" w:eastAsia="仿宋"/>
          <w:sz w:val="32"/>
          <w:szCs w:val="32"/>
          <w:u w:val="none"/>
        </w:rPr>
      </w:pPr>
      <w:r>
        <w:rPr>
          <w:rFonts w:hint="eastAsia" w:ascii="仿宋" w:hAnsi="仿宋" w:eastAsia="仿宋"/>
          <w:sz w:val="32"/>
          <w:szCs w:val="32"/>
          <w:u w:val="none"/>
        </w:rPr>
        <w:t xml:space="preserve"> </w:t>
      </w:r>
    </w:p>
    <w:p>
      <w:pPr>
        <w:spacing w:line="560" w:lineRule="exact"/>
        <w:ind w:firstLine="643" w:firstLineChars="200"/>
        <w:rPr>
          <w:rFonts w:hint="eastAsia" w:ascii="楷体" w:hAnsi="楷体" w:eastAsia="楷体"/>
          <w:b/>
          <w:bCs/>
          <w:sz w:val="32"/>
          <w:szCs w:val="32"/>
          <w:u w:val="none"/>
        </w:rPr>
      </w:pPr>
      <w:r>
        <w:rPr>
          <w:rFonts w:hint="eastAsia" w:ascii="楷体" w:hAnsi="楷体" w:eastAsia="楷体"/>
          <w:b/>
          <w:bCs/>
          <w:sz w:val="32"/>
          <w:szCs w:val="32"/>
          <w:u w:val="none"/>
        </w:rPr>
        <w:t>一、收入科目</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各部门结合实际进行解释。</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（一）财政拨款：指县本级财政当年拨付的资金。</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（二）事业收入：指事业单位开展专业业务活动及辅助活动取得的收入。</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（三）事业单位经营收入：指事业单位在专业业务活动及辅助活动之外开展非独立核算经营活动取得的收入。</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（四）其他收入：指除财政拨款、事业收入、事业单位经营收入等以外的各项收入。</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（六）上级补助收入：反映事业单位从主管部门和上级单位取得的非财政补助收入。</w:t>
      </w:r>
    </w:p>
    <w:p>
      <w:pPr>
        <w:spacing w:line="560" w:lineRule="exact"/>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（七）使用非财政拨款结余：填列历年滚存的非限定用途的非统计财政拨款结余弥补2023年收支差额的数额。</w:t>
      </w:r>
    </w:p>
    <w:p>
      <w:pPr>
        <w:spacing w:line="560" w:lineRule="exact"/>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（八）上年结转和结余：填列2022年全部结转和结余的资金数，包括当年结转结余资金和历年滚存结转结余资金。</w:t>
      </w:r>
    </w:p>
    <w:p>
      <w:pPr>
        <w:spacing w:line="560" w:lineRule="exact"/>
        <w:ind w:firstLine="607" w:firstLineChars="189"/>
        <w:rPr>
          <w:rFonts w:hint="eastAsia" w:ascii="楷体" w:hAnsi="楷体" w:eastAsia="楷体"/>
          <w:b/>
          <w:bCs/>
          <w:sz w:val="32"/>
          <w:szCs w:val="32"/>
          <w:u w:val="none"/>
        </w:rPr>
      </w:pPr>
      <w:r>
        <w:rPr>
          <w:rFonts w:hint="eastAsia" w:ascii="楷体" w:hAnsi="楷体" w:eastAsia="楷体"/>
          <w:b/>
          <w:bCs/>
          <w:sz w:val="32"/>
          <w:szCs w:val="32"/>
          <w:u w:val="none"/>
        </w:rPr>
        <w:t>二、支出科目</w:t>
      </w:r>
    </w:p>
    <w:p>
      <w:pPr>
        <w:spacing w:line="560" w:lineRule="exact"/>
        <w:ind w:firstLine="640" w:firstLineChars="200"/>
        <w:rPr>
          <w:rFonts w:hint="eastAsia" w:ascii="仿宋" w:hAnsi="仿宋" w:eastAsia="仿宋"/>
          <w:sz w:val="32"/>
          <w:szCs w:val="32"/>
          <w:u w:val="none"/>
        </w:rPr>
      </w:pPr>
      <w:r>
        <w:rPr>
          <w:rFonts w:hint="eastAsia" w:ascii="仿宋" w:hAnsi="仿宋" w:eastAsia="仿宋"/>
          <w:sz w:val="32"/>
          <w:szCs w:val="32"/>
          <w:u w:val="none"/>
        </w:rPr>
        <w:t>对部门或单位预算中涉及的支出功能分类科目（明细到项级），结合部门实际，参照《2023年政府收支分类科目》的规范说明行解释。</w:t>
      </w:r>
    </w:p>
    <w:p>
      <w:pPr>
        <w:spacing w:line="560" w:lineRule="exact"/>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（一）行政运行：反映行政单位（事业单位）的基本支出。</w:t>
      </w:r>
    </w:p>
    <w:p>
      <w:pPr>
        <w:spacing w:line="560" w:lineRule="exact"/>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（二）一般行政管理事务：反映行政单位（包括事业单位）未单独设置项级科目的其他项目支出。</w:t>
      </w:r>
    </w:p>
    <w:p>
      <w:pPr>
        <w:spacing w:line="560" w:lineRule="exact"/>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（三）机关事业单位基本养老保险缴费支出：反映机关事业单位实施养老保险制度由单位缴纳的基本养老保险费的支出。</w:t>
      </w:r>
    </w:p>
    <w:p>
      <w:pPr>
        <w:spacing w:line="560" w:lineRule="exact"/>
        <w:ind w:firstLine="681" w:firstLineChars="213"/>
        <w:jc w:val="left"/>
        <w:rPr>
          <w:rFonts w:hint="eastAsia" w:ascii="仿宋" w:hAnsi="仿宋" w:eastAsia="仿宋"/>
          <w:sz w:val="32"/>
          <w:szCs w:val="32"/>
          <w:u w:val="none"/>
        </w:rPr>
      </w:pPr>
      <w:r>
        <w:rPr>
          <w:rFonts w:hint="eastAsia" w:ascii="仿宋" w:hAnsi="仿宋" w:eastAsia="仿宋"/>
          <w:sz w:val="32"/>
          <w:szCs w:val="32"/>
          <w:u w:val="none"/>
        </w:rPr>
        <w:t>（四）行政单位医疗：反映行政事业单位基本医疗保险缴费经费。</w:t>
      </w:r>
    </w:p>
    <w:p>
      <w:pPr>
        <w:spacing w:line="560" w:lineRule="exact"/>
        <w:ind w:firstLine="681" w:firstLineChars="213"/>
        <w:jc w:val="left"/>
        <w:rPr>
          <w:rFonts w:hint="eastAsia" w:ascii="仿宋" w:hAnsi="仿宋" w:eastAsia="仿宋"/>
          <w:sz w:val="32"/>
          <w:szCs w:val="32"/>
          <w:u w:val="none"/>
        </w:rPr>
      </w:pPr>
      <w:r>
        <w:rPr>
          <w:rFonts w:hint="eastAsia" w:ascii="仿宋" w:hAnsi="仿宋" w:eastAsia="仿宋"/>
          <w:sz w:val="32"/>
          <w:szCs w:val="32"/>
          <w:u w:val="none"/>
        </w:rPr>
        <w:t>（五）事业单位医疗：反映财政部门集中安排的事业单位基本医疗保险缴费经费。</w:t>
      </w:r>
    </w:p>
    <w:p>
      <w:pPr>
        <w:spacing w:line="560" w:lineRule="exact"/>
        <w:ind w:firstLine="640" w:firstLineChars="200"/>
        <w:rPr>
          <w:rFonts w:hint="eastAsia" w:ascii="宋体" w:hAnsi="宋体"/>
          <w:b/>
          <w:bCs/>
          <w:color w:val="000000"/>
          <w:sz w:val="32"/>
          <w:szCs w:val="32"/>
          <w:u w:val="none"/>
        </w:rPr>
      </w:pPr>
      <w:r>
        <w:rPr>
          <w:rFonts w:hint="eastAsia" w:ascii="仿宋" w:hAnsi="仿宋" w:eastAsia="仿宋"/>
          <w:sz w:val="32"/>
          <w:szCs w:val="32"/>
          <w:u w:val="none"/>
        </w:rPr>
        <w:t>（六）死亡抚恤：反映单位遗属人员生活补助。</w:t>
      </w:r>
    </w:p>
    <w:p>
      <w:pPr>
        <w:rPr>
          <w:rFonts w:hint="eastAsia"/>
          <w:u w:val="none"/>
        </w:rPr>
      </w:pPr>
      <w:r>
        <w:rPr>
          <w:u w:val="none"/>
        </w:rPr>
        <w:t xml:space="preserve"> </w:t>
      </w:r>
    </w:p>
    <w:p>
      <w:pPr>
        <w:pStyle w:val="6"/>
        <w:ind w:firstLine="320"/>
        <w:rPr>
          <w:u w:val="non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2DF19B0-5B2C-4E08-B798-6F07A85C5624}"/>
  </w:font>
  <w:font w:name="黑体">
    <w:panose1 w:val="02010609060101010101"/>
    <w:charset w:val="86"/>
    <w:family w:val="auto"/>
    <w:pitch w:val="default"/>
    <w:sig w:usb0="800002BF" w:usb1="38CF7CFA" w:usb2="00000016" w:usb3="00000000" w:csb0="00040001" w:csb1="00000000"/>
    <w:embedRegular r:id="rId2" w:fontKey="{8D7025E4-5CFF-475B-A2A7-1DA79D3B361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A81EAFC4-1D7C-4CB0-8075-39F0BDE86F02}"/>
  </w:font>
  <w:font w:name="仿宋_GB2312">
    <w:altName w:val="仿宋"/>
    <w:panose1 w:val="00000000000000000000"/>
    <w:charset w:val="00"/>
    <w:family w:val="auto"/>
    <w:pitch w:val="default"/>
    <w:sig w:usb0="00000000" w:usb1="00000000" w:usb2="00000000" w:usb3="00000000" w:csb0="00000000" w:csb1="00000000"/>
    <w:embedRegular r:id="rId4" w:fontKey="{B6917E4F-7CD9-497E-8B76-9BE5F3130454}"/>
  </w:font>
  <w:font w:name="方正小标宋简体">
    <w:panose1 w:val="02000000000000000000"/>
    <w:charset w:val="86"/>
    <w:family w:val="auto"/>
    <w:pitch w:val="default"/>
    <w:sig w:usb0="00000001" w:usb1="08000000" w:usb2="00000000" w:usb3="00000000" w:csb0="00040000" w:csb1="00000000"/>
    <w:embedRegular r:id="rId5" w:fontKey="{135F52EA-14EC-4CBC-A7F5-F93044EFC46B}"/>
  </w:font>
  <w:font w:name="仿宋">
    <w:panose1 w:val="02010609060101010101"/>
    <w:charset w:val="86"/>
    <w:family w:val="modern"/>
    <w:pitch w:val="default"/>
    <w:sig w:usb0="800002BF" w:usb1="38CF7CFA" w:usb2="00000016" w:usb3="00000000" w:csb0="00040001" w:csb1="00000000"/>
    <w:embedRegular r:id="rId6" w:fontKey="{02DA5BD4-D7B1-42AB-B65A-7A330D839C65}"/>
  </w:font>
  <w:font w:name="楷体">
    <w:panose1 w:val="02010609060101010101"/>
    <w:charset w:val="86"/>
    <w:family w:val="modern"/>
    <w:pitch w:val="default"/>
    <w:sig w:usb0="800002BF" w:usb1="38CF7CFA" w:usb2="00000016" w:usb3="00000000" w:csb0="00040001" w:csb1="00000000"/>
    <w:embedRegular r:id="rId7" w:fontKey="{517FB962-9CB9-4EFA-96B4-B766A89442E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443616"/>
    <w:rsid w:val="0017049F"/>
    <w:rsid w:val="001810FE"/>
    <w:rsid w:val="00244BE3"/>
    <w:rsid w:val="00443616"/>
    <w:rsid w:val="004845AB"/>
    <w:rsid w:val="00684762"/>
    <w:rsid w:val="006E5455"/>
    <w:rsid w:val="00D044A4"/>
    <w:rsid w:val="00D17F2A"/>
    <w:rsid w:val="00FB7233"/>
    <w:rsid w:val="1AAB65CD"/>
    <w:rsid w:val="43FE3F89"/>
    <w:rsid w:val="4DE07F57"/>
    <w:rsid w:val="534A1036"/>
    <w:rsid w:val="782C03AF"/>
    <w:rsid w:val="78666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nhideWhenUsed/>
    <w:qFormat/>
    <w:uiPriority w:val="99"/>
    <w:rPr>
      <w:rFonts w:ascii="仿宋_GB2312" w:hAnsi="仿宋_GB2312" w:cs="宋体"/>
      <w:sz w:val="32"/>
      <w:szCs w:val="32"/>
    </w:rPr>
  </w:style>
  <w:style w:type="paragraph" w:styleId="3">
    <w:name w:val="Balloon Text"/>
    <w:basedOn w:val="1"/>
    <w:link w:val="11"/>
    <w:semiHidden/>
    <w:unhideWhenUsed/>
    <w:qFormat/>
    <w:uiPriority w:val="99"/>
    <w:rPr>
      <w:sz w:val="18"/>
      <w:szCs w:val="18"/>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link w:val="10"/>
    <w:unhideWhenUsed/>
    <w:qFormat/>
    <w:uiPriority w:val="99"/>
    <w:pPr>
      <w:ind w:firstLine="420" w:firstLineChars="100"/>
    </w:pPr>
  </w:style>
  <w:style w:type="character" w:customStyle="1" w:styleId="9">
    <w:name w:val="正文文本 Char"/>
    <w:basedOn w:val="8"/>
    <w:link w:val="2"/>
    <w:qFormat/>
    <w:uiPriority w:val="99"/>
    <w:rPr>
      <w:rFonts w:ascii="仿宋_GB2312" w:hAnsi="仿宋_GB2312" w:eastAsia="宋体" w:cs="宋体"/>
      <w:sz w:val="32"/>
      <w:szCs w:val="32"/>
    </w:rPr>
  </w:style>
  <w:style w:type="character" w:customStyle="1" w:styleId="10">
    <w:name w:val="正文首行缩进 Char"/>
    <w:basedOn w:val="9"/>
    <w:link w:val="6"/>
    <w:qFormat/>
    <w:uiPriority w:val="99"/>
  </w:style>
  <w:style w:type="character" w:customStyle="1" w:styleId="11">
    <w:name w:val="批注框文本 Char"/>
    <w:basedOn w:val="8"/>
    <w:link w:val="3"/>
    <w:semiHidden/>
    <w:qFormat/>
    <w:uiPriority w:val="99"/>
    <w:rPr>
      <w:rFonts w:ascii="Times New Roman" w:hAnsi="Times New Roman" w:eastAsia="宋体" w:cs="Times New Roman"/>
      <w:sz w:val="18"/>
      <w:szCs w:val="18"/>
    </w:rPr>
  </w:style>
  <w:style w:type="character" w:customStyle="1" w:styleId="12">
    <w:name w:val="页眉 Char"/>
    <w:basedOn w:val="8"/>
    <w:link w:val="5"/>
    <w:semiHidden/>
    <w:qFormat/>
    <w:uiPriority w:val="99"/>
    <w:rPr>
      <w:rFonts w:ascii="Times New Roman" w:hAnsi="Times New Roman" w:eastAsia="宋体" w:cs="Times New Roman"/>
      <w:sz w:val="18"/>
      <w:szCs w:val="18"/>
    </w:rPr>
  </w:style>
  <w:style w:type="character" w:customStyle="1" w:styleId="13">
    <w:name w:val="页脚 Char"/>
    <w:basedOn w:val="8"/>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emf"/><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4671</Words>
  <Characters>5185</Characters>
  <Lines>36</Lines>
  <Paragraphs>10</Paragraphs>
  <TotalTime>12</TotalTime>
  <ScaleCrop>false</ScaleCrop>
  <LinksUpToDate>false</LinksUpToDate>
  <CharactersWithSpaces>5488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2024-05-27T06:09:00Z</dcterms:created>
  <dc:creator>Administrator</dc:creator>
  <cp:lastModifiedBy>WPS_1670148425</cp:lastModifiedBy>
  <dcterms:modified xsi:type="dcterms:W3CDTF">2024-05-29T02:54:53Z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4A78A92C26A142BBB69ADDD25650E1AF_13</vt:lpwstr>
  </property>
</Properties>
</file>