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u w:val="none"/>
          <w:lang w:val="en-US" w:eastAsia="zh-CN"/>
        </w:rPr>
      </w:pPr>
      <w:r>
        <w:rPr>
          <w:rFonts w:hint="eastAsia" w:ascii="宋体" w:hAnsi="宋体" w:eastAsia="宋体" w:cs="宋体"/>
          <w:b w:val="0"/>
          <w:bCs/>
          <w:color w:val="auto"/>
          <w:sz w:val="28"/>
          <w:szCs w:val="28"/>
          <w:u w:val="none"/>
          <w:lang w:eastAsia="zh-CN"/>
        </w:rPr>
        <w:t>附件</w:t>
      </w:r>
      <w:r>
        <w:rPr>
          <w:rFonts w:hint="eastAsia" w:ascii="宋体" w:hAnsi="宋体" w:eastAsia="宋体" w:cs="宋体"/>
          <w:b w:val="0"/>
          <w:bCs/>
          <w:color w:val="auto"/>
          <w:sz w:val="28"/>
          <w:szCs w:val="28"/>
          <w:u w:val="none"/>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rPr>
        <w:t xml:space="preserve"> </w:t>
      </w:r>
      <w:r>
        <w:rPr>
          <w:rFonts w:hint="eastAsia" w:ascii="方正小标宋简体" w:hAnsi="方正小标宋简体" w:eastAsia="方正小标宋简体" w:cs="方正小标宋简体"/>
          <w:b/>
          <w:bCs w:val="0"/>
          <w:color w:val="auto"/>
          <w:sz w:val="44"/>
          <w:szCs w:val="44"/>
          <w:u w:val="none"/>
          <w:lang w:val="en-US" w:eastAsia="zh-CN"/>
        </w:rPr>
        <w:t>兴国县史志研究室</w:t>
      </w:r>
      <w:r>
        <w:rPr>
          <w:rFonts w:hint="eastAsia" w:ascii="方正小标宋简体" w:hAnsi="方正小标宋简体" w:eastAsia="方正小标宋简体" w:cs="方正小标宋简体"/>
          <w:b w:val="0"/>
          <w:bCs/>
          <w:color w:val="auto"/>
          <w:sz w:val="44"/>
          <w:szCs w:val="44"/>
          <w:u w:val="none"/>
          <w:lang w:val="en-US" w:eastAsia="zh-CN"/>
        </w:rPr>
        <w:t>2023年</w:t>
      </w:r>
      <w:r>
        <w:rPr>
          <w:rFonts w:hint="eastAsia" w:ascii="方正小标宋简体" w:hAnsi="方正小标宋简体" w:eastAsia="方正小标宋简体" w:cs="方正小标宋简体"/>
          <w:b w:val="0"/>
          <w:bCs/>
          <w:color w:val="auto"/>
          <w:sz w:val="44"/>
          <w:szCs w:val="44"/>
          <w:u w:val="none"/>
        </w:rPr>
        <w:t>部门预算编制说明</w:t>
      </w:r>
    </w:p>
    <w:p>
      <w:pPr>
        <w:spacing w:line="560" w:lineRule="exact"/>
        <w:jc w:val="center"/>
        <w:rPr>
          <w:rFonts w:hint="eastAsia" w:ascii="黑体" w:hAnsi="黑体" w:eastAsia="黑体" w:cs="黑体"/>
          <w:color w:val="auto"/>
          <w:sz w:val="36"/>
          <w:szCs w:val="36"/>
          <w:u w:val="none"/>
        </w:rPr>
      </w:pPr>
    </w:p>
    <w:p>
      <w:pPr>
        <w:spacing w:line="560" w:lineRule="exact"/>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目  录</w:t>
      </w: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 兴国县史志研究室部门概况</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一、部门主要职责</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二、部门基本情况</w:t>
      </w: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第二部分</w:t>
      </w:r>
      <w:r>
        <w:rPr>
          <w:rFonts w:hint="eastAsia" w:ascii="仿宋" w:hAnsi="仿宋" w:eastAsia="仿宋" w:cs="仿宋"/>
          <w:b/>
          <w:bCs/>
          <w:color w:val="auto"/>
          <w:sz w:val="32"/>
          <w:szCs w:val="32"/>
          <w:u w:val="none"/>
          <w:lang w:val="en-US" w:eastAsia="zh-CN"/>
        </w:rPr>
        <w:t xml:space="preserve"> 兴国县史志研究室</w:t>
      </w:r>
      <w:r>
        <w:rPr>
          <w:rFonts w:hint="eastAsia" w:ascii="仿宋" w:hAnsi="仿宋" w:eastAsia="仿宋" w:cs="仿宋"/>
          <w:b/>
          <w:bCs/>
          <w:color w:val="auto"/>
          <w:sz w:val="32"/>
          <w:szCs w:val="32"/>
          <w:u w:val="none"/>
        </w:rPr>
        <w:t>部门预算情况说明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年部门预算收支情况说明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年“三公”经费预算情况说明</w:t>
      </w: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第三部分</w:t>
      </w:r>
      <w:r>
        <w:rPr>
          <w:rFonts w:hint="eastAsia" w:ascii="仿宋" w:hAnsi="仿宋" w:eastAsia="仿宋" w:cs="仿宋"/>
          <w:b/>
          <w:bCs/>
          <w:color w:val="auto"/>
          <w:sz w:val="32"/>
          <w:szCs w:val="32"/>
          <w:u w:val="none"/>
          <w:lang w:val="en-US" w:eastAsia="zh-CN"/>
        </w:rPr>
        <w:t xml:space="preserve"> </w:t>
      </w:r>
      <w:r>
        <w:rPr>
          <w:rFonts w:hint="eastAsia" w:ascii="仿宋" w:hAnsi="仿宋" w:eastAsia="仿宋" w:cs="仿宋"/>
          <w:b/>
          <w:bCs/>
          <w:color w:val="auto"/>
          <w:sz w:val="32"/>
          <w:szCs w:val="32"/>
          <w:u w:val="none"/>
        </w:rPr>
        <w:t>兴国县兴国县史志研究室部门预算表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二、《部门收入总表》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三、《部门支出总表》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pPr>
        <w:spacing w:line="560" w:lineRule="exact"/>
        <w:ind w:left="634" w:leftChars="284" w:hanging="38" w:hangingChars="12"/>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pPr>
        <w:spacing w:line="560" w:lineRule="exact"/>
        <w:ind w:left="634" w:leftChars="284" w:hanging="38" w:hangingChars="12"/>
        <w:rPr>
          <w:color w:val="auto"/>
          <w:u w:val="none"/>
        </w:rPr>
      </w:pPr>
      <w:r>
        <w:rPr>
          <w:rFonts w:hint="eastAsia" w:ascii="仿宋" w:hAnsi="仿宋" w:eastAsia="仿宋" w:cs="仿宋"/>
          <w:color w:val="auto"/>
          <w:sz w:val="32"/>
          <w:szCs w:val="32"/>
          <w:u w:val="none"/>
        </w:rPr>
        <w:t>九、《</w:t>
      </w:r>
      <w:r>
        <w:rPr>
          <w:rFonts w:hint="eastAsia" w:ascii="仿宋" w:hAnsi="仿宋" w:eastAsia="仿宋" w:cs="仿宋"/>
          <w:color w:val="auto"/>
          <w:sz w:val="32"/>
          <w:szCs w:val="32"/>
          <w:u w:val="none"/>
          <w:lang w:eastAsia="zh-CN"/>
        </w:rPr>
        <w:t>国有资本经营预算支出表</w:t>
      </w:r>
      <w:r>
        <w:rPr>
          <w:rFonts w:hint="eastAsia" w:ascii="仿宋" w:hAnsi="仿宋" w:eastAsia="仿宋" w:cs="仿宋"/>
          <w:color w:val="auto"/>
          <w:sz w:val="32"/>
          <w:szCs w:val="32"/>
          <w:u w:val="none"/>
        </w:rPr>
        <w:t>》</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lang w:eastAsia="zh-CN"/>
        </w:rPr>
        <w:t>十</w:t>
      </w:r>
      <w:r>
        <w:rPr>
          <w:rFonts w:hint="eastAsia" w:ascii="仿宋" w:hAnsi="仿宋" w:eastAsia="仿宋" w:cs="仿宋"/>
          <w:color w:val="auto"/>
          <w:sz w:val="32"/>
          <w:szCs w:val="32"/>
          <w:u w:val="none"/>
        </w:rPr>
        <w:t>、《部门整体支出绩效目标表》</w:t>
      </w:r>
    </w:p>
    <w:p>
      <w:pPr>
        <w:spacing w:line="560" w:lineRule="exact"/>
        <w:ind w:left="10" w:leftChars="5" w:firstLine="620" w:firstLineChars="194"/>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一</w:t>
      </w:r>
      <w:r>
        <w:rPr>
          <w:rFonts w:hint="eastAsia" w:ascii="仿宋" w:hAnsi="仿宋" w:eastAsia="仿宋" w:cs="仿宋"/>
          <w:color w:val="auto"/>
          <w:sz w:val="32"/>
          <w:szCs w:val="32"/>
          <w:u w:val="none"/>
        </w:rPr>
        <w:t>、《项目支出绩效目标表》</w:t>
      </w:r>
      <w:r>
        <w:rPr>
          <w:rFonts w:hint="eastAsia" w:ascii="仿宋" w:hAnsi="仿宋" w:eastAsia="仿宋" w:cs="仿宋"/>
          <w:color w:val="auto"/>
          <w:sz w:val="32"/>
          <w:szCs w:val="32"/>
          <w:u w:val="none"/>
        </w:rPr>
        <w:cr/>
      </w:r>
      <w:r>
        <w:rPr>
          <w:rFonts w:hint="eastAsia" w:ascii="仿宋" w:hAnsi="仿宋" w:eastAsia="仿宋" w:cs="仿宋"/>
          <w:b/>
          <w:bCs/>
          <w:color w:val="auto"/>
          <w:sz w:val="32"/>
          <w:szCs w:val="32"/>
          <w:u w:val="none"/>
        </w:rPr>
        <w:t>第四部分 名词解释</w:t>
      </w:r>
    </w:p>
    <w:p>
      <w:pPr>
        <w:spacing w:line="560" w:lineRule="exact"/>
        <w:jc w:val="center"/>
        <w:rPr>
          <w:rFonts w:hint="eastAsia" w:ascii="仿宋" w:hAnsi="仿宋" w:eastAsia="仿宋" w:cs="仿宋"/>
          <w:b/>
          <w:bCs/>
          <w:color w:val="auto"/>
          <w:sz w:val="32"/>
          <w:szCs w:val="32"/>
          <w:u w:val="none"/>
        </w:rPr>
      </w:pPr>
    </w:p>
    <w:p>
      <w:pPr>
        <w:spacing w:line="560" w:lineRule="exact"/>
        <w:jc w:val="center"/>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兴国县兴国县史志研究室部门概况</w:t>
      </w:r>
    </w:p>
    <w:p>
      <w:pPr>
        <w:spacing w:line="560" w:lineRule="exact"/>
        <w:jc w:val="center"/>
        <w:rPr>
          <w:rFonts w:ascii="仿宋" w:hAnsi="仿宋" w:eastAsia="仿宋" w:cs="仿宋"/>
          <w:b/>
          <w:bCs/>
          <w:color w:val="auto"/>
          <w:sz w:val="32"/>
          <w:szCs w:val="32"/>
          <w:u w:val="none"/>
        </w:rPr>
      </w:pPr>
    </w:p>
    <w:p>
      <w:pPr>
        <w:spacing w:line="560" w:lineRule="exact"/>
        <w:ind w:left="10" w:leftChars="5" w:firstLine="643" w:firstLineChars="200"/>
        <w:rPr>
          <w:rFonts w:hint="eastAsia" w:ascii="楷体" w:hAnsi="楷体" w:eastAsia="楷体" w:cs="楷体"/>
          <w:b/>
          <w:bCs/>
          <w:sz w:val="32"/>
          <w:szCs w:val="32"/>
          <w:u w:val="none"/>
        </w:rPr>
      </w:pPr>
      <w:r>
        <w:rPr>
          <w:rFonts w:hint="eastAsia" w:ascii="楷体" w:hAnsi="楷体" w:eastAsia="楷体" w:cs="楷体"/>
          <w:b/>
          <w:bCs/>
          <w:sz w:val="32"/>
          <w:szCs w:val="32"/>
          <w:u w:val="none"/>
        </w:rPr>
        <w:t>一、部门主要职责</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一</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承担征集党史资料、编辑出版地方党史、革命史刊物、撰写党史、革命史、地方史志编纂、接收和整理、保管全县行政事业单位到期档案以及党的中心工作等职能。</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（二）对全县档案事业实行编制档案事业中长期发展规划、年度工作要点；协调县直机关单位和各乡、镇的档案业务工作。组织开展档案科学技术和理论研究，推进全县档案工作的科学化、标准化与现代化建设。</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（三）负责接收和统一管理县直机关的档案资料，保守党和国家机密，维护档案完整，确保档案资料安全。</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（四）协调全县机关档案室的档案接收范围及业务标准。</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五</w:t>
      </w:r>
      <w:r>
        <w:rPr>
          <w:rFonts w:hint="eastAsia" w:ascii="仿宋" w:hAnsi="仿宋" w:eastAsia="仿宋" w:cs="仿宋"/>
          <w:sz w:val="32"/>
          <w:szCs w:val="32"/>
          <w:u w:val="none"/>
          <w:lang w:eastAsia="zh-CN"/>
        </w:rPr>
        <w:t>）负责全县档案编研、信息开发、利用与管理，推进档案信息网络建设，充分发挥档案信息资源作用，为社会各方面提供服务。</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六</w:t>
      </w:r>
      <w:r>
        <w:rPr>
          <w:rFonts w:hint="eastAsia" w:ascii="仿宋" w:hAnsi="仿宋" w:eastAsia="仿宋" w:cs="仿宋"/>
          <w:sz w:val="32"/>
          <w:szCs w:val="32"/>
          <w:u w:val="none"/>
          <w:lang w:eastAsia="zh-CN"/>
        </w:rPr>
        <w:t>）承办县委、县人民政府交办的其他工作。</w:t>
      </w:r>
    </w:p>
    <w:p>
      <w:pPr>
        <w:spacing w:line="560" w:lineRule="exact"/>
        <w:ind w:left="10" w:leftChars="5" w:firstLine="643" w:firstLineChars="200"/>
        <w:rPr>
          <w:rFonts w:hint="eastAsia" w:ascii="楷体" w:hAnsi="楷体" w:eastAsia="楷体" w:cs="楷体"/>
          <w:b/>
          <w:bCs/>
          <w:sz w:val="32"/>
          <w:szCs w:val="32"/>
          <w:u w:val="none"/>
        </w:rPr>
      </w:pPr>
      <w:r>
        <w:rPr>
          <w:rFonts w:hint="eastAsia" w:ascii="楷体" w:hAnsi="楷体" w:eastAsia="楷体" w:cs="楷体"/>
          <w:b/>
          <w:bCs/>
          <w:sz w:val="32"/>
          <w:szCs w:val="32"/>
          <w:u w:val="none"/>
        </w:rPr>
        <w:t>二、部门基本情况</w:t>
      </w:r>
    </w:p>
    <w:p>
      <w:pPr>
        <w:ind w:firstLine="640" w:firstLineChars="200"/>
        <w:rPr>
          <w:rFonts w:ascii="仿宋" w:hAnsi="仿宋" w:eastAsia="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olor w:val="auto"/>
          <w:sz w:val="32"/>
          <w:szCs w:val="32"/>
          <w:u w:val="none"/>
        </w:rPr>
        <w:t>兴国县史志研究室</w:t>
      </w:r>
      <w:r>
        <w:rPr>
          <w:rFonts w:hint="eastAsia" w:ascii="仿宋" w:hAnsi="仿宋" w:eastAsia="仿宋"/>
          <w:color w:val="auto"/>
          <w:sz w:val="32"/>
          <w:szCs w:val="32"/>
          <w:u w:val="none"/>
          <w:lang w:val="en-US" w:eastAsia="zh-CN"/>
        </w:rPr>
        <w:t>部门</w:t>
      </w:r>
      <w:r>
        <w:rPr>
          <w:rFonts w:hint="eastAsia" w:ascii="仿宋" w:hAnsi="仿宋" w:eastAsia="仿宋"/>
          <w:color w:val="auto"/>
          <w:sz w:val="32"/>
          <w:szCs w:val="32"/>
          <w:u w:val="none"/>
        </w:rPr>
        <w:t>共有预算单位</w:t>
      </w:r>
      <w:r>
        <w:rPr>
          <w:rFonts w:hint="eastAsia" w:ascii="仿宋" w:hAnsi="仿宋" w:eastAsia="仿宋" w:cs="Times New Roman"/>
          <w:color w:val="auto"/>
          <w:kern w:val="0"/>
          <w:sz w:val="32"/>
          <w:szCs w:val="32"/>
          <w:u w:val="none"/>
          <w:lang w:val="en-US" w:eastAsia="zh-CN"/>
        </w:rPr>
        <w:t>1</w:t>
      </w:r>
      <w:r>
        <w:rPr>
          <w:rFonts w:ascii="仿宋" w:hAnsi="仿宋" w:eastAsia="仿宋"/>
          <w:color w:val="auto"/>
          <w:sz w:val="32"/>
          <w:szCs w:val="32"/>
          <w:u w:val="none"/>
        </w:rPr>
        <w:t>个，包括</w:t>
      </w:r>
      <w:r>
        <w:rPr>
          <w:rFonts w:hint="eastAsia" w:ascii="仿宋" w:hAnsi="仿宋" w:eastAsia="仿宋"/>
          <w:color w:val="auto"/>
          <w:sz w:val="32"/>
          <w:szCs w:val="32"/>
          <w:u w:val="none"/>
        </w:rPr>
        <w:t>：兴国县史志研究室</w:t>
      </w:r>
      <w:r>
        <w:rPr>
          <w:rFonts w:hint="eastAsia" w:ascii="仿宋" w:hAnsi="仿宋" w:eastAsia="仿宋"/>
          <w:color w:val="auto"/>
          <w:sz w:val="32"/>
          <w:szCs w:val="32"/>
          <w:u w:val="none"/>
          <w:lang w:val="en-US" w:eastAsia="zh-CN"/>
        </w:rPr>
        <w:t>本级</w:t>
      </w:r>
      <w:r>
        <w:rPr>
          <w:rFonts w:hint="eastAsia" w:ascii="仿宋" w:hAnsi="仿宋" w:eastAsia="仿宋"/>
          <w:color w:val="auto"/>
          <w:sz w:val="32"/>
          <w:szCs w:val="32"/>
          <w:u w:val="none"/>
        </w:rPr>
        <w:t>。</w:t>
      </w:r>
    </w:p>
    <w:p>
      <w:pPr>
        <w:pStyle w:val="3"/>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编制人数小计22人,其中：行政编制人数0人,参照公务员管理的事业编制人数14人,全部补助事业编制人数8人,自收自支编制人数0人。实有人数小计13人,其中：在职人数小计13人,行政在职人数0人,参照公务员管理的事业单位在职人数9人,全部补助事业在职人数4人。离休人数小计0人,退休人数小计11人,退职人员0人,遗属人数0人。</w:t>
      </w:r>
    </w:p>
    <w:p>
      <w:pPr>
        <w:pStyle w:val="3"/>
        <w:rPr>
          <w:color w:val="auto"/>
          <w:u w:val="none"/>
        </w:rPr>
      </w:pPr>
    </w:p>
    <w:p>
      <w:pPr>
        <w:spacing w:line="560" w:lineRule="exact"/>
        <w:jc w:val="center"/>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第二部分 兴国县史志研究室部门预算情况说明</w:t>
      </w:r>
    </w:p>
    <w:p>
      <w:pPr>
        <w:spacing w:line="560" w:lineRule="exact"/>
        <w:jc w:val="center"/>
        <w:rPr>
          <w:rFonts w:ascii="仿宋" w:hAnsi="仿宋" w:eastAsia="仿宋" w:cs="仿宋"/>
          <w:b/>
          <w:bCs/>
          <w:color w:val="auto"/>
          <w:sz w:val="32"/>
          <w:szCs w:val="32"/>
          <w:u w:val="none"/>
        </w:rPr>
      </w:pPr>
    </w:p>
    <w:p>
      <w:pPr>
        <w:spacing w:line="560" w:lineRule="exact"/>
        <w:ind w:left="10" w:leftChars="5" w:firstLine="643" w:firstLineChars="200"/>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val="en-US" w:eastAsia="zh-CN"/>
        </w:rPr>
        <w:t>2023</w:t>
      </w:r>
      <w:r>
        <w:rPr>
          <w:rFonts w:hint="eastAsia" w:ascii="楷体" w:hAnsi="楷体" w:eastAsia="楷体" w:cs="楷体"/>
          <w:b/>
          <w:bCs/>
          <w:color w:val="auto"/>
          <w:sz w:val="32"/>
          <w:szCs w:val="32"/>
          <w:u w:val="none"/>
        </w:rPr>
        <w:t>年部门预算收支情况说明</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519.13</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80.36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18.31%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其他收入增加了</w:t>
      </w:r>
      <w:r>
        <w:rPr>
          <w:rFonts w:hint="eastAsia" w:ascii="仿宋" w:hAnsi="仿宋" w:eastAsia="仿宋" w:cs="仿宋"/>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其中：财政拨款收入</w:t>
      </w:r>
      <w:r>
        <w:rPr>
          <w:rFonts w:hint="eastAsia" w:ascii="仿宋" w:hAnsi="仿宋" w:eastAsia="仿宋" w:cs="仿宋"/>
          <w:color w:val="auto"/>
          <w:sz w:val="32"/>
          <w:szCs w:val="32"/>
          <w:u w:val="none"/>
          <w:lang w:val="en-US" w:eastAsia="zh-CN"/>
        </w:rPr>
        <w:t>369.01</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上年预算安排减少</w:t>
      </w:r>
      <w:r>
        <w:rPr>
          <w:rFonts w:hint="eastAsia" w:ascii="仿宋" w:hAnsi="仿宋" w:eastAsia="仿宋" w:cs="仿宋"/>
          <w:color w:val="auto"/>
          <w:spacing w:val="23"/>
          <w:sz w:val="30"/>
          <w:szCs w:val="30"/>
          <w:u w:val="none"/>
          <w:lang w:val="en-US" w:eastAsia="zh-CN"/>
        </w:rPr>
        <w:t>10.93</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23"/>
          <w:sz w:val="30"/>
          <w:szCs w:val="30"/>
          <w:u w:val="none"/>
          <w:lang w:eastAsia="zh-CN"/>
        </w:rPr>
        <w:t>政府性基金预算收入</w:t>
      </w:r>
      <w:r>
        <w:rPr>
          <w:rFonts w:hint="eastAsia" w:ascii="仿宋" w:hAnsi="仿宋" w:eastAsia="仿宋" w:cs="仿宋"/>
          <w:color w:val="auto"/>
          <w:spacing w:val="23"/>
          <w:sz w:val="30"/>
          <w:szCs w:val="30"/>
          <w:u w:val="none"/>
        </w:rPr>
        <w:t>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w:t>
      </w:r>
      <w:r>
        <w:rPr>
          <w:rFonts w:hint="eastAsia" w:ascii="仿宋" w:hAnsi="仿宋" w:eastAsia="仿宋" w:cs="仿宋"/>
          <w:color w:val="auto"/>
          <w:spacing w:val="23"/>
          <w:sz w:val="30"/>
          <w:szCs w:val="30"/>
          <w:u w:val="none"/>
        </w:rPr>
        <w:t>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pacing w:val="28"/>
          <w:sz w:val="30"/>
          <w:szCs w:val="30"/>
          <w:u w:val="none"/>
          <w:lang w:val="en-US" w:eastAsia="zh-CN"/>
        </w:rPr>
        <w:t>0</w:t>
      </w:r>
      <w:r>
        <w:rPr>
          <w:rFonts w:hint="eastAsia" w:ascii="仿宋" w:hAnsi="仿宋" w:eastAsia="仿宋" w:cs="仿宋"/>
          <w:color w:val="auto"/>
          <w:spacing w:val="7"/>
          <w:sz w:val="30"/>
          <w:szCs w:val="30"/>
          <w:u w:val="none"/>
        </w:rPr>
        <w:t>万元,较上年预算安排增加</w:t>
      </w:r>
      <w:r>
        <w:rPr>
          <w:rFonts w:hint="eastAsia" w:ascii="仿宋" w:hAnsi="仿宋" w:eastAsia="仿宋" w:cs="仿宋"/>
          <w:color w:val="auto"/>
          <w:spacing w:val="7"/>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上级补助</w:t>
      </w:r>
      <w:r>
        <w:rPr>
          <w:rFonts w:hint="eastAsia" w:ascii="仿宋" w:hAnsi="仿宋" w:eastAsia="仿宋" w:cs="仿宋"/>
          <w:color w:val="auto"/>
          <w:spacing w:val="8"/>
          <w:sz w:val="30"/>
          <w:szCs w:val="30"/>
          <w:u w:val="none"/>
        </w:rPr>
        <w:t>收入</w:t>
      </w:r>
      <w:r>
        <w:rPr>
          <w:rFonts w:hint="eastAsia" w:ascii="仿宋" w:hAnsi="仿宋" w:eastAsia="仿宋" w:cs="仿宋"/>
          <w:color w:val="auto"/>
          <w:spacing w:val="8"/>
          <w:sz w:val="30"/>
          <w:szCs w:val="30"/>
          <w:u w:val="none"/>
          <w:lang w:val="en-US" w:eastAsia="zh-CN"/>
        </w:rPr>
        <w:t>0</w:t>
      </w:r>
      <w:r>
        <w:rPr>
          <w:rFonts w:hint="eastAsia" w:ascii="仿宋" w:hAnsi="仿宋" w:eastAsia="仿宋" w:cs="仿宋"/>
          <w:color w:val="auto"/>
          <w:spacing w:val="8"/>
          <w:sz w:val="30"/>
          <w:szCs w:val="30"/>
          <w:u w:val="none"/>
        </w:rPr>
        <w:t>万元,较上年预算安排减少</w:t>
      </w:r>
      <w:r>
        <w:rPr>
          <w:rFonts w:hint="eastAsia" w:ascii="仿宋" w:hAnsi="仿宋" w:eastAsia="仿宋" w:cs="仿宋"/>
          <w:color w:val="auto"/>
          <w:spacing w:val="8"/>
          <w:sz w:val="30"/>
          <w:szCs w:val="30"/>
          <w:u w:val="none"/>
          <w:lang w:val="en-US" w:eastAsia="zh-CN"/>
        </w:rPr>
        <w:t>8</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150.12</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pacing w:val="18"/>
          <w:sz w:val="30"/>
          <w:szCs w:val="30"/>
          <w:u w:val="none"/>
          <w:lang w:val="en-US" w:eastAsia="zh-CN"/>
        </w:rPr>
        <w:t>123.62</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4"/>
          <w:sz w:val="30"/>
          <w:szCs w:val="30"/>
          <w:u w:val="none"/>
          <w:lang w:eastAsia="zh-CN"/>
        </w:rPr>
        <w:t>；</w:t>
      </w:r>
      <w:r>
        <w:rPr>
          <w:rFonts w:hint="eastAsia" w:ascii="仿宋" w:hAnsi="仿宋" w:eastAsia="仿宋" w:cs="仿宋"/>
          <w:color w:val="auto"/>
          <w:spacing w:val="4"/>
          <w:sz w:val="30"/>
          <w:szCs w:val="30"/>
          <w:u w:val="none"/>
        </w:rPr>
        <w:t>财政拨款结余结转0万元，较上年预算安排减少</w:t>
      </w:r>
      <w:r>
        <w:rPr>
          <w:rFonts w:hint="eastAsia" w:ascii="仿宋" w:hAnsi="仿宋" w:eastAsia="仿宋" w:cs="仿宋"/>
          <w:color w:val="auto"/>
          <w:spacing w:val="4"/>
          <w:sz w:val="30"/>
          <w:szCs w:val="30"/>
          <w:u w:val="none"/>
          <w:lang w:val="en-US" w:eastAsia="zh-CN"/>
        </w:rPr>
        <w:t>24.33</w:t>
      </w:r>
      <w:r>
        <w:rPr>
          <w:rFonts w:hint="eastAsia" w:ascii="仿宋" w:hAnsi="仿宋" w:eastAsia="仿宋" w:cs="仿宋"/>
          <w:color w:val="auto"/>
          <w:spacing w:val="4"/>
          <w:sz w:val="30"/>
          <w:szCs w:val="30"/>
          <w:u w:val="none"/>
        </w:rPr>
        <w:t>万元</w:t>
      </w:r>
      <w:r>
        <w:rPr>
          <w:rFonts w:hint="eastAsia" w:ascii="仿宋" w:hAnsi="仿宋" w:eastAsia="仿宋" w:cs="仿宋"/>
          <w:color w:val="auto"/>
          <w:spacing w:val="4"/>
          <w:sz w:val="30"/>
          <w:szCs w:val="30"/>
          <w:u w:val="none"/>
          <w:lang w:eastAsia="zh-CN"/>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spacing w:line="560" w:lineRule="exact"/>
        <w:ind w:firstLine="640" w:firstLineChars="200"/>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总额519.13</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80.36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18.31%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其他收入增加了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按支出项目类别及经济分类科目划分：基本支出</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97.32</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26.95</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179.42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16.54</w:t>
      </w:r>
      <w:r>
        <w:rPr>
          <w:rFonts w:hint="eastAsia" w:ascii="仿宋" w:hAnsi="仿宋" w:eastAsia="仿宋" w:cs="仿宋"/>
          <w:color w:val="auto"/>
          <w:sz w:val="30"/>
          <w:szCs w:val="30"/>
          <w:u w:val="none"/>
          <w:lang w:eastAsia="zh-CN"/>
        </w:rPr>
        <w:t>万元，对个人和家庭的补</w:t>
      </w:r>
      <w:r>
        <w:rPr>
          <w:rFonts w:hint="eastAsia" w:ascii="仿宋" w:hAnsi="仿宋" w:eastAsia="仿宋" w:cs="仿宋"/>
          <w:color w:val="auto"/>
          <w:sz w:val="30"/>
          <w:szCs w:val="30"/>
          <w:u w:val="none"/>
          <w:lang w:val="en-US" w:eastAsia="zh-CN"/>
        </w:rPr>
        <w:t>0.36</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0"/>
          <w:szCs w:val="30"/>
          <w:u w:val="none"/>
          <w:lang w:eastAsia="zh-CN"/>
        </w:rPr>
        <w:t>万元。项目支出321.81</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107.31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212.35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9.46</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sz w:val="30"/>
          <w:szCs w:val="30"/>
          <w:u w:val="none"/>
          <w:lang w:eastAsia="zh-CN"/>
        </w:rPr>
        <w:t>万元。</w:t>
      </w:r>
    </w:p>
    <w:p>
      <w:pPr>
        <w:spacing w:line="560" w:lineRule="exact"/>
        <w:ind w:firstLine="600" w:firstLineChars="200"/>
        <w:rPr>
          <w:rFonts w:ascii="仿宋" w:hAnsi="仿宋" w:eastAsia="仿宋" w:cs="仿宋"/>
          <w:b/>
          <w:bCs/>
          <w:color w:val="auto"/>
          <w:sz w:val="32"/>
          <w:szCs w:val="32"/>
          <w:u w:val="none"/>
        </w:rPr>
      </w:pPr>
      <w:r>
        <w:rPr>
          <w:rFonts w:hint="eastAsia" w:ascii="仿宋" w:hAnsi="仿宋" w:eastAsia="仿宋" w:cs="仿宋"/>
          <w:color w:val="auto"/>
          <w:kern w:val="2"/>
          <w:sz w:val="30"/>
          <w:szCs w:val="30"/>
          <w:u w:val="none"/>
          <w:lang w:val="en-US" w:eastAsia="zh-CN" w:bidi="ar-SA"/>
        </w:rPr>
        <w:t>按支出功能分类科目划分：一般公共服务支出316.37万元,较上年预算安排减28.71万元;社会保障和就业支出27.89万元,较上年预算安排增6.32万元;卫生健康支出9.40万元,较上年预算安排减9.62万元;住房保障支出15.35万元,较上年预算安排减3.25万元;其他支出150.12万元,较上年预算安排增115.62万元。</w:t>
      </w:r>
      <w:r>
        <w:rPr>
          <w:rFonts w:hint="eastAsia" w:ascii="仿宋" w:hAnsi="仿宋" w:eastAsia="仿宋" w:cs="仿宋"/>
          <w:color w:val="auto"/>
          <w:kern w:val="2"/>
          <w:sz w:val="30"/>
          <w:szCs w:val="30"/>
          <w:u w:val="none"/>
          <w:lang w:val="en-US" w:eastAsia="zh-CN" w:bidi="ar-SA"/>
        </w:rPr>
        <w:tab/>
      </w:r>
      <w:r>
        <w:rPr>
          <w:rFonts w:hint="eastAsia"/>
          <w:u w:val="none"/>
          <w:lang w:eastAsia="zh-CN"/>
        </w:rPr>
        <w:tab/>
      </w:r>
      <w:r>
        <w:rPr>
          <w:rFonts w:hint="eastAsia"/>
          <w:u w:val="none"/>
          <w:lang w:eastAsia="zh-CN"/>
        </w:rPr>
        <w:tab/>
      </w:r>
      <w:r>
        <w:rPr>
          <w:rFonts w:hint="eastAsia" w:ascii="仿宋" w:hAnsi="仿宋" w:eastAsia="仿宋" w:cs="仿宋"/>
          <w:b/>
          <w:bCs/>
          <w:color w:val="auto"/>
          <w:sz w:val="32"/>
          <w:szCs w:val="32"/>
          <w:u w:val="none"/>
        </w:rPr>
        <w:t>（三）财政拨款支出情况</w:t>
      </w:r>
    </w:p>
    <w:p>
      <w:pPr>
        <w:pStyle w:val="3"/>
        <w:ind w:firstLine="640" w:firstLineChars="200"/>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369.01</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71.08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10.93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2.96%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项目支出减少</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按支出项目类别及经济分类科目划分：基本支出1 97.32万元，较上年预算安排减</w:t>
      </w:r>
      <w:r>
        <w:rPr>
          <w:rFonts w:hint="eastAsia" w:ascii="仿宋" w:hAnsi="仿宋" w:eastAsia="仿宋" w:cs="仿宋"/>
          <w:color w:val="auto"/>
          <w:sz w:val="30"/>
          <w:szCs w:val="30"/>
          <w:u w:val="none"/>
          <w:lang w:val="en-US" w:eastAsia="zh-CN"/>
        </w:rPr>
        <w:t>2.62</w:t>
      </w:r>
      <w:r>
        <w:rPr>
          <w:rFonts w:hint="eastAsia" w:ascii="仿宋" w:hAnsi="仿宋" w:eastAsia="仿宋" w:cs="仿宋"/>
          <w:color w:val="auto"/>
          <w:sz w:val="30"/>
          <w:szCs w:val="30"/>
          <w:u w:val="none"/>
          <w:lang w:eastAsia="zh-CN"/>
        </w:rPr>
        <w:t>元，其中：工资福利支出179.42万元，商品和服务支出16.54万元，对个人和家庭的补0.36万元，资本性支出1万元。项目支出</w:t>
      </w:r>
      <w:r>
        <w:rPr>
          <w:rFonts w:hint="eastAsia" w:ascii="仿宋" w:hAnsi="仿宋" w:eastAsia="仿宋" w:cs="仿宋"/>
          <w:color w:val="auto"/>
          <w:sz w:val="32"/>
          <w:szCs w:val="32"/>
          <w:u w:val="none"/>
          <w:lang w:val="en-US" w:eastAsia="zh-CN"/>
        </w:rPr>
        <w:t>171.69</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8.31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162.23</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9.46</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pPr>
        <w:spacing w:line="560" w:lineRule="exact"/>
        <w:ind w:firstLine="668" w:firstLineChars="200"/>
        <w:rPr>
          <w:rFonts w:hint="eastAsia" w:ascii="仿宋" w:hAnsi="仿宋" w:eastAsia="仿宋" w:cs="仿宋"/>
          <w:color w:val="auto"/>
          <w:spacing w:val="17"/>
          <w:sz w:val="30"/>
          <w:szCs w:val="30"/>
          <w:u w:val="none"/>
          <w:lang w:eastAsia="zh-CN"/>
        </w:rPr>
      </w:pPr>
      <w:r>
        <w:rPr>
          <w:rFonts w:hint="eastAsia" w:ascii="仿宋" w:hAnsi="仿宋" w:eastAsia="仿宋" w:cs="仿宋"/>
          <w:color w:val="auto"/>
          <w:spacing w:val="17"/>
          <w:sz w:val="30"/>
          <w:szCs w:val="30"/>
          <w:u w:val="none"/>
          <w:lang w:eastAsia="zh-CN"/>
        </w:rPr>
        <w:t>按支出功能分类科目划分：</w:t>
      </w:r>
      <w:r>
        <w:rPr>
          <w:rFonts w:hint="eastAsia" w:ascii="仿宋" w:hAnsi="仿宋" w:eastAsia="仿宋" w:cs="仿宋"/>
          <w:color w:val="auto"/>
          <w:kern w:val="2"/>
          <w:sz w:val="30"/>
          <w:szCs w:val="30"/>
          <w:u w:val="none"/>
          <w:lang w:val="en-US" w:eastAsia="zh-CN" w:bidi="ar-SA"/>
        </w:rPr>
        <w:t>一般公共服务支出316.37万元,较上年预算安排减4.38万元;社会保障和就业支出27.89万元,较上年预算安排增6.32万元;卫生健康支出9.40万元,较上年预算安排减9.62万元;住房保障支出15.35万元,较上年预算安排减3.25万元</w:t>
      </w:r>
      <w:r>
        <w:rPr>
          <w:rFonts w:hint="eastAsia" w:ascii="仿宋" w:hAnsi="仿宋" w:eastAsia="仿宋" w:cs="仿宋"/>
          <w:color w:val="auto"/>
          <w:spacing w:val="17"/>
          <w:sz w:val="30"/>
          <w:szCs w:val="30"/>
          <w:u w:val="none"/>
          <w:lang w:eastAsia="zh-CN"/>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spacing w:line="560" w:lineRule="exact"/>
        <w:ind w:firstLine="640" w:firstLineChars="200"/>
        <w:rPr>
          <w:rFonts w:hint="eastAsia" w:ascii="仿宋" w:hAnsi="仿宋" w:eastAsia="仿宋" w:cs="仿宋"/>
          <w:color w:val="auto"/>
          <w:sz w:val="24"/>
          <w:szCs w:val="24"/>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年部门政府性基金支出总额</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其中：</w:t>
      </w:r>
      <w:r>
        <w:rPr>
          <w:rFonts w:hint="eastAsia" w:ascii="仿宋" w:hAnsi="仿宋" w:eastAsia="仿宋" w:cs="仿宋"/>
          <w:color w:val="auto"/>
          <w:spacing w:val="12"/>
          <w:sz w:val="30"/>
          <w:szCs w:val="30"/>
          <w:u w:val="none"/>
          <w:lang w:val="en-US" w:eastAsia="zh-CN"/>
        </w:rPr>
        <w:t>0</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2"/>
          <w:sz w:val="30"/>
          <w:szCs w:val="30"/>
          <w:u w:val="none"/>
        </w:rPr>
        <w:t>万元</w:t>
      </w:r>
      <w:r>
        <w:rPr>
          <w:rFonts w:hint="eastAsia" w:ascii="仿宋" w:hAnsi="仿宋" w:eastAsia="仿宋" w:cs="仿宋"/>
          <w:color w:val="auto"/>
          <w:spacing w:val="12"/>
          <w:sz w:val="30"/>
          <w:szCs w:val="30"/>
          <w:u w:val="none"/>
          <w:lang w:eastAsia="zh-CN"/>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2023年部门机关运行费预算17.90万元，比2022年预算减少3.62万元，下降16.82％</w:t>
      </w:r>
      <w:r>
        <w:rPr>
          <w:rFonts w:hint="eastAsia" w:ascii="仿宋" w:hAnsi="仿宋" w:eastAsia="仿宋" w:cs="仿宋"/>
          <w:sz w:val="32"/>
          <w:szCs w:val="32"/>
          <w:u w:val="none"/>
          <w:lang w:val="en-US" w:eastAsia="zh-CN"/>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我单位差旅费等费用减少</w:t>
      </w:r>
      <w:r>
        <w:rPr>
          <w:rFonts w:hint="eastAsia" w:ascii="仿宋" w:hAnsi="仿宋" w:eastAsia="仿宋" w:cs="仿宋"/>
          <w:color w:val="auto"/>
          <w:sz w:val="32"/>
          <w:szCs w:val="32"/>
          <w:u w:val="none"/>
          <w:lang w:eastAsia="zh-CN"/>
        </w:rPr>
        <w:t>。</w:t>
      </w:r>
    </w:p>
    <w:p>
      <w:pPr>
        <w:wordWrap/>
        <w:spacing w:before="0" w:after="0"/>
        <w:ind w:left="0" w:right="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trike w:val="0"/>
          <w:sz w:val="32"/>
          <w:szCs w:val="32"/>
        </w:rPr>
        <w:t>按照《地方预决算公开操作规程》明确的</w:t>
      </w:r>
      <w:r>
        <w:rPr>
          <w:rFonts w:hint="eastAsia" w:ascii="仿宋" w:hAnsi="仿宋" w:eastAsia="仿宋" w:cs="仿宋"/>
          <w:strike w:val="0"/>
          <w:sz w:val="32"/>
          <w:szCs w:val="32"/>
          <w:lang w:eastAsia="zh-CN"/>
        </w:rPr>
        <w:t>口径</w:t>
      </w:r>
      <w:r>
        <w:rPr>
          <w:rFonts w:hint="eastAsia" w:ascii="仿宋" w:hAnsi="仿宋" w:eastAsia="仿宋" w:cs="仿宋"/>
          <w:strike w:val="0"/>
          <w:sz w:val="32"/>
          <w:szCs w:val="32"/>
        </w:rPr>
        <w:t>，</w:t>
      </w:r>
      <w:r>
        <w:rPr>
          <w:rFonts w:hint="eastAsia" w:ascii="仿宋" w:hAnsi="仿宋" w:eastAsia="仿宋" w:cs="仿宋"/>
          <w:strike w:val="0"/>
          <w:sz w:val="32"/>
          <w:szCs w:val="32"/>
          <w:lang w:eastAsia="zh-CN"/>
        </w:rPr>
        <w:t>机关运行费</w:t>
      </w:r>
      <w:r>
        <w:rPr>
          <w:rFonts w:hint="eastAsia" w:ascii="仿宋" w:hAnsi="仿宋" w:eastAsia="仿宋" w:cs="仿宋"/>
          <w:strike w:val="0"/>
          <w:sz w:val="32"/>
          <w:szCs w:val="32"/>
        </w:rPr>
        <w:t>指各部门的公用经费，包括办公及印刷费、邮电费、</w:t>
      </w:r>
      <w:r>
        <w:rPr>
          <w:rFonts w:hint="eastAsia" w:ascii="仿宋" w:hAnsi="仿宋" w:eastAsia="仿宋" w:cs="仿宋"/>
          <w:strike w:val="0"/>
          <w:sz w:val="32"/>
          <w:szCs w:val="32"/>
          <w:lang w:eastAsia="zh-CN"/>
        </w:rPr>
        <w:t>差旅费、</w:t>
      </w:r>
    </w:p>
    <w:p>
      <w:pPr>
        <w:wordWrap/>
        <w:spacing w:before="0" w:after="0"/>
        <w:ind w:left="0" w:right="0"/>
        <w:jc w:val="both"/>
        <w:textAlignment w:val="auto"/>
        <w:rPr>
          <w:rFonts w:hint="eastAsia" w:ascii="仿宋" w:hAnsi="仿宋" w:eastAsia="仿宋" w:cs="仿宋"/>
          <w:sz w:val="32"/>
          <w:szCs w:val="32"/>
          <w:lang w:eastAsia="zh-CN"/>
        </w:rPr>
      </w:pPr>
      <w:r>
        <w:rPr>
          <w:rFonts w:hint="eastAsia" w:ascii="仿宋" w:hAnsi="仿宋" w:eastAsia="仿宋" w:cs="仿宋"/>
          <w:strike w:val="0"/>
          <w:sz w:val="32"/>
          <w:szCs w:val="32"/>
        </w:rPr>
        <w:t>会议费、福利费、日常维修费、专用材料及一般设备</w:t>
      </w:r>
      <w:r>
        <w:rPr>
          <w:rFonts w:hint="eastAsia" w:ascii="仿宋" w:hAnsi="仿宋" w:eastAsia="仿宋" w:cs="仿宋"/>
          <w:strike w:val="0"/>
          <w:sz w:val="32"/>
          <w:szCs w:val="32"/>
          <w:lang w:eastAsia="zh-CN"/>
        </w:rPr>
        <w:t>购</w:t>
      </w:r>
      <w:r>
        <w:rPr>
          <w:rFonts w:hint="eastAsia" w:ascii="仿宋" w:hAnsi="仿宋" w:eastAsia="仿宋" w:cs="仿宋"/>
          <w:strike w:val="0"/>
          <w:sz w:val="32"/>
          <w:szCs w:val="32"/>
        </w:rPr>
        <w:t>置费</w:t>
      </w:r>
      <w:r>
        <w:rPr>
          <w:rFonts w:hint="eastAsia" w:ascii="仿宋" w:hAnsi="仿宋" w:eastAsia="仿宋" w:cs="仿宋"/>
          <w:strike w:val="0"/>
          <w:sz w:val="32"/>
          <w:szCs w:val="32"/>
          <w:lang w:eastAsia="zh-CN"/>
        </w:rPr>
        <w:t>、</w:t>
      </w:r>
    </w:p>
    <w:p>
      <w:pPr>
        <w:wordWrap/>
        <w:spacing w:before="0" w:after="0"/>
        <w:ind w:left="0" w:right="0"/>
        <w:jc w:val="both"/>
        <w:textAlignment w:val="auto"/>
        <w:rPr>
          <w:rFonts w:hint="eastAsia" w:ascii="仿宋" w:hAnsi="仿宋" w:eastAsia="仿宋" w:cs="仿宋"/>
          <w:sz w:val="32"/>
          <w:szCs w:val="32"/>
          <w:lang w:eastAsia="zh-CN"/>
        </w:rPr>
      </w:pPr>
      <w:r>
        <w:rPr>
          <w:rFonts w:hint="eastAsia" w:ascii="仿宋" w:hAnsi="仿宋" w:eastAsia="仿宋" w:cs="仿宋"/>
          <w:strike w:val="0"/>
          <w:sz w:val="32"/>
          <w:szCs w:val="32"/>
        </w:rPr>
        <w:t>办公用房水电费、办公用房取暖费、办公用房物业管理费、</w:t>
      </w:r>
      <w:r>
        <w:rPr>
          <w:rFonts w:hint="eastAsia" w:ascii="仿宋" w:hAnsi="仿宋" w:eastAsia="仿宋" w:cs="仿宋"/>
          <w:strike w:val="0"/>
          <w:sz w:val="32"/>
          <w:szCs w:val="32"/>
          <w:lang w:eastAsia="zh-CN"/>
        </w:rPr>
        <w:t>公</w:t>
      </w:r>
    </w:p>
    <w:p>
      <w:pPr>
        <w:wordWrap/>
        <w:spacing w:before="0" w:after="0"/>
        <w:ind w:left="0" w:right="0"/>
        <w:jc w:val="both"/>
        <w:textAlignment w:val="auto"/>
        <w:rPr>
          <w:rFonts w:hint="eastAsia" w:ascii="仿宋" w:hAnsi="仿宋" w:eastAsia="仿宋" w:cs="仿宋"/>
          <w:sz w:val="32"/>
          <w:szCs w:val="32"/>
        </w:rPr>
      </w:pPr>
      <w:r>
        <w:rPr>
          <w:rFonts w:hint="eastAsia" w:ascii="仿宋" w:hAnsi="仿宋" w:eastAsia="仿宋" w:cs="仿宋"/>
          <w:strike w:val="0"/>
          <w:sz w:val="32"/>
          <w:szCs w:val="32"/>
        </w:rPr>
        <w:t>务用车运行维护费以及其他费用。</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年部门所属各单位政府采购总额</w:t>
      </w:r>
      <w:r>
        <w:rPr>
          <w:rFonts w:hint="eastAsia" w:ascii="仿宋" w:hAnsi="仿宋" w:eastAsia="仿宋" w:cs="仿宋"/>
          <w:sz w:val="32"/>
          <w:szCs w:val="32"/>
          <w:u w:val="none"/>
          <w:lang w:val="en-US" w:eastAsia="zh-CN"/>
        </w:rPr>
        <w:t>52.95</w:t>
      </w:r>
      <w:r>
        <w:rPr>
          <w:rFonts w:hint="eastAsia" w:ascii="仿宋" w:hAnsi="仿宋" w:eastAsia="仿宋" w:cs="仿宋"/>
          <w:color w:val="auto"/>
          <w:sz w:val="32"/>
          <w:szCs w:val="32"/>
          <w:u w:val="none"/>
        </w:rPr>
        <w:t>万元，其中：政府采购货物预算</w:t>
      </w:r>
      <w:r>
        <w:rPr>
          <w:rFonts w:hint="eastAsia" w:ascii="仿宋" w:hAnsi="仿宋" w:eastAsia="仿宋" w:cs="仿宋"/>
          <w:sz w:val="32"/>
          <w:szCs w:val="32"/>
          <w:u w:val="none"/>
          <w:lang w:val="en-US" w:eastAsia="zh-CN"/>
        </w:rPr>
        <w:t>9.5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sz w:val="32"/>
          <w:szCs w:val="32"/>
          <w:u w:val="none"/>
          <w:lang w:val="en-US" w:eastAsia="zh-CN"/>
        </w:rPr>
        <w:t>52</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12月31日部门共有车辆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rPr>
        <w:t>部门预算安排购置车辆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（八）绩效目标设置情况</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年实行绩效目标管理的项目</w:t>
      </w: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个，涉及资金</w:t>
      </w:r>
      <w:r>
        <w:rPr>
          <w:rFonts w:hint="eastAsia" w:ascii="仿宋" w:hAnsi="仿宋" w:eastAsia="仿宋" w:cs="仿宋"/>
          <w:sz w:val="32"/>
          <w:szCs w:val="32"/>
          <w:lang w:val="en-US" w:eastAsia="zh-CN"/>
        </w:rPr>
        <w:t>321.81</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，其中：</w:t>
      </w:r>
    </w:p>
    <w:p>
      <w:pPr>
        <w:spacing w:line="600" w:lineRule="exact"/>
        <w:ind w:firstLine="640" w:firstLineChars="200"/>
        <w:rPr>
          <w:rFonts w:ascii="楷体" w:hAnsi="楷体" w:eastAsia="楷体" w:cs="楷体"/>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项目</w:t>
      </w:r>
      <w:r>
        <w:rPr>
          <w:rFonts w:hint="eastAsia" w:ascii="仿宋" w:hAnsi="仿宋" w:eastAsia="仿宋" w:cs="仿宋"/>
          <w:b w:val="0"/>
          <w:bCs w:val="0"/>
          <w:color w:val="000000" w:themeColor="text1"/>
          <w:sz w:val="32"/>
          <w:szCs w:val="32"/>
          <w:lang w:val="en-US" w:eastAsia="zh-CN"/>
          <w14:textFill>
            <w14:solidFill>
              <w14:schemeClr w14:val="tx1"/>
            </w14:solidFill>
          </w14:textFill>
        </w:rPr>
        <w:t>名称</w:t>
      </w:r>
      <w:r>
        <w:rPr>
          <w:rFonts w:hint="eastAsia" w:ascii="仿宋" w:hAnsi="仿宋" w:eastAsia="仿宋" w:cs="仿宋"/>
          <w:b w:val="0"/>
          <w:bCs w:val="0"/>
          <w:color w:val="000000" w:themeColor="text1"/>
          <w:sz w:val="32"/>
          <w:szCs w:val="32"/>
          <w14:textFill>
            <w14:solidFill>
              <w14:schemeClr w14:val="tx1"/>
            </w14:solidFill>
          </w14:textFill>
        </w:rPr>
        <w:t>：编写出版兴国党史通讯、中国共产党兴国历史第三卷编撰费、第三轮县志编撰费</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1.项目概述：编写出版兴国党史通讯、编撰中国共产党兴国历史第三卷、编撰第三轮县志</w:t>
      </w:r>
      <w:r>
        <w:rPr>
          <w:rFonts w:hint="eastAsia" w:ascii="仿宋" w:hAnsi="仿宋" w:eastAsia="仿宋" w:cs="仿宋"/>
          <w:color w:val="000000" w:themeColor="text1"/>
          <w:sz w:val="32"/>
          <w:szCs w:val="32"/>
          <w:lang w:val="en-US" w:eastAsia="zh-CN"/>
          <w14:textFill>
            <w14:solidFill>
              <w14:schemeClr w14:val="tx1"/>
            </w14:solidFill>
          </w14:textFill>
        </w:rPr>
        <w:t>共计66</w:t>
      </w:r>
      <w:r>
        <w:rPr>
          <w:rFonts w:hint="eastAsia" w:ascii="仿宋" w:hAnsi="仿宋" w:eastAsia="仿宋" w:cs="仿宋"/>
          <w:color w:val="000000" w:themeColor="text1"/>
          <w:sz w:val="32"/>
          <w:szCs w:val="32"/>
          <w14:textFill>
            <w14:solidFill>
              <w14:schemeClr w14:val="tx1"/>
            </w14:solidFill>
          </w14:textFill>
        </w:rPr>
        <w:t>万元。</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2.立项依据：相关党史、县志发展文件要求</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3.实施主体：兴国县史志研究室</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4.实施方案：编写出版兴国党史通讯、编撰中国共产党兴国历史第三卷、编撰第三轮县志。</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5.实施周期：1年</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6.年度预算安排：项目库申报金额66万元；预算批复金额    66万元</w:t>
      </w:r>
    </w:p>
    <w:p>
      <w:pPr>
        <w:spacing w:line="600" w:lineRule="exact"/>
        <w:ind w:firstLine="640" w:firstLineChars="200"/>
        <w:rPr>
          <w:rFonts w:hint="eastAsia" w:ascii="仿宋" w:hAnsi="仿宋" w:eastAsia="仿宋" w:cs="仿宋"/>
          <w:b/>
          <w:bCs/>
          <w:color w:val="auto"/>
          <w:kern w:val="2"/>
          <w:sz w:val="32"/>
          <w:szCs w:val="32"/>
          <w:u w:val="none"/>
          <w:lang w:val="en-US" w:eastAsia="zh-CN" w:bidi="ar-SA"/>
        </w:rPr>
      </w:pPr>
      <w:r>
        <w:rPr>
          <w:rFonts w:hint="eastAsia" w:ascii="仿宋" w:hAnsi="仿宋" w:eastAsia="仿宋" w:cs="仿宋"/>
          <w:color w:val="000000" w:themeColor="text1"/>
          <w:sz w:val="32"/>
          <w:szCs w:val="32"/>
          <w14:textFill>
            <w14:solidFill>
              <w14:schemeClr w14:val="tx1"/>
            </w14:solidFill>
          </w14:textFill>
        </w:rPr>
        <w:t>7.年度绩效目标：编写出版兴国党史通讯、编撰中国共产党兴国历史第三卷、编撰第三轮县志，可以让兴国人了解兴国县情、党史。</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kern w:val="2"/>
          <w:sz w:val="32"/>
          <w:szCs w:val="32"/>
          <w:u w:val="none"/>
          <w:lang w:val="en-US" w:eastAsia="zh-CN" w:bidi="ar-SA"/>
        </w:rPr>
        <w:t>（九）</w:t>
      </w:r>
      <w:r>
        <w:rPr>
          <w:rFonts w:hint="eastAsia" w:ascii="仿宋" w:hAnsi="仿宋" w:eastAsia="仿宋" w:cs="仿宋"/>
          <w:b/>
          <w:bCs/>
          <w:color w:val="auto"/>
          <w:sz w:val="32"/>
          <w:szCs w:val="32"/>
          <w:u w:val="none"/>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auto"/>
          <w:u w:val="none"/>
          <w:lang w:eastAsia="zh-CN"/>
        </w:rPr>
      </w:pPr>
      <w:r>
        <w:rPr>
          <w:rFonts w:hint="eastAsia" w:ascii="仿宋" w:hAnsi="仿宋" w:eastAsia="仿宋" w:cs="仿宋"/>
          <w:color w:val="auto"/>
          <w:sz w:val="32"/>
          <w:szCs w:val="32"/>
          <w:u w:val="none"/>
          <w:lang w:val="en-US" w:eastAsia="zh-CN"/>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2023年</w:t>
      </w:r>
      <w:r>
        <w:rPr>
          <w:rFonts w:hint="eastAsia" w:ascii="楷体" w:hAnsi="楷体" w:eastAsia="楷体" w:cs="楷体"/>
          <w:b/>
          <w:bCs/>
          <w:color w:val="auto"/>
          <w:sz w:val="32"/>
          <w:szCs w:val="32"/>
          <w:u w:val="none"/>
        </w:rPr>
        <w:t>“三公”经费预算情况说明</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年兴国县</w:t>
      </w:r>
      <w:r>
        <w:rPr>
          <w:rFonts w:hint="eastAsia" w:ascii="仿宋" w:hAnsi="仿宋" w:eastAsia="仿宋" w:cs="仿宋"/>
          <w:color w:val="auto"/>
          <w:sz w:val="32"/>
          <w:szCs w:val="32"/>
          <w:u w:val="none"/>
          <w:lang w:val="en-US" w:eastAsia="zh-CN"/>
        </w:rPr>
        <w:t>史志研究室</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3.3</w:t>
      </w:r>
      <w:r>
        <w:rPr>
          <w:rFonts w:hint="eastAsia" w:ascii="仿宋" w:hAnsi="仿宋" w:eastAsia="仿宋" w:cs="仿宋"/>
          <w:color w:val="auto"/>
          <w:sz w:val="32"/>
          <w:szCs w:val="32"/>
          <w:u w:val="none"/>
        </w:rPr>
        <w:t>万元。其中：</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万元，主要原因是：</w:t>
      </w:r>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3.3</w:t>
      </w:r>
      <w:r>
        <w:rPr>
          <w:rFonts w:hint="eastAsia" w:ascii="仿宋" w:hAnsi="仿宋" w:eastAsia="仿宋" w:cs="仿宋"/>
          <w:color w:val="auto"/>
          <w:sz w:val="32"/>
          <w:szCs w:val="32"/>
          <w:u w:val="none"/>
        </w:rPr>
        <w:t>万元，比上年</w:t>
      </w:r>
      <w:r>
        <w:rPr>
          <w:rFonts w:hint="eastAsia" w:ascii="仿宋" w:hAnsi="仿宋" w:eastAsia="仿宋" w:cs="仿宋"/>
          <w:sz w:val="32"/>
          <w:szCs w:val="32"/>
          <w:u w:val="none"/>
        </w:rPr>
        <w:t>减</w:t>
      </w:r>
      <w:r>
        <w:rPr>
          <w:rFonts w:hint="eastAsia" w:ascii="仿宋" w:hAnsi="仿宋" w:eastAsia="仿宋" w:cs="仿宋"/>
          <w:sz w:val="32"/>
          <w:szCs w:val="32"/>
          <w:u w:val="none"/>
          <w:lang w:val="en-US" w:eastAsia="zh-CN"/>
        </w:rPr>
        <w:t>6.36</w:t>
      </w:r>
      <w:r>
        <w:rPr>
          <w:rFonts w:hint="eastAsia" w:ascii="仿宋" w:hAnsi="仿宋" w:eastAsia="仿宋" w:cs="仿宋"/>
          <w:color w:val="auto"/>
          <w:sz w:val="32"/>
          <w:szCs w:val="32"/>
          <w:u w:val="none"/>
        </w:rPr>
        <w:t>万元，主要原因是：</w:t>
      </w:r>
      <w:r>
        <w:rPr>
          <w:rFonts w:hint="eastAsia" w:ascii="仿宋" w:hAnsi="仿宋" w:eastAsia="仿宋" w:cs="仿宋"/>
          <w:sz w:val="32"/>
          <w:szCs w:val="32"/>
          <w:u w:val="none"/>
          <w:lang w:val="en-US" w:eastAsia="zh-CN"/>
        </w:rPr>
        <w:t>降低接待标准</w:t>
      </w:r>
      <w:r>
        <w:rPr>
          <w:rFonts w:hint="eastAsia" w:ascii="仿宋" w:hAnsi="仿宋" w:eastAsia="仿宋" w:cs="仿宋"/>
          <w:color w:val="auto"/>
          <w:sz w:val="32"/>
          <w:szCs w:val="32"/>
          <w:u w:val="none"/>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万元，主要原因是：</w:t>
      </w:r>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万元，主要原因是</w:t>
      </w:r>
      <w:r>
        <w:rPr>
          <w:rFonts w:hint="eastAsia" w:ascii="仿宋" w:hAnsi="仿宋" w:eastAsia="仿宋" w:cs="仿宋"/>
          <w:color w:val="auto"/>
          <w:sz w:val="32"/>
          <w:szCs w:val="32"/>
          <w:u w:val="none"/>
          <w:lang w:eastAsia="zh-CN"/>
        </w:rPr>
        <w:t>：</w:t>
      </w:r>
      <w:bookmarkStart w:id="0" w:name="_GoBack"/>
      <w:bookmarkEnd w:id="0"/>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pPr>
        <w:spacing w:line="560" w:lineRule="exact"/>
        <w:jc w:val="center"/>
        <w:rPr>
          <w:rFonts w:hint="eastAsia" w:ascii="黑体" w:hAnsi="黑体" w:eastAsia="黑体" w:cs="黑体"/>
          <w:color w:val="auto"/>
          <w:sz w:val="32"/>
          <w:szCs w:val="32"/>
          <w:u w:val="none"/>
        </w:rPr>
      </w:pPr>
      <w:r>
        <w:rPr>
          <w:rFonts w:hint="eastAsia" w:ascii="黑体" w:hAnsi="黑体" w:eastAsia="黑体" w:cs="黑体"/>
          <w:b w:val="0"/>
          <w:bCs w:val="0"/>
          <w:color w:val="auto"/>
          <w:sz w:val="32"/>
          <w:szCs w:val="32"/>
          <w:u w:val="none"/>
        </w:rPr>
        <w:t>第三部分 兴国县史志研究室</w:t>
      </w:r>
      <w:r>
        <w:rPr>
          <w:rFonts w:hint="eastAsia" w:ascii="黑体" w:hAnsi="黑体" w:eastAsia="黑体" w:cs="黑体"/>
          <w:b w:val="0"/>
          <w:bCs w:val="0"/>
          <w:color w:val="auto"/>
          <w:sz w:val="32"/>
          <w:szCs w:val="32"/>
          <w:u w:val="none"/>
          <w:lang w:val="en-US" w:eastAsia="zh-CN"/>
        </w:rPr>
        <w:t>部门2023年</w:t>
      </w:r>
      <w:r>
        <w:rPr>
          <w:rFonts w:hint="eastAsia" w:ascii="黑体" w:hAnsi="黑体" w:eastAsia="黑体" w:cs="黑体"/>
          <w:b w:val="0"/>
          <w:bCs w:val="0"/>
          <w:color w:val="auto"/>
          <w:sz w:val="32"/>
          <w:szCs w:val="32"/>
          <w:u w:val="none"/>
        </w:rPr>
        <w:t>部门预算表</w:t>
      </w:r>
    </w:p>
    <w:p>
      <w:pPr>
        <w:spacing w:line="560" w:lineRule="exac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一、《收支预算总表》</w:t>
      </w:r>
      <w:r>
        <w:rPr>
          <w:rFonts w:hint="eastAsia" w:ascii="仿宋" w:hAnsi="仿宋" w:eastAsia="仿宋" w:cs="仿宋"/>
          <w:color w:val="auto"/>
          <w:sz w:val="32"/>
          <w:szCs w:val="32"/>
          <w:u w:val="none"/>
          <w:lang w:eastAsia="zh-CN"/>
        </w:rPr>
        <w:t>（见附表）</w:t>
      </w:r>
    </w:p>
    <w:p>
      <w:pPr>
        <w:pStyle w:val="3"/>
        <w:numPr>
          <w:ilvl w:val="0"/>
          <w:numId w:val="0"/>
        </w:numPr>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zh-CN" w:eastAsia="zh-CN" w:bidi="zh-CN"/>
        </w:rPr>
        <w:t>二、</w:t>
      </w:r>
      <w:r>
        <w:rPr>
          <w:rFonts w:hint="eastAsia" w:ascii="仿宋" w:hAnsi="仿宋" w:eastAsia="仿宋" w:cs="仿宋"/>
          <w:color w:val="auto"/>
          <w:sz w:val="32"/>
          <w:szCs w:val="32"/>
          <w:u w:val="none"/>
        </w:rPr>
        <w:t>《部门收入总表》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三、</w:t>
      </w:r>
      <w:r>
        <w:rPr>
          <w:rFonts w:hint="eastAsia" w:ascii="仿宋" w:hAnsi="仿宋" w:eastAsia="仿宋" w:cs="仿宋"/>
          <w:color w:val="auto"/>
          <w:sz w:val="32"/>
          <w:szCs w:val="32"/>
          <w:u w:val="none"/>
        </w:rPr>
        <w:t>《部门支出总表》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四、</w:t>
      </w:r>
      <w:r>
        <w:rPr>
          <w:rFonts w:hint="eastAsia" w:ascii="仿宋" w:hAnsi="仿宋" w:eastAsia="仿宋" w:cs="仿宋"/>
          <w:color w:val="auto"/>
          <w:sz w:val="32"/>
          <w:szCs w:val="32"/>
          <w:u w:val="none"/>
        </w:rPr>
        <w:t>《财政拨款收支总表》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五、</w:t>
      </w:r>
      <w:r>
        <w:rPr>
          <w:rFonts w:hint="eastAsia" w:ascii="仿宋" w:hAnsi="仿宋" w:eastAsia="仿宋" w:cs="仿宋"/>
          <w:color w:val="auto"/>
          <w:sz w:val="32"/>
          <w:szCs w:val="32"/>
          <w:u w:val="none"/>
        </w:rPr>
        <w:t>《一般公共预算支出表》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六、</w:t>
      </w:r>
      <w:r>
        <w:rPr>
          <w:rFonts w:hint="eastAsia" w:ascii="仿宋" w:hAnsi="仿宋" w:eastAsia="仿宋" w:cs="仿宋"/>
          <w:color w:val="auto"/>
          <w:sz w:val="32"/>
          <w:szCs w:val="32"/>
          <w:u w:val="none"/>
        </w:rPr>
        <w:t>《一般公共预算基本支出表》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七、</w:t>
      </w:r>
      <w:r>
        <w:rPr>
          <w:rFonts w:hint="eastAsia" w:ascii="仿宋" w:hAnsi="仿宋" w:eastAsia="仿宋" w:cs="仿宋"/>
          <w:color w:val="auto"/>
          <w:sz w:val="32"/>
          <w:szCs w:val="32"/>
          <w:u w:val="none"/>
        </w:rPr>
        <w:t>《一般公共预算“三公”经费支出表》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八、</w:t>
      </w:r>
      <w:r>
        <w:rPr>
          <w:rFonts w:hint="eastAsia" w:ascii="仿宋" w:hAnsi="仿宋" w:eastAsia="仿宋" w:cs="仿宋"/>
          <w:color w:val="auto"/>
          <w:sz w:val="32"/>
          <w:szCs w:val="32"/>
          <w:u w:val="none"/>
        </w:rPr>
        <w:t>《政府性基金预算支出表》</w:t>
      </w:r>
      <w:r>
        <w:rPr>
          <w:rFonts w:hint="eastAsia" w:ascii="仿宋" w:hAnsi="仿宋" w:eastAsia="仿宋" w:cs="仿宋"/>
          <w:color w:val="auto"/>
          <w:sz w:val="32"/>
          <w:szCs w:val="32"/>
          <w:u w:val="none"/>
          <w:lang w:eastAsia="zh-CN"/>
        </w:rPr>
        <w:t>（见附表）</w:t>
      </w:r>
    </w:p>
    <w:p>
      <w:pPr>
        <w:pStyle w:val="3"/>
        <w:numPr>
          <w:ilvl w:val="0"/>
          <w:numId w:val="1"/>
        </w:numPr>
        <w:rPr>
          <w:rFonts w:hint="eastAsia" w:eastAsia="仿宋"/>
          <w:color w:val="auto"/>
          <w:u w:val="none"/>
          <w:lang w:eastAsia="zh-CN"/>
        </w:rPr>
      </w:pPr>
      <w:r>
        <w:rPr>
          <w:rFonts w:hint="eastAsia" w:eastAsia="仿宋"/>
          <w:color w:val="auto"/>
          <w:u w:val="none"/>
          <w:lang w:eastAsia="zh-CN"/>
        </w:rPr>
        <w:t>《国有资本经营预算支出表》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十、</w:t>
      </w:r>
      <w:r>
        <w:rPr>
          <w:rFonts w:hint="eastAsia" w:ascii="仿宋" w:hAnsi="仿宋" w:eastAsia="仿宋" w:cs="仿宋"/>
          <w:color w:val="auto"/>
          <w:sz w:val="32"/>
          <w:szCs w:val="32"/>
          <w:u w:val="none"/>
        </w:rPr>
        <w:t>《部门整体支出绩效目标表》</w:t>
      </w: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r>
        <w:rPr>
          <w:u w:val="none"/>
        </w:rPr>
        <w:drawing>
          <wp:anchor distT="0" distB="0" distL="114300" distR="114300" simplePos="0" relativeHeight="251659264" behindDoc="0" locked="0" layoutInCell="1" allowOverlap="1">
            <wp:simplePos x="0" y="0"/>
            <wp:positionH relativeFrom="column">
              <wp:posOffset>76200</wp:posOffset>
            </wp:positionH>
            <wp:positionV relativeFrom="paragraph">
              <wp:posOffset>119380</wp:posOffset>
            </wp:positionV>
            <wp:extent cx="5267960" cy="5709285"/>
            <wp:effectExtent l="0" t="0" r="5080" b="5715"/>
            <wp:wrapNone/>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5"/>
                    <a:stretch>
                      <a:fillRect/>
                    </a:stretch>
                  </pic:blipFill>
                  <pic:spPr>
                    <a:xfrm>
                      <a:off x="0" y="0"/>
                      <a:ext cx="5267960" cy="5709285"/>
                    </a:xfrm>
                    <a:prstGeom prst="rect">
                      <a:avLst/>
                    </a:prstGeom>
                    <a:noFill/>
                    <a:ln>
                      <a:noFill/>
                    </a:ln>
                  </pic:spPr>
                </pic:pic>
              </a:graphicData>
            </a:graphic>
          </wp:anchor>
        </w:drawing>
      </w: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u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u w:val="none"/>
        </w:rPr>
      </w:pPr>
      <w:r>
        <w:rPr>
          <w:rFonts w:hint="eastAsia" w:ascii="仿宋" w:hAnsi="仿宋" w:eastAsia="仿宋" w:cs="仿宋"/>
          <w:color w:val="auto"/>
          <w:kern w:val="2"/>
          <w:sz w:val="32"/>
          <w:szCs w:val="32"/>
          <w:u w:val="none"/>
          <w:lang w:val="en-US" w:eastAsia="zh-CN" w:bidi="ar-SA"/>
        </w:rPr>
        <w:t>十一、</w:t>
      </w:r>
      <w:r>
        <w:rPr>
          <w:rFonts w:hint="eastAsia" w:ascii="仿宋" w:hAnsi="仿宋" w:eastAsia="仿宋" w:cs="仿宋"/>
          <w:color w:val="auto"/>
          <w:sz w:val="32"/>
          <w:szCs w:val="32"/>
          <w:u w:val="none"/>
        </w:rPr>
        <w:t>《项目支出绩效目标表》</w:t>
      </w:r>
    </w:p>
    <w:p>
      <w:pPr>
        <w:pStyle w:val="3"/>
        <w:numPr>
          <w:ilvl w:val="0"/>
          <w:numId w:val="0"/>
        </w:numPr>
        <w:ind w:leftChars="0"/>
        <w:rPr>
          <w:color w:val="auto"/>
          <w:u w:val="none"/>
        </w:rPr>
      </w:pPr>
      <w:r>
        <w:rPr>
          <w:rFonts w:hint="eastAsia" w:ascii="黑体" w:hAnsi="黑体" w:eastAsia="黑体" w:cs="黑体"/>
          <w:b w:val="0"/>
          <w:bCs w:val="0"/>
          <w:sz w:val="32"/>
          <w:szCs w:val="32"/>
          <w:u w:val="none"/>
        </w:rPr>
        <w:object>
          <v:shape id="_x0000_i1025" o:spt="75" type="#_x0000_t75" style="height:463.35pt;width:415.1pt;" o:ole="t" filled="f" o:preferrelative="t" stroked="f" coordsize="21600,21600">
            <v:path/>
            <v:fill on="f" focussize="0,0"/>
            <v:stroke on="f"/>
            <v:imagedata r:id="rId7" o:title=""/>
            <o:lock v:ext="edit" aspectratio="f"/>
            <w10:wrap type="none"/>
            <w10:anchorlock/>
          </v:shape>
          <o:OLEObject Type="Embed" ProgID="Excel.SheetBinaryMacroEnabled.12" ShapeID="_x0000_i1025" DrawAspect="Content" ObjectID="_1468075725" r:id="rId6">
            <o:LockedField>false</o:LockedField>
          </o:OLEObject>
        </w:object>
      </w:r>
    </w:p>
    <w:p>
      <w:pPr>
        <w:pStyle w:val="3"/>
        <w:numPr>
          <w:ilvl w:val="0"/>
          <w:numId w:val="0"/>
        </w:numPr>
        <w:ind w:leftChars="0"/>
        <w:rPr>
          <w:color w:val="auto"/>
          <w:u w:val="none"/>
        </w:rPr>
      </w:pPr>
    </w:p>
    <w:p>
      <w:pPr>
        <w:pStyle w:val="3"/>
        <w:numPr>
          <w:ilvl w:val="0"/>
          <w:numId w:val="0"/>
        </w:numPr>
        <w:ind w:leftChars="0"/>
        <w:rPr>
          <w:color w:val="auto"/>
          <w:u w:val="none"/>
        </w:rPr>
      </w:pPr>
    </w:p>
    <w:p>
      <w:pPr>
        <w:pStyle w:val="3"/>
        <w:numPr>
          <w:ilvl w:val="0"/>
          <w:numId w:val="0"/>
        </w:numPr>
        <w:ind w:leftChars="0"/>
        <w:rPr>
          <w:color w:val="auto"/>
          <w:u w:val="none"/>
        </w:rPr>
      </w:pPr>
    </w:p>
    <w:p>
      <w:pPr>
        <w:pStyle w:val="3"/>
        <w:numPr>
          <w:ilvl w:val="0"/>
          <w:numId w:val="0"/>
        </w:numPr>
        <w:ind w:leftChars="0"/>
        <w:rPr>
          <w:color w:val="auto"/>
          <w:u w:val="none"/>
        </w:rPr>
      </w:pPr>
    </w:p>
    <w:p>
      <w:pPr>
        <w:pStyle w:val="3"/>
        <w:numPr>
          <w:ilvl w:val="0"/>
          <w:numId w:val="0"/>
        </w:numPr>
        <w:ind w:leftChars="0"/>
        <w:rPr>
          <w:color w:val="auto"/>
          <w:u w:val="none"/>
        </w:rPr>
      </w:pPr>
    </w:p>
    <w:p>
      <w:pPr>
        <w:pStyle w:val="3"/>
        <w:numPr>
          <w:ilvl w:val="0"/>
          <w:numId w:val="0"/>
        </w:numPr>
        <w:ind w:leftChars="0"/>
        <w:rPr>
          <w:color w:val="auto"/>
          <w:u w:val="none"/>
        </w:rPr>
      </w:pPr>
    </w:p>
    <w:p>
      <w:pPr>
        <w:spacing w:line="560" w:lineRule="exact"/>
        <w:ind w:firstLine="0" w:firstLineChars="0"/>
        <w:jc w:val="center"/>
        <w:rPr>
          <w:rFonts w:hint="eastAsia" w:ascii="黑体" w:hAnsi="黑体" w:eastAsia="黑体" w:cs="黑体"/>
          <w:b w:val="0"/>
          <w:bCs w:val="0"/>
          <w:color w:val="auto"/>
          <w:sz w:val="32"/>
          <w:szCs w:val="32"/>
          <w:u w:val="none"/>
        </w:rPr>
      </w:pPr>
    </w:p>
    <w:p>
      <w:pPr>
        <w:spacing w:line="560" w:lineRule="exact"/>
        <w:ind w:firstLine="0" w:firstLineChars="0"/>
        <w:jc w:val="center"/>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名词解释</w:t>
      </w:r>
    </w:p>
    <w:p>
      <w:pPr>
        <w:spacing w:line="560" w:lineRule="exact"/>
        <w:ind w:firstLine="604" w:firstLineChars="189"/>
        <w:jc w:val="center"/>
        <w:rPr>
          <w:rFonts w:ascii="仿宋" w:hAnsi="仿宋" w:eastAsia="仿宋" w:cs="仿宋"/>
          <w:color w:val="auto"/>
          <w:sz w:val="32"/>
          <w:szCs w:val="32"/>
          <w:u w:val="none"/>
        </w:rPr>
      </w:pPr>
    </w:p>
    <w:p>
      <w:pPr>
        <w:spacing w:line="560" w:lineRule="exact"/>
        <w:ind w:firstLine="643" w:firstLineChars="200"/>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年收支差额的数额。</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pPr>
        <w:rPr>
          <w:color w:val="auto"/>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3FD764A-3364-4A59-ABCA-6DE8AD2C7D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27AB2FB4-98B2-4F31-BDC3-BBCB0E7398A8}"/>
  </w:font>
  <w:font w:name="仿宋">
    <w:panose1 w:val="02010609060101010101"/>
    <w:charset w:val="86"/>
    <w:family w:val="auto"/>
    <w:pitch w:val="default"/>
    <w:sig w:usb0="800002BF" w:usb1="38CF7CFA" w:usb2="00000016" w:usb3="00000000" w:csb0="00040001" w:csb1="00000000"/>
    <w:embedRegular r:id="rId3" w:fontKey="{E3D972CC-DED4-4867-851C-E872E0D5D773}"/>
  </w:font>
  <w:font w:name="楷体">
    <w:panose1 w:val="02010609060101010101"/>
    <w:charset w:val="86"/>
    <w:family w:val="auto"/>
    <w:pitch w:val="default"/>
    <w:sig w:usb0="800002BF" w:usb1="38CF7CFA" w:usb2="00000016" w:usb3="00000000" w:csb0="00040001" w:csb1="00000000"/>
    <w:embedRegular r:id="rId4" w:fontKey="{968AE913-3962-4100-88EB-62140B6C48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3D6656"/>
    <w:rsid w:val="00C43473"/>
    <w:rsid w:val="04EE7A30"/>
    <w:rsid w:val="085E7E32"/>
    <w:rsid w:val="131E2317"/>
    <w:rsid w:val="13FB7F2B"/>
    <w:rsid w:val="150775E9"/>
    <w:rsid w:val="16AD73C2"/>
    <w:rsid w:val="1776616A"/>
    <w:rsid w:val="19B4308D"/>
    <w:rsid w:val="19CF11C0"/>
    <w:rsid w:val="1A690816"/>
    <w:rsid w:val="1D4F53F8"/>
    <w:rsid w:val="27B0758A"/>
    <w:rsid w:val="27CC37FF"/>
    <w:rsid w:val="326D79FF"/>
    <w:rsid w:val="327148A8"/>
    <w:rsid w:val="35B51550"/>
    <w:rsid w:val="397C662C"/>
    <w:rsid w:val="3A4013F4"/>
    <w:rsid w:val="3A9D09A0"/>
    <w:rsid w:val="3AC67D62"/>
    <w:rsid w:val="3BB52F69"/>
    <w:rsid w:val="3F5F2902"/>
    <w:rsid w:val="3FFE2FA6"/>
    <w:rsid w:val="4023271D"/>
    <w:rsid w:val="43557B07"/>
    <w:rsid w:val="445E02C8"/>
    <w:rsid w:val="448B7F7A"/>
    <w:rsid w:val="4AF56EDE"/>
    <w:rsid w:val="4E4A7541"/>
    <w:rsid w:val="4E654842"/>
    <w:rsid w:val="55346855"/>
    <w:rsid w:val="56A95021"/>
    <w:rsid w:val="5B653F38"/>
    <w:rsid w:val="5BB27B74"/>
    <w:rsid w:val="5C6E089F"/>
    <w:rsid w:val="5C7D7D16"/>
    <w:rsid w:val="63AD6150"/>
    <w:rsid w:val="648810E6"/>
    <w:rsid w:val="648844C8"/>
    <w:rsid w:val="64BB74F1"/>
    <w:rsid w:val="66976C44"/>
    <w:rsid w:val="6C052187"/>
    <w:rsid w:val="6FFB2CD9"/>
    <w:rsid w:val="71724DA6"/>
    <w:rsid w:val="7458022D"/>
    <w:rsid w:val="76D000E6"/>
    <w:rsid w:val="777918E5"/>
    <w:rsid w:val="798528CC"/>
    <w:rsid w:val="7B2D4DE4"/>
    <w:rsid w:val="7C1128B7"/>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annotation text"/>
    <w:basedOn w:val="1"/>
    <w:uiPriority w:val="0"/>
    <w:pPr>
      <w:jc w:val="left"/>
    </w:pPr>
  </w:style>
  <w:style w:type="paragraph" w:styleId="5">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3433</Words>
  <Characters>3754</Characters>
  <Lines>0</Lines>
  <Paragraphs>0</Paragraphs>
  <TotalTime>4</TotalTime>
  <ScaleCrop>false</ScaleCrop>
  <LinksUpToDate>false</LinksUpToDate>
  <CharactersWithSpaces>3775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2024-05-30T08:14:47Z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8E5A23E5E4D449EC838670AEF5691517_13</vt:lpwstr>
  </property>
</Properties>
</file>