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兴国县文化广电新闻出版旅游</w:t>
      </w:r>
      <w:r>
        <w:rPr>
          <w:rFonts w:hint="eastAsia" w:ascii="方正小标宋简体" w:hAnsi="方正小标宋简体" w:eastAsia="方正小标宋简体" w:cs="方正小标宋简体"/>
          <w:b w:val="0"/>
          <w:bCs/>
          <w:color w:val="auto"/>
          <w:sz w:val="44"/>
          <w:szCs w:val="44"/>
        </w:rPr>
        <w:t>局</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文化广电新闻出版旅游局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文化广电新闻出版旅游局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文化广电新闻出版旅游局</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eastAsia="仿宋"/>
          <w:color w:val="auto"/>
          <w:lang w:val="en-US" w:eastAsia="zh-CN"/>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十、《部门整体支出绩效目标表》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文化广电新闻出版旅游局</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8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兴国县文化广电新闻出版旅游局是主管全县文化艺术、广播影视、新闻出版、文物遗产、旅游等工作的县政府工作部门。</w:t>
      </w:r>
      <w:r>
        <w:rPr>
          <w:rFonts w:ascii="仿宋" w:hAnsi="仿宋" w:eastAsia="仿宋"/>
          <w:color w:val="auto"/>
          <w:sz w:val="30"/>
          <w:szCs w:val="30"/>
        </w:rPr>
        <w:t xml:space="preserve"> </w:t>
      </w:r>
    </w:p>
    <w:p>
      <w:pPr>
        <w:spacing w:line="580" w:lineRule="exact"/>
        <w:ind w:firstLine="600" w:firstLineChars="200"/>
        <w:rPr>
          <w:color w:val="auto"/>
        </w:rPr>
      </w:pPr>
      <w:r>
        <w:rPr>
          <w:rFonts w:hint="eastAsia" w:ascii="仿宋" w:hAnsi="仿宋" w:eastAsia="仿宋"/>
          <w:color w:val="auto"/>
          <w:sz w:val="30"/>
          <w:szCs w:val="30"/>
        </w:rPr>
        <w:t>202</w:t>
      </w:r>
      <w:r>
        <w:rPr>
          <w:rFonts w:hint="eastAsia" w:ascii="仿宋" w:hAnsi="仿宋" w:eastAsia="仿宋"/>
          <w:color w:val="auto"/>
          <w:sz w:val="30"/>
          <w:szCs w:val="30"/>
          <w:lang w:val="en-US" w:eastAsia="zh-CN"/>
        </w:rPr>
        <w:t>3</w:t>
      </w:r>
      <w:r>
        <w:rPr>
          <w:rFonts w:hint="eastAsia" w:ascii="仿宋" w:hAnsi="仿宋" w:eastAsia="仿宋"/>
          <w:color w:val="auto"/>
          <w:sz w:val="30"/>
          <w:szCs w:val="30"/>
        </w:rPr>
        <w:t>年我局在县委、县政府的正确领导和县人大常委会的关心支持、监督指导下，继续积极抢抓赣南苏区振兴发展机遇，以“建设红色文化传承发展模范县”为目标，努力提升文广新旅部门服务群众的能力，稳步推进文广旅事业建设，扎实抓好文广产业发展，全力完成县委、县政府和县人大布置的任务。</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hint="eastAsia" w:ascii="仿宋" w:hAnsi="仿宋" w:eastAsia="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兴国县文广新旅局</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4</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县文广新旅局本级、</w:t>
      </w:r>
      <w:r>
        <w:rPr>
          <w:rFonts w:hint="eastAsia" w:ascii="仿宋" w:hAnsi="仿宋" w:eastAsia="仿宋"/>
          <w:color w:val="auto"/>
          <w:sz w:val="30"/>
          <w:szCs w:val="30"/>
        </w:rPr>
        <w:t>县文化馆、县图书馆</w:t>
      </w:r>
      <w:r>
        <w:rPr>
          <w:rFonts w:hint="eastAsia" w:ascii="仿宋" w:hAnsi="仿宋" w:eastAsia="仿宋"/>
          <w:color w:val="auto"/>
          <w:sz w:val="30"/>
          <w:szCs w:val="30"/>
          <w:lang w:eastAsia="zh-CN"/>
        </w:rPr>
        <w:t>、县文化旅游融合发展中心</w:t>
      </w:r>
      <w:r>
        <w:rPr>
          <w:rFonts w:hint="eastAsia" w:ascii="仿宋" w:hAnsi="仿宋" w:eastAsia="仿宋"/>
          <w:color w:val="auto"/>
          <w:sz w:val="30"/>
          <w:szCs w:val="30"/>
          <w:lang w:val="en-US" w:eastAsia="zh-CN"/>
        </w:rPr>
        <w:t>4</w:t>
      </w:r>
      <w:r>
        <w:rPr>
          <w:rFonts w:hint="eastAsia" w:ascii="仿宋" w:hAnsi="仿宋" w:eastAsia="仿宋"/>
          <w:color w:val="auto"/>
          <w:sz w:val="30"/>
          <w:szCs w:val="30"/>
        </w:rPr>
        <w:t>个单位</w:t>
      </w:r>
      <w:r>
        <w:rPr>
          <w:rFonts w:hint="eastAsia" w:ascii="仿宋" w:hAnsi="仿宋" w:eastAsia="仿宋"/>
          <w:color w:val="auto"/>
          <w:sz w:val="30"/>
          <w:szCs w:val="30"/>
          <w:lang w:eastAsia="zh-CN"/>
        </w:rPr>
        <w:t>。</w:t>
      </w:r>
    </w:p>
    <w:p>
      <w:pPr>
        <w:spacing w:line="560" w:lineRule="exact"/>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79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7</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72</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79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79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7</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72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100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4</w:t>
      </w:r>
      <w:r>
        <w:rPr>
          <w:rFonts w:ascii="仿宋" w:hAnsi="仿宋" w:eastAsia="仿宋"/>
          <w:color w:val="auto"/>
          <w:sz w:val="32"/>
          <w:szCs w:val="32"/>
        </w:rPr>
        <w:t>人。</w:t>
      </w:r>
      <w:r>
        <w:rPr>
          <w:color w:val="auto"/>
        </w:rPr>
        <w:fldChar w:fldCharType="end"/>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文化广电新闻出版旅游局</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eastAsia="zh-CN"/>
        </w:rPr>
        <w:t>４４９７．７４</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13.09</w:t>
      </w:r>
      <w:r>
        <w:rPr>
          <w:rFonts w:hint="eastAsia" w:ascii="仿宋" w:hAnsi="仿宋" w:eastAsia="仿宋" w:cs="仿宋"/>
          <w:color w:val="auto"/>
          <w:sz w:val="32"/>
          <w:szCs w:val="32"/>
          <w:lang w:eastAsia="zh-CN"/>
        </w:rPr>
        <w:t>万元，减</w:t>
      </w:r>
      <w:r>
        <w:rPr>
          <w:rFonts w:hint="eastAsia" w:ascii="仿宋" w:hAnsi="仿宋" w:eastAsia="仿宋" w:cs="仿宋"/>
          <w:color w:val="auto"/>
          <w:sz w:val="32"/>
          <w:szCs w:val="32"/>
          <w:lang w:val="en-US" w:eastAsia="zh-CN"/>
        </w:rPr>
        <w:t>0.29%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增减变化主要原因是：本年无上年结转（结余）。</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eastAsia="zh-CN"/>
        </w:rPr>
        <w:t>财政拨款收入</w:t>
      </w:r>
      <w:r>
        <w:rPr>
          <w:rFonts w:hint="eastAsia" w:ascii="仿宋" w:hAnsi="仿宋" w:eastAsia="仿宋" w:cs="仿宋"/>
          <w:color w:val="auto"/>
          <w:sz w:val="32"/>
          <w:szCs w:val="32"/>
          <w:lang w:eastAsia="zh-CN"/>
        </w:rPr>
        <w:t>１２４１．２８</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23.27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事业</w:t>
      </w:r>
      <w:r>
        <w:rPr>
          <w:rFonts w:hint="eastAsia" w:ascii="仿宋" w:hAnsi="仿宋" w:eastAsia="仿宋" w:cs="仿宋"/>
          <w:color w:val="auto"/>
          <w:sz w:val="32"/>
          <w:szCs w:val="32"/>
        </w:rPr>
        <w:t>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；经营收入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其他收入３２５６．４６万元，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１４４９．１５万元，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上级补助</w:t>
      </w:r>
      <w:r>
        <w:rPr>
          <w:rFonts w:hint="eastAsia" w:ascii="仿宋" w:hAnsi="仿宋" w:eastAsia="仿宋" w:cs="仿宋"/>
          <w:color w:val="auto"/>
          <w:sz w:val="32"/>
          <w:szCs w:val="32"/>
        </w:rPr>
        <w:t>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198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上年结转（结余）</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1287.51</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eastAsia="zh-CN"/>
        </w:rPr>
        <w:t>４４９７．７４</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13.09</w:t>
      </w:r>
      <w:r>
        <w:rPr>
          <w:rFonts w:hint="eastAsia" w:ascii="仿宋" w:hAnsi="仿宋" w:eastAsia="仿宋" w:cs="仿宋"/>
          <w:color w:val="auto"/>
          <w:sz w:val="32"/>
          <w:szCs w:val="32"/>
          <w:lang w:eastAsia="zh-CN"/>
        </w:rPr>
        <w:t>万元，减</w:t>
      </w:r>
      <w:r>
        <w:rPr>
          <w:rFonts w:hint="eastAsia" w:ascii="仿宋" w:hAnsi="仿宋" w:eastAsia="仿宋" w:cs="仿宋"/>
          <w:color w:val="auto"/>
          <w:sz w:val="32"/>
          <w:szCs w:val="32"/>
          <w:lang w:val="en-US" w:eastAsia="zh-CN"/>
        </w:rPr>
        <w:t>0.29%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增减变化主要原因是：项目经费减少。</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eastAsia="zh-CN"/>
        </w:rPr>
        <w:t>１１５８．４４</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110.87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仿宋_GB2312" w:eastAsia="仿宋_GB2312"/>
          <w:color w:val="auto"/>
          <w:sz w:val="32"/>
          <w:szCs w:val="32"/>
        </w:rPr>
        <w:t>工资福利支出</w:t>
      </w:r>
      <w:r>
        <w:rPr>
          <w:rFonts w:hint="eastAsia" w:ascii="仿宋_GB2312" w:eastAsia="仿宋_GB2312"/>
          <w:color w:val="auto"/>
          <w:sz w:val="32"/>
          <w:szCs w:val="32"/>
          <w:lang w:val="en-US" w:eastAsia="zh-CN"/>
        </w:rPr>
        <w:t>１０６６．３９</w:t>
      </w:r>
      <w:r>
        <w:rPr>
          <w:rFonts w:hint="eastAsia" w:ascii="仿宋_GB2312" w:eastAsia="仿宋_GB2312"/>
          <w:color w:val="auto"/>
          <w:sz w:val="32"/>
          <w:szCs w:val="32"/>
        </w:rPr>
        <w:t>万元、商品和服务支出</w:t>
      </w:r>
      <w:r>
        <w:rPr>
          <w:rFonts w:hint="eastAsia" w:ascii="仿宋_GB2312" w:eastAsia="仿宋_GB2312"/>
          <w:color w:val="auto"/>
          <w:sz w:val="32"/>
          <w:szCs w:val="32"/>
          <w:lang w:val="en-US" w:eastAsia="zh-CN"/>
        </w:rPr>
        <w:t>７１．５６</w:t>
      </w:r>
      <w:r>
        <w:rPr>
          <w:rFonts w:hint="eastAsia" w:ascii="仿宋_GB2312" w:eastAsia="仿宋_GB2312"/>
          <w:color w:val="auto"/>
          <w:sz w:val="32"/>
          <w:szCs w:val="32"/>
        </w:rPr>
        <w:t>万元、对个人和家庭的补助支出</w:t>
      </w:r>
      <w:r>
        <w:rPr>
          <w:rFonts w:hint="eastAsia" w:ascii="仿宋_GB2312" w:eastAsia="仿宋_GB2312"/>
          <w:color w:val="auto"/>
          <w:sz w:val="32"/>
          <w:szCs w:val="32"/>
          <w:lang w:val="en-US" w:eastAsia="zh-CN"/>
        </w:rPr>
        <w:t>１８．２０</w:t>
      </w:r>
      <w:r>
        <w:rPr>
          <w:rFonts w:hint="eastAsia" w:ascii="仿宋_GB2312" w:eastAsia="仿宋_GB2312"/>
          <w:color w:val="auto"/>
          <w:sz w:val="32"/>
          <w:szCs w:val="32"/>
        </w:rPr>
        <w:t>万元</w:t>
      </w:r>
      <w:r>
        <w:rPr>
          <w:rFonts w:hint="eastAsia" w:ascii="仿宋_GB2312" w:eastAsia="仿宋_GB2312"/>
          <w:color w:val="auto"/>
          <w:sz w:val="32"/>
          <w:szCs w:val="32"/>
          <w:lang w:eastAsia="zh-CN"/>
        </w:rPr>
        <w:t>、其他资本性支出</w:t>
      </w:r>
      <w:r>
        <w:rPr>
          <w:rFonts w:hint="eastAsia" w:ascii="仿宋_GB2312" w:eastAsia="仿宋_GB2312"/>
          <w:color w:val="auto"/>
          <w:sz w:val="32"/>
          <w:szCs w:val="32"/>
          <w:lang w:val="en-US" w:eastAsia="zh-CN"/>
        </w:rPr>
        <w:t>２．３０万元；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eastAsia="zh-CN"/>
        </w:rPr>
        <w:t>３３３９．３０</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123.96</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lang w:val="en-US" w:eastAsia="zh-CN"/>
        </w:rPr>
        <w:t>，</w:t>
      </w:r>
      <w:r>
        <w:rPr>
          <w:rFonts w:hint="eastAsia" w:ascii="仿宋" w:hAnsi="仿宋" w:eastAsia="仿宋" w:cs="仿宋"/>
          <w:color w:val="auto"/>
          <w:sz w:val="30"/>
          <w:szCs w:val="30"/>
          <w:lang w:eastAsia="zh-CN"/>
        </w:rPr>
        <w:t>其中：</w:t>
      </w:r>
      <w:r>
        <w:rPr>
          <w:rFonts w:hint="eastAsia" w:ascii="仿宋_GB2312" w:eastAsia="仿宋_GB2312"/>
          <w:color w:val="auto"/>
          <w:sz w:val="32"/>
          <w:szCs w:val="32"/>
          <w:lang w:eastAsia="zh-CN"/>
        </w:rPr>
        <w:t>其他运转类３２５１．５</w:t>
      </w:r>
      <w:r>
        <w:rPr>
          <w:rFonts w:hint="eastAsia" w:ascii="仿宋_GB2312" w:eastAsia="仿宋_GB2312"/>
          <w:color w:val="auto"/>
          <w:sz w:val="32"/>
          <w:szCs w:val="32"/>
        </w:rPr>
        <w:t>万元、</w:t>
      </w:r>
      <w:r>
        <w:rPr>
          <w:rFonts w:hint="eastAsia" w:ascii="仿宋_GB2312" w:eastAsia="仿宋_GB2312"/>
          <w:color w:val="auto"/>
          <w:sz w:val="32"/>
          <w:szCs w:val="32"/>
          <w:lang w:eastAsia="zh-CN"/>
        </w:rPr>
        <w:t>特定目标类８７．８</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p>
    <w:p>
      <w:pPr>
        <w:spacing w:line="560" w:lineRule="exact"/>
        <w:ind w:firstLine="600" w:firstLineChars="200"/>
        <w:rPr>
          <w:rFonts w:ascii="仿宋_GB2312" w:eastAsia="仿宋_GB2312"/>
          <w:color w:val="auto"/>
          <w:sz w:val="32"/>
          <w:szCs w:val="32"/>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文化旅游游体育与传媒</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934.02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1404.19</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；社会保障和就业</w:t>
      </w:r>
      <w:r>
        <w:rPr>
          <w:rFonts w:hint="eastAsia" w:ascii="仿宋_GB2312" w:eastAsia="仿宋_GB2312"/>
          <w:color w:val="auto"/>
          <w:sz w:val="32"/>
          <w:szCs w:val="32"/>
          <w:lang w:val="en-US" w:eastAsia="zh-CN"/>
        </w:rPr>
        <w:t>166.02</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28.47</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；卫生</w:t>
      </w:r>
      <w:r>
        <w:rPr>
          <w:rFonts w:hint="eastAsia" w:ascii="仿宋_GB2312" w:eastAsia="仿宋_GB2312"/>
          <w:color w:val="auto"/>
          <w:sz w:val="32"/>
          <w:szCs w:val="32"/>
          <w:lang w:eastAsia="zh-CN"/>
        </w:rPr>
        <w:t>健康</w:t>
      </w:r>
      <w:r>
        <w:rPr>
          <w:rFonts w:hint="eastAsia" w:ascii="仿宋_GB2312" w:eastAsia="仿宋_GB2312"/>
          <w:color w:val="auto"/>
          <w:sz w:val="32"/>
          <w:szCs w:val="32"/>
        </w:rPr>
        <w:t>支出</w:t>
      </w:r>
      <w:r>
        <w:rPr>
          <w:rFonts w:hint="eastAsia" w:ascii="仿宋_GB2312" w:eastAsia="仿宋_GB2312"/>
          <w:color w:val="auto"/>
          <w:sz w:val="32"/>
          <w:szCs w:val="32"/>
          <w:lang w:val="en-US" w:eastAsia="zh-CN"/>
        </w:rPr>
        <w:t>94.42</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31.49</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；住房保障支出</w:t>
      </w:r>
      <w:r>
        <w:rPr>
          <w:rFonts w:hint="eastAsia" w:ascii="仿宋_GB2312" w:eastAsia="仿宋_GB2312"/>
          <w:color w:val="auto"/>
          <w:sz w:val="32"/>
          <w:szCs w:val="32"/>
          <w:lang w:val="en-US" w:eastAsia="zh-CN"/>
        </w:rPr>
        <w:t>93.28</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5.56</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lang w:eastAsia="zh-CN"/>
        </w:rPr>
        <w:t>；其他支出</w:t>
      </w:r>
      <w:r>
        <w:rPr>
          <w:rFonts w:hint="eastAsia" w:ascii="仿宋_GB2312" w:eastAsia="仿宋_GB2312"/>
          <w:color w:val="auto"/>
          <w:sz w:val="32"/>
          <w:szCs w:val="32"/>
          <w:lang w:val="en-US" w:eastAsia="zh-CN"/>
        </w:rPr>
        <w:t>3210</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_GB2312" w:eastAsia="仿宋_GB2312"/>
          <w:color w:val="auto"/>
          <w:sz w:val="32"/>
          <w:szCs w:val="32"/>
          <w:lang w:val="en-US" w:eastAsia="zh-CN"/>
        </w:rPr>
        <w:t>1399.68</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1241.28</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27.60</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23.27</w:t>
      </w:r>
      <w:r>
        <w:rPr>
          <w:rFonts w:hint="eastAsia" w:ascii="仿宋" w:hAnsi="仿宋" w:eastAsia="仿宋" w:cs="仿宋"/>
          <w:color w:val="auto"/>
          <w:sz w:val="32"/>
          <w:szCs w:val="32"/>
          <w:lang w:eastAsia="zh-CN"/>
        </w:rPr>
        <w:t>万元，增</w:t>
      </w:r>
      <w:r>
        <w:rPr>
          <w:rFonts w:hint="eastAsia" w:ascii="仿宋" w:hAnsi="仿宋" w:eastAsia="仿宋" w:cs="仿宋"/>
          <w:color w:val="auto"/>
          <w:sz w:val="32"/>
          <w:szCs w:val="32"/>
          <w:lang w:val="en-US" w:eastAsia="zh-CN"/>
        </w:rPr>
        <w:t>1.91%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增减变化主要原因是：基本支出增加。</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auto"/>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1111.98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86.96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其中：其中：</w:t>
      </w:r>
      <w:r>
        <w:rPr>
          <w:rFonts w:hint="eastAsia" w:ascii="仿宋_GB2312" w:eastAsia="仿宋_GB2312"/>
          <w:color w:val="auto"/>
          <w:sz w:val="32"/>
          <w:szCs w:val="32"/>
        </w:rPr>
        <w:t>工资福利支出</w:t>
      </w:r>
      <w:r>
        <w:rPr>
          <w:rFonts w:hint="eastAsia" w:ascii="仿宋_GB2312" w:eastAsia="仿宋_GB2312"/>
          <w:color w:val="auto"/>
          <w:sz w:val="32"/>
          <w:szCs w:val="32"/>
          <w:lang w:val="en-US" w:eastAsia="zh-CN"/>
        </w:rPr>
        <w:t>1019.93</w:t>
      </w:r>
      <w:r>
        <w:rPr>
          <w:rFonts w:hint="eastAsia" w:ascii="仿宋_GB2312" w:eastAsia="仿宋_GB2312"/>
          <w:color w:val="auto"/>
          <w:sz w:val="32"/>
          <w:szCs w:val="32"/>
        </w:rPr>
        <w:t>万元、商品和服务支出</w:t>
      </w:r>
      <w:r>
        <w:rPr>
          <w:rFonts w:hint="eastAsia" w:ascii="仿宋_GB2312" w:eastAsia="仿宋_GB2312"/>
          <w:color w:val="auto"/>
          <w:sz w:val="32"/>
          <w:szCs w:val="32"/>
          <w:lang w:val="en-US" w:eastAsia="zh-CN"/>
        </w:rPr>
        <w:t>７１．５６</w:t>
      </w:r>
      <w:r>
        <w:rPr>
          <w:rFonts w:hint="eastAsia" w:ascii="仿宋_GB2312" w:eastAsia="仿宋_GB2312"/>
          <w:color w:val="auto"/>
          <w:sz w:val="32"/>
          <w:szCs w:val="32"/>
        </w:rPr>
        <w:t>万元、对个人和家庭的补助支出</w:t>
      </w:r>
      <w:r>
        <w:rPr>
          <w:rFonts w:hint="eastAsia" w:ascii="仿宋_GB2312" w:eastAsia="仿宋_GB2312"/>
          <w:color w:val="auto"/>
          <w:sz w:val="32"/>
          <w:szCs w:val="32"/>
          <w:lang w:val="en-US" w:eastAsia="zh-CN"/>
        </w:rPr>
        <w:t>１８．２０</w:t>
      </w:r>
      <w:r>
        <w:rPr>
          <w:rFonts w:hint="eastAsia" w:ascii="仿宋_GB2312" w:eastAsia="仿宋_GB2312"/>
          <w:color w:val="auto"/>
          <w:sz w:val="32"/>
          <w:szCs w:val="32"/>
        </w:rPr>
        <w:t>万元</w:t>
      </w:r>
      <w:r>
        <w:rPr>
          <w:rFonts w:hint="eastAsia" w:ascii="仿宋_GB2312" w:eastAsia="仿宋_GB2312"/>
          <w:color w:val="auto"/>
          <w:sz w:val="32"/>
          <w:szCs w:val="32"/>
          <w:lang w:eastAsia="zh-CN"/>
        </w:rPr>
        <w:t>、其他资本性支出</w:t>
      </w:r>
      <w:r>
        <w:rPr>
          <w:rFonts w:hint="eastAsia" w:ascii="仿宋_GB2312" w:eastAsia="仿宋_GB2312"/>
          <w:color w:val="auto"/>
          <w:sz w:val="32"/>
          <w:szCs w:val="32"/>
          <w:lang w:val="en-US" w:eastAsia="zh-CN"/>
        </w:rPr>
        <w:t>２．３０万元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129.3</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63.69</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lang w:val="en-US" w:eastAsia="zh-CN"/>
        </w:rPr>
        <w:t>，</w:t>
      </w:r>
      <w:r>
        <w:rPr>
          <w:rFonts w:hint="eastAsia" w:ascii="仿宋" w:hAnsi="仿宋" w:eastAsia="仿宋" w:cs="仿宋"/>
          <w:color w:val="auto"/>
          <w:sz w:val="30"/>
          <w:szCs w:val="30"/>
          <w:lang w:eastAsia="zh-CN"/>
        </w:rPr>
        <w:t>其中：</w:t>
      </w:r>
      <w:r>
        <w:rPr>
          <w:rFonts w:hint="eastAsia" w:ascii="仿宋_GB2312" w:eastAsia="仿宋_GB2312"/>
          <w:color w:val="auto"/>
          <w:sz w:val="32"/>
          <w:szCs w:val="32"/>
        </w:rPr>
        <w:t>工资福利支出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万元、商品和服务支出</w:t>
      </w:r>
      <w:r>
        <w:rPr>
          <w:rFonts w:hint="eastAsia" w:ascii="仿宋_GB2312" w:eastAsia="仿宋_GB2312"/>
          <w:color w:val="auto"/>
          <w:sz w:val="32"/>
          <w:szCs w:val="32"/>
          <w:lang w:val="en-US" w:eastAsia="zh-CN"/>
        </w:rPr>
        <w:t>93.12</w:t>
      </w:r>
      <w:r>
        <w:rPr>
          <w:rFonts w:hint="eastAsia" w:ascii="仿宋_GB2312" w:eastAsia="仿宋_GB2312"/>
          <w:color w:val="auto"/>
          <w:sz w:val="32"/>
          <w:szCs w:val="32"/>
        </w:rPr>
        <w:t>万元、对个人和家庭的补助支出</w:t>
      </w:r>
      <w:r>
        <w:rPr>
          <w:rFonts w:hint="eastAsia" w:ascii="仿宋_GB2312" w:eastAsia="仿宋_GB2312"/>
          <w:color w:val="auto"/>
          <w:sz w:val="32"/>
          <w:szCs w:val="32"/>
          <w:lang w:val="en-US" w:eastAsia="zh-CN"/>
        </w:rPr>
        <w:t>27.18</w:t>
      </w:r>
      <w:r>
        <w:rPr>
          <w:rFonts w:hint="eastAsia" w:ascii="仿宋_GB2312" w:eastAsia="仿宋_GB2312"/>
          <w:color w:val="auto"/>
          <w:sz w:val="32"/>
          <w:szCs w:val="32"/>
        </w:rPr>
        <w:t>万元</w:t>
      </w:r>
      <w:r>
        <w:rPr>
          <w:rFonts w:hint="eastAsia" w:ascii="仿宋_GB2312" w:eastAsia="仿宋_GB2312"/>
          <w:color w:val="auto"/>
          <w:sz w:val="32"/>
          <w:szCs w:val="32"/>
          <w:lang w:eastAsia="zh-CN"/>
        </w:rPr>
        <w:t>、其他资本性支出</w:t>
      </w:r>
      <w:r>
        <w:rPr>
          <w:rFonts w:hint="eastAsia" w:ascii="仿宋_GB2312" w:eastAsia="仿宋_GB2312"/>
          <w:color w:val="auto"/>
          <w:sz w:val="32"/>
          <w:szCs w:val="32"/>
          <w:lang w:val="en-US" w:eastAsia="zh-CN"/>
        </w:rPr>
        <w:t>9万元</w:t>
      </w:r>
      <w:r>
        <w:rPr>
          <w:rFonts w:hint="eastAsia" w:ascii="仿宋_GB2312" w:eastAsia="仿宋_GB2312"/>
          <w:color w:val="auto"/>
          <w:sz w:val="32"/>
          <w:szCs w:val="32"/>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文化旅游体育与传媒</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887.56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18.33</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；社会保障和就业</w:t>
      </w:r>
      <w:r>
        <w:rPr>
          <w:rFonts w:hint="eastAsia" w:ascii="仿宋_GB2312" w:eastAsia="仿宋_GB2312"/>
          <w:color w:val="auto"/>
          <w:sz w:val="32"/>
          <w:szCs w:val="32"/>
          <w:lang w:val="en-US" w:eastAsia="zh-CN"/>
        </w:rPr>
        <w:t>166.02</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40.59</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；卫生</w:t>
      </w:r>
      <w:r>
        <w:rPr>
          <w:rFonts w:hint="eastAsia" w:ascii="仿宋_GB2312" w:eastAsia="仿宋_GB2312"/>
          <w:color w:val="auto"/>
          <w:sz w:val="32"/>
          <w:szCs w:val="32"/>
          <w:lang w:eastAsia="zh-CN"/>
        </w:rPr>
        <w:t>健康</w:t>
      </w:r>
      <w:r>
        <w:rPr>
          <w:rFonts w:hint="eastAsia" w:ascii="仿宋_GB2312" w:eastAsia="仿宋_GB2312"/>
          <w:color w:val="auto"/>
          <w:sz w:val="32"/>
          <w:szCs w:val="32"/>
        </w:rPr>
        <w:t>支出</w:t>
      </w:r>
      <w:r>
        <w:rPr>
          <w:rFonts w:hint="eastAsia" w:ascii="仿宋_GB2312" w:eastAsia="仿宋_GB2312"/>
          <w:color w:val="auto"/>
          <w:sz w:val="32"/>
          <w:szCs w:val="32"/>
          <w:lang w:val="en-US" w:eastAsia="zh-CN"/>
        </w:rPr>
        <w:t>94.42</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30.09</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；住房保障支出</w:t>
      </w:r>
      <w:r>
        <w:rPr>
          <w:rFonts w:hint="eastAsia" w:ascii="仿宋_GB2312" w:eastAsia="仿宋_GB2312"/>
          <w:color w:val="auto"/>
          <w:sz w:val="32"/>
          <w:szCs w:val="32"/>
          <w:lang w:val="en-US" w:eastAsia="zh-CN"/>
        </w:rPr>
        <w:t>93.28</w:t>
      </w:r>
      <w:r>
        <w:rPr>
          <w:rFonts w:hint="eastAsia" w:ascii="仿宋_GB2312" w:eastAsia="仿宋_GB2312"/>
          <w:color w:val="auto"/>
          <w:sz w:val="32"/>
          <w:szCs w:val="32"/>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5.56</w:t>
      </w:r>
      <w:r>
        <w:rPr>
          <w:rFonts w:hint="eastAsia" w:ascii="仿宋" w:hAnsi="仿宋" w:eastAsia="仿宋" w:cs="仿宋"/>
          <w:color w:val="auto"/>
          <w:sz w:val="32"/>
          <w:szCs w:val="32"/>
          <w:lang w:eastAsia="zh-CN"/>
        </w:rPr>
        <w:t>万元</w:t>
      </w:r>
      <w:r>
        <w:rPr>
          <w:rFonts w:hint="eastAsia" w:ascii="仿宋_GB2312" w:eastAsia="仿宋_GB2312"/>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2023</w:t>
      </w:r>
      <w:r>
        <w:rPr>
          <w:rFonts w:hint="eastAsia" w:ascii="仿宋_GB2312" w:eastAsia="仿宋_GB2312"/>
          <w:color w:val="auto"/>
          <w:sz w:val="32"/>
          <w:szCs w:val="32"/>
        </w:rPr>
        <w:t>年我</w:t>
      </w:r>
      <w:r>
        <w:rPr>
          <w:rFonts w:hint="eastAsia" w:ascii="仿宋" w:hAnsi="仿宋" w:eastAsia="仿宋"/>
          <w:color w:val="auto"/>
          <w:sz w:val="30"/>
          <w:szCs w:val="30"/>
          <w:lang w:eastAsia="zh-CN"/>
        </w:rPr>
        <w:t>部门</w:t>
      </w:r>
      <w:r>
        <w:rPr>
          <w:rFonts w:hint="eastAsia" w:ascii="仿宋" w:hAnsi="仿宋" w:eastAsia="仿宋" w:cs="仿宋"/>
          <w:color w:val="auto"/>
          <w:sz w:val="32"/>
          <w:szCs w:val="32"/>
        </w:rPr>
        <w:t>无政府性基金预算拨款安排的支出</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lang w:val="en-US" w:eastAsia="zh-CN"/>
        </w:rPr>
        <w:t>21.60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u w:val="single"/>
          <w:lang w:val="en-US" w:eastAsia="zh-CN"/>
        </w:rPr>
        <w:t>5.50</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lang w:val="en-US" w:eastAsia="zh-CN"/>
        </w:rPr>
        <w:t>20.30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业务量增加，办公费增加。</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lang w:val="en-US" w:eastAsia="zh-CN"/>
        </w:rPr>
        <w:t>36.5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36.5</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3339.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项目名称：2023年文化发展基金</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：开展公共文化服务,组织群众文化活动,切实文化遗产保护实施,文化惠民演出,持续创作文化精品力作。</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：兴府办抄字[2014]7号。</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2"/>
          <w:szCs w:val="32"/>
          <w:lang w:val="en-US" w:eastAsia="zh-CN" w:bidi="ar"/>
        </w:rPr>
        <w:t>兴国县文化广电新闻出版旅游局</w:t>
      </w:r>
    </w:p>
    <w:p>
      <w:pPr>
        <w:keepNext w:val="0"/>
        <w:keepLines w:val="0"/>
        <w:widowControl/>
        <w:suppressLineNumbers w:val="0"/>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2"/>
          <w:szCs w:val="32"/>
          <w:lang w:val="en-US" w:eastAsia="zh-CN" w:bidi="ar"/>
        </w:rPr>
        <w:t>2023-01-01至2023-12-31</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2"/>
          <w:szCs w:val="32"/>
          <w:lang w:val="en-US" w:eastAsia="zh-CN" w:bidi="ar"/>
        </w:rPr>
        <w:t>60.62万元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：开展公共文化服务,组织群众文化活动,切实文化遗产保护实施,文化惠民演出,持续创作文化精品力作。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auto"/>
        </w:rPr>
      </w:pPr>
      <w:r>
        <w:rPr>
          <w:rFonts w:hint="eastAsia" w:ascii="仿宋" w:hAnsi="仿宋" w:eastAsia="仿宋" w:cs="仿宋"/>
          <w:color w:val="auto"/>
          <w:sz w:val="32"/>
          <w:szCs w:val="32"/>
          <w:lang w:val="en-US" w:eastAsia="zh-CN"/>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兴国县文广新旅局</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18.33</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：无安排</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14.93</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12.57</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厉行节约，严格执行中央八项规定</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3.4</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厉行节约，严格执行中央八项规定</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无安排</w:t>
      </w:r>
      <w:r>
        <w:rPr>
          <w:rFonts w:hint="eastAsia" w:ascii="仿宋" w:hAnsi="仿宋" w:eastAsia="仿宋" w:cs="仿宋"/>
          <w:color w:val="auto"/>
          <w:sz w:val="32"/>
          <w:szCs w:val="32"/>
        </w:rPr>
        <w:t>。</w:t>
      </w:r>
    </w:p>
    <w:p>
      <w:pPr>
        <w:pStyle w:val="2"/>
        <w:rPr>
          <w:color w:val="auto"/>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文化广电新闻出版旅游局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color w:val="auto"/>
          <w:lang w:eastAsia="zh-CN"/>
        </w:rPr>
      </w:pPr>
      <w:r>
        <w:rPr>
          <w:color w:val="auto"/>
        </w:rPr>
        <w:drawing>
          <wp:inline distT="0" distB="0" distL="114300" distR="114300">
            <wp:extent cx="5537835" cy="5945505"/>
            <wp:effectExtent l="0" t="0" r="5715" b="1714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5537835" cy="5945505"/>
                    </a:xfrm>
                    <a:prstGeom prst="rect">
                      <a:avLst/>
                    </a:prstGeom>
                    <a:noFill/>
                    <a:ln>
                      <a:noFill/>
                    </a:ln>
                  </pic:spPr>
                </pic:pic>
              </a:graphicData>
            </a:graphic>
          </wp:inline>
        </w:drawing>
      </w:r>
    </w:p>
    <w:p>
      <w:pPr>
        <w:pStyle w:val="2"/>
        <w:rPr>
          <w:rFonts w:hint="eastAsia" w:eastAsia="仿宋"/>
          <w:color w:val="auto"/>
          <w:lang w:eastAsia="zh-CN"/>
        </w:r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color w:val="auto"/>
        </w:rPr>
      </w:pPr>
      <w:r>
        <w:rPr>
          <w:color w:val="auto"/>
        </w:rPr>
        <w:drawing>
          <wp:inline distT="0" distB="0" distL="114300" distR="114300">
            <wp:extent cx="5750560" cy="4044315"/>
            <wp:effectExtent l="0" t="0" r="2540" b="133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5750560" cy="4044315"/>
                    </a:xfrm>
                    <a:prstGeom prst="rect">
                      <a:avLst/>
                    </a:prstGeom>
                    <a:noFill/>
                    <a:ln>
                      <a:noFill/>
                    </a:ln>
                  </pic:spPr>
                </pic:pic>
              </a:graphicData>
            </a:graphic>
          </wp:inline>
        </w:drawing>
      </w:r>
    </w:p>
    <w:p>
      <w:pPr>
        <w:pStyle w:val="2"/>
        <w:numPr>
          <w:ilvl w:val="0"/>
          <w:numId w:val="0"/>
        </w:numPr>
        <w:rPr>
          <w:color w:val="auto"/>
        </w:r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pStyle w:val="2"/>
        <w:numPr>
          <w:ilvl w:val="0"/>
          <w:numId w:val="0"/>
        </w:num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rPr>
          <w:rFonts w:hint="eastAsia" w:ascii="仿宋" w:hAnsi="仿宋" w:eastAsia="仿宋" w:cs="仿宋"/>
          <w:sz w:val="32"/>
          <w:szCs w:val="32"/>
        </w:rPr>
      </w:pPr>
      <w:r>
        <w:drawing>
          <wp:inline distT="0" distB="0" distL="114300" distR="114300">
            <wp:extent cx="5536565" cy="6103620"/>
            <wp:effectExtent l="0" t="0" r="6985" b="1143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7"/>
                    <a:stretch>
                      <a:fillRect/>
                    </a:stretch>
                  </pic:blipFill>
                  <pic:spPr>
                    <a:xfrm>
                      <a:off x="0" y="0"/>
                      <a:ext cx="5536565" cy="6103620"/>
                    </a:xfrm>
                    <a:prstGeom prst="rect">
                      <a:avLst/>
                    </a:prstGeom>
                    <a:noFill/>
                    <a:ln>
                      <a:noFill/>
                    </a:ln>
                  </pic:spPr>
                </pic:pic>
              </a:graphicData>
            </a:graphic>
          </wp:inline>
        </w:drawing>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rPr>
          <w:rFonts w:hint="eastAsia" w:ascii="仿宋" w:hAnsi="仿宋" w:eastAsia="仿宋" w:cs="仿宋"/>
          <w:sz w:val="32"/>
          <w:szCs w:val="32"/>
        </w:rPr>
      </w:pPr>
      <w:r>
        <w:drawing>
          <wp:inline distT="0" distB="0" distL="114300" distR="114300">
            <wp:extent cx="5535930" cy="5544820"/>
            <wp:effectExtent l="0" t="0" r="7620" b="1778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8"/>
                    <a:stretch>
                      <a:fillRect/>
                    </a:stretch>
                  </pic:blipFill>
                  <pic:spPr>
                    <a:xfrm>
                      <a:off x="0" y="0"/>
                      <a:ext cx="5535930" cy="5544820"/>
                    </a:xfrm>
                    <a:prstGeom prst="rect">
                      <a:avLst/>
                    </a:prstGeom>
                    <a:noFill/>
                    <a:ln>
                      <a:noFill/>
                    </a:ln>
                  </pic:spPr>
                </pic:pic>
              </a:graphicData>
            </a:graphic>
          </wp:inline>
        </w:drawing>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rPr>
          <w:rFonts w:hint="eastAsia" w:ascii="仿宋" w:hAnsi="仿宋" w:eastAsia="仿宋" w:cs="仿宋"/>
          <w:sz w:val="32"/>
          <w:szCs w:val="32"/>
        </w:rPr>
      </w:pPr>
      <w:r>
        <w:drawing>
          <wp:inline distT="0" distB="0" distL="114300" distR="114300">
            <wp:extent cx="5541010" cy="6129655"/>
            <wp:effectExtent l="0" t="0" r="2540" b="444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9"/>
                    <a:stretch>
                      <a:fillRect/>
                    </a:stretch>
                  </pic:blipFill>
                  <pic:spPr>
                    <a:xfrm>
                      <a:off x="0" y="0"/>
                      <a:ext cx="5541010" cy="6129655"/>
                    </a:xfrm>
                    <a:prstGeom prst="rect">
                      <a:avLst/>
                    </a:prstGeom>
                    <a:noFill/>
                    <a:ln>
                      <a:noFill/>
                    </a:ln>
                  </pic:spPr>
                </pic:pic>
              </a:graphicData>
            </a:graphic>
          </wp:inline>
        </w:drawing>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rPr>
          <w:rFonts w:hint="eastAsia" w:ascii="仿宋" w:hAnsi="仿宋" w:eastAsia="仿宋" w:cs="仿宋"/>
          <w:sz w:val="32"/>
          <w:szCs w:val="32"/>
        </w:rPr>
      </w:pPr>
      <w:r>
        <w:drawing>
          <wp:inline distT="0" distB="0" distL="114300" distR="114300">
            <wp:extent cx="5535930" cy="5662295"/>
            <wp:effectExtent l="0" t="0" r="7620" b="1460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0"/>
                    <a:stretch>
                      <a:fillRect/>
                    </a:stretch>
                  </pic:blipFill>
                  <pic:spPr>
                    <a:xfrm>
                      <a:off x="0" y="0"/>
                      <a:ext cx="5535930" cy="5662295"/>
                    </a:xfrm>
                    <a:prstGeom prst="rect">
                      <a:avLst/>
                    </a:prstGeom>
                    <a:noFill/>
                    <a:ln>
                      <a:noFill/>
                    </a:ln>
                  </pic:spPr>
                </pic:pic>
              </a:graphicData>
            </a:graphic>
          </wp:inline>
        </w:drawing>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pPr>
      <w:r>
        <w:drawing>
          <wp:inline distT="0" distB="0" distL="114300" distR="114300">
            <wp:extent cx="5542280" cy="1168400"/>
            <wp:effectExtent l="0" t="0" r="1270" b="1270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1"/>
                    <a:stretch>
                      <a:fillRect/>
                    </a:stretch>
                  </pic:blipFill>
                  <pic:spPr>
                    <a:xfrm>
                      <a:off x="0" y="0"/>
                      <a:ext cx="5542280" cy="1168400"/>
                    </a:xfrm>
                    <a:prstGeom prst="rect">
                      <a:avLst/>
                    </a:prstGeom>
                    <a:noFill/>
                    <a:ln>
                      <a:noFill/>
                    </a:ln>
                  </pic:spPr>
                </pic:pic>
              </a:graphicData>
            </a:graphic>
          </wp:inline>
        </w:drawing>
      </w:r>
    </w:p>
    <w:p>
      <w:pPr>
        <w:pStyle w:val="2"/>
        <w:rPr>
          <w:rFonts w:hint="eastAsia"/>
        </w:rPr>
      </w:pPr>
    </w:p>
    <w:p>
      <w:pPr>
        <w:pStyle w:val="2"/>
        <w:rPr>
          <w:rFonts w:hint="eastAsia"/>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pStyle w:val="2"/>
      </w:pPr>
      <w:r>
        <w:drawing>
          <wp:inline distT="0" distB="0" distL="114300" distR="114300">
            <wp:extent cx="5544820" cy="1146810"/>
            <wp:effectExtent l="0" t="0" r="17780" b="1524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2"/>
                    <a:stretch>
                      <a:fillRect/>
                    </a:stretch>
                  </pic:blipFill>
                  <pic:spPr>
                    <a:xfrm>
                      <a:off x="0" y="0"/>
                      <a:ext cx="5544820" cy="1146810"/>
                    </a:xfrm>
                    <a:prstGeom prst="rect">
                      <a:avLst/>
                    </a:prstGeom>
                    <a:noFill/>
                    <a:ln>
                      <a:noFill/>
                    </a:ln>
                  </pic:spPr>
                </pic:pic>
              </a:graphicData>
            </a:graphic>
          </wp:inline>
        </w:drawing>
      </w:r>
    </w:p>
    <w:p>
      <w:pPr>
        <w:numPr>
          <w:ilvl w:val="0"/>
          <w:numId w:val="0"/>
        </w:numPr>
        <w:spacing w:line="560" w:lineRule="exact"/>
        <w:rPr>
          <w:rFonts w:hint="eastAsia" w:ascii="仿宋" w:hAnsi="仿宋" w:eastAsia="仿宋" w:cs="仿宋"/>
          <w:color w:val="auto"/>
          <w:sz w:val="32"/>
          <w:szCs w:val="32"/>
          <w:lang w:eastAsia="zh-CN"/>
        </w:rPr>
      </w:pPr>
    </w:p>
    <w:p>
      <w:pPr>
        <w:numPr>
          <w:ilvl w:val="0"/>
          <w:numId w:val="0"/>
        </w:numPr>
        <w:spacing w:line="560" w:lineRule="exact"/>
        <w:rPr>
          <w:rFonts w:hint="eastAsia" w:ascii="仿宋" w:hAnsi="仿宋" w:eastAsia="仿宋" w:cs="仿宋"/>
          <w:color w:val="auto"/>
          <w:sz w:val="32"/>
          <w:szCs w:val="32"/>
          <w:lang w:eastAsia="zh-CN"/>
        </w:rPr>
      </w:pPr>
    </w:p>
    <w:p>
      <w:pPr>
        <w:numPr>
          <w:ilvl w:val="0"/>
          <w:numId w:val="0"/>
        </w:num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pStyle w:val="2"/>
        <w:numPr>
          <w:ilvl w:val="0"/>
          <w:numId w:val="0"/>
        </w:numPr>
      </w:pPr>
    </w:p>
    <w:p>
      <w:pPr>
        <w:pStyle w:val="2"/>
      </w:pPr>
    </w:p>
    <w:p>
      <w:pPr>
        <w:pStyle w:val="2"/>
      </w:pPr>
      <w:r>
        <w:drawing>
          <wp:inline distT="0" distB="0" distL="114300" distR="114300">
            <wp:extent cx="5544820" cy="1229360"/>
            <wp:effectExtent l="0" t="0" r="177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544820" cy="1229360"/>
                    </a:xfrm>
                    <a:prstGeom prst="rect">
                      <a:avLst/>
                    </a:prstGeom>
                    <a:noFill/>
                    <a:ln>
                      <a:noFill/>
                    </a:ln>
                  </pic:spPr>
                </pic:pic>
              </a:graphicData>
            </a:graphic>
          </wp:inline>
        </w:drawing>
      </w:r>
    </w:p>
    <w:p>
      <w:pPr>
        <w:pStyle w:val="2"/>
      </w:pPr>
    </w:p>
    <w:p>
      <w:pPr>
        <w:pStyle w:val="2"/>
      </w:pPr>
    </w:p>
    <w:p>
      <w:pPr>
        <w:pStyle w:val="2"/>
      </w:pPr>
    </w:p>
    <w:p>
      <w:pPr>
        <w:pStyle w:val="2"/>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pStyle w:val="2"/>
        <w:rPr>
          <w:rFonts w:hint="eastAsia" w:ascii="仿宋" w:hAnsi="仿宋" w:eastAsia="仿宋" w:cs="仿宋"/>
          <w:sz w:val="32"/>
          <w:szCs w:val="32"/>
        </w:rPr>
      </w:pPr>
      <w:r>
        <w:drawing>
          <wp:inline distT="0" distB="0" distL="114300" distR="114300">
            <wp:extent cx="5543550" cy="5718175"/>
            <wp:effectExtent l="0" t="0" r="0" b="1587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4"/>
                    <a:stretch>
                      <a:fillRect/>
                    </a:stretch>
                  </pic:blipFill>
                  <pic:spPr>
                    <a:xfrm>
                      <a:off x="0" y="0"/>
                      <a:ext cx="5543550" cy="5718175"/>
                    </a:xfrm>
                    <a:prstGeom prst="rect">
                      <a:avLst/>
                    </a:prstGeom>
                    <a:noFill/>
                    <a:ln>
                      <a:noFill/>
                    </a:ln>
                  </pic:spPr>
                </pic:pic>
              </a:graphicData>
            </a:graphic>
          </wp:inline>
        </w:drawing>
      </w:r>
    </w:p>
    <w:p>
      <w:pPr>
        <w:pStyle w:val="2"/>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bookmarkStart w:id="0" w:name="_GoBack"/>
      <w:bookmarkEnd w:id="0"/>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r>
        <w:drawing>
          <wp:inline distT="0" distB="0" distL="114300" distR="114300">
            <wp:extent cx="5542915" cy="8776335"/>
            <wp:effectExtent l="0" t="0" r="635" b="5715"/>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5"/>
                    <a:stretch>
                      <a:fillRect/>
                    </a:stretch>
                  </pic:blipFill>
                  <pic:spPr>
                    <a:xfrm>
                      <a:off x="0" y="0"/>
                      <a:ext cx="5542915" cy="8776335"/>
                    </a:xfrm>
                    <a:prstGeom prst="rect">
                      <a:avLst/>
                    </a:prstGeom>
                    <a:noFill/>
                    <a:ln>
                      <a:noFill/>
                    </a:ln>
                  </pic:spPr>
                </pic:pic>
              </a:graphicData>
            </a:graphic>
          </wp:inline>
        </w:drawing>
      </w:r>
    </w:p>
    <w:p>
      <w:pPr>
        <w:pStyle w:val="2"/>
        <w:numPr>
          <w:ilvl w:val="0"/>
          <w:numId w:val="0"/>
        </w:numPr>
        <w:ind w:leftChars="0"/>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6DF5A6-275A-4DFB-AB59-862839312C8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77246C10-CBCC-4475-8C60-96D3385A5C31}"/>
  </w:font>
  <w:font w:name="方正小标宋简体">
    <w:panose1 w:val="02000000000000000000"/>
    <w:charset w:val="86"/>
    <w:family w:val="auto"/>
    <w:pitch w:val="default"/>
    <w:sig w:usb0="00000001" w:usb1="08000000" w:usb2="00000000" w:usb3="00000000" w:csb0="00040000" w:csb1="00000000"/>
    <w:embedRegular r:id="rId3" w:fontKey="{1DC6ED59-8008-40D0-98B7-B340CDD51C9B}"/>
  </w:font>
  <w:font w:name="仿宋">
    <w:panose1 w:val="02010609060101010101"/>
    <w:charset w:val="86"/>
    <w:family w:val="auto"/>
    <w:pitch w:val="default"/>
    <w:sig w:usb0="800002BF" w:usb1="38CF7CFA" w:usb2="00000016" w:usb3="00000000" w:csb0="00040001" w:csb1="00000000"/>
    <w:embedRegular r:id="rId4" w:fontKey="{1584008C-E983-45D6-A14D-CFC9F0ECA6E0}"/>
  </w:font>
  <w:font w:name="楷体">
    <w:panose1 w:val="02010609060101010101"/>
    <w:charset w:val="86"/>
    <w:family w:val="auto"/>
    <w:pitch w:val="default"/>
    <w:sig w:usb0="800002BF" w:usb1="38CF7CFA" w:usb2="00000016" w:usb3="00000000" w:csb0="00040001" w:csb1="00000000"/>
    <w:embedRegular r:id="rId5" w:fontKey="{C02BC6A4-932A-4287-B051-B1C45B41DE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A85FD0"/>
    <w:rsid w:val="01347A59"/>
    <w:rsid w:val="03725DF5"/>
    <w:rsid w:val="04EE7A30"/>
    <w:rsid w:val="05AE4B01"/>
    <w:rsid w:val="06522092"/>
    <w:rsid w:val="06B2350A"/>
    <w:rsid w:val="09943A1B"/>
    <w:rsid w:val="0C344DB1"/>
    <w:rsid w:val="0CC86F87"/>
    <w:rsid w:val="0F857B39"/>
    <w:rsid w:val="11795136"/>
    <w:rsid w:val="11E36660"/>
    <w:rsid w:val="12986E49"/>
    <w:rsid w:val="14AD00B7"/>
    <w:rsid w:val="18866995"/>
    <w:rsid w:val="19CF11C0"/>
    <w:rsid w:val="21BC5A3B"/>
    <w:rsid w:val="233B45DE"/>
    <w:rsid w:val="238258F0"/>
    <w:rsid w:val="2EC00A20"/>
    <w:rsid w:val="2F3F02CE"/>
    <w:rsid w:val="326D79FF"/>
    <w:rsid w:val="32D16607"/>
    <w:rsid w:val="389C4204"/>
    <w:rsid w:val="3A2C12A6"/>
    <w:rsid w:val="3A4013F4"/>
    <w:rsid w:val="3A6C4B71"/>
    <w:rsid w:val="3F5F2902"/>
    <w:rsid w:val="3FFE2FA6"/>
    <w:rsid w:val="43CE0804"/>
    <w:rsid w:val="44290238"/>
    <w:rsid w:val="445E02C8"/>
    <w:rsid w:val="461937D6"/>
    <w:rsid w:val="4BF83DF6"/>
    <w:rsid w:val="4ED059C9"/>
    <w:rsid w:val="50073509"/>
    <w:rsid w:val="53314CE8"/>
    <w:rsid w:val="5472334E"/>
    <w:rsid w:val="553377BC"/>
    <w:rsid w:val="590E560F"/>
    <w:rsid w:val="5A766830"/>
    <w:rsid w:val="5C2545FF"/>
    <w:rsid w:val="5D234082"/>
    <w:rsid w:val="5DAD2DB8"/>
    <w:rsid w:val="646D69AF"/>
    <w:rsid w:val="668852C5"/>
    <w:rsid w:val="67B101D9"/>
    <w:rsid w:val="686E1A5C"/>
    <w:rsid w:val="71724DA6"/>
    <w:rsid w:val="71834994"/>
    <w:rsid w:val="724B3941"/>
    <w:rsid w:val="73AC006D"/>
    <w:rsid w:val="73FA1F67"/>
    <w:rsid w:val="74687E72"/>
    <w:rsid w:val="759251A6"/>
    <w:rsid w:val="799A287B"/>
    <w:rsid w:val="7E231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3585</Words>
  <Characters>3971</Characters>
  <Lines>0</Lines>
  <Paragraphs>0</Paragraphs>
  <TotalTime>3</TotalTime>
  <ScaleCrop>false</ScaleCrop>
  <LinksUpToDate>false</LinksUpToDate>
  <CharactersWithSpaces>3992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2024-06-11T09:29:24Z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E0CE1FD101534F46AAB855999AA3C04E_13</vt:lpwstr>
  </property>
</Properties>
</file>