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lang w:val="en-US" w:eastAsia="zh-CN"/>
        </w:rPr>
        <w:t>兴国县科协2023年</w:t>
      </w:r>
      <w:r>
        <w:rPr>
          <w:rFonts w:hint="eastAsia" w:ascii="方正小标宋简体" w:hAnsi="方正小标宋简体" w:eastAsia="方正小标宋简体" w:cs="方正小标宋简体"/>
          <w:b w:val="0"/>
          <w:bCs/>
          <w:color w:val="auto"/>
          <w:sz w:val="44"/>
          <w:szCs w:val="44"/>
          <w:highlight w:val="none"/>
        </w:rPr>
        <w:t>部门预算编制说明</w:t>
      </w:r>
    </w:p>
    <w:p>
      <w:pPr>
        <w:spacing w:line="560" w:lineRule="exact"/>
        <w:jc w:val="center"/>
        <w:rPr>
          <w:rFonts w:hint="eastAsia" w:ascii="黑体" w:hAnsi="黑体" w:eastAsia="黑体" w:cs="黑体"/>
          <w:color w:val="auto"/>
          <w:sz w:val="36"/>
          <w:szCs w:val="36"/>
          <w:highlight w:val="none"/>
        </w:rPr>
      </w:pPr>
    </w:p>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目  录</w:t>
      </w:r>
    </w:p>
    <w:p>
      <w:pPr>
        <w:spacing w:line="560" w:lineRule="exact"/>
        <w:jc w:val="center"/>
        <w:rPr>
          <w:rFonts w:hint="eastAsia" w:ascii="黑体" w:hAnsi="黑体" w:eastAsia="黑体" w:cs="黑体"/>
          <w:color w:val="auto"/>
          <w:sz w:val="32"/>
          <w:szCs w:val="32"/>
          <w:highlight w:val="none"/>
        </w:rPr>
      </w:pP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第一部分 兴国县</w:t>
      </w:r>
      <w:r>
        <w:rPr>
          <w:rFonts w:hint="eastAsia" w:ascii="仿宋" w:hAnsi="仿宋" w:eastAsia="仿宋" w:cs="仿宋"/>
          <w:b/>
          <w:bCs/>
          <w:color w:val="auto"/>
          <w:sz w:val="32"/>
          <w:szCs w:val="32"/>
          <w:highlight w:val="none"/>
          <w:lang w:val="en-US" w:eastAsia="zh-CN"/>
        </w:rPr>
        <w:t>科协</w:t>
      </w:r>
      <w:r>
        <w:rPr>
          <w:rFonts w:hint="eastAsia" w:ascii="仿宋" w:hAnsi="仿宋" w:eastAsia="仿宋" w:cs="仿宋"/>
          <w:b/>
          <w:bCs/>
          <w:color w:val="auto"/>
          <w:sz w:val="32"/>
          <w:szCs w:val="32"/>
          <w:highlight w:val="none"/>
        </w:rPr>
        <w:t>部门概况</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一、部门主要职责</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二、部门基本情况</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第二部分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val="en-US" w:eastAsia="zh-CN"/>
        </w:rPr>
        <w:t>科协</w:t>
      </w:r>
      <w:r>
        <w:rPr>
          <w:rFonts w:hint="eastAsia" w:ascii="仿宋" w:hAnsi="仿宋" w:eastAsia="仿宋" w:cs="仿宋"/>
          <w:b/>
          <w:bCs/>
          <w:color w:val="auto"/>
          <w:sz w:val="32"/>
          <w:szCs w:val="32"/>
          <w:highlight w:val="none"/>
        </w:rPr>
        <w:t>部门预算情况说明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年部门预算收支情况说明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年“三公”经费预算情况说明</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第三部分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w:t>
      </w:r>
      <w:r>
        <w:rPr>
          <w:rFonts w:hint="eastAsia" w:ascii="仿宋" w:hAnsi="仿宋" w:eastAsia="仿宋" w:cs="仿宋"/>
          <w:b/>
          <w:bCs/>
          <w:color w:val="auto"/>
          <w:sz w:val="32"/>
          <w:szCs w:val="32"/>
          <w:highlight w:val="none"/>
          <w:lang w:val="en-US" w:eastAsia="zh-CN"/>
        </w:rPr>
        <w:t>科协</w:t>
      </w:r>
      <w:r>
        <w:rPr>
          <w:rFonts w:hint="eastAsia" w:ascii="仿宋" w:hAnsi="仿宋" w:eastAsia="仿宋" w:cs="仿宋"/>
          <w:b/>
          <w:bCs/>
          <w:color w:val="auto"/>
          <w:sz w:val="32"/>
          <w:szCs w:val="32"/>
          <w:highlight w:val="none"/>
        </w:rPr>
        <w:t>部门预算表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二、《部门收入总表》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三、《部门支出总表》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spacing w:line="560" w:lineRule="exact"/>
        <w:ind w:left="634" w:leftChars="284" w:hanging="38" w:hangingChars="12"/>
        <w:rPr>
          <w:color w:val="auto"/>
          <w:highlight w:val="none"/>
        </w:rPr>
      </w:pPr>
      <w:r>
        <w:rPr>
          <w:rFonts w:hint="eastAsia" w:ascii="仿宋" w:hAnsi="仿宋" w:eastAsia="仿宋" w:cs="仿宋"/>
          <w:color w:val="auto"/>
          <w:sz w:val="32"/>
          <w:szCs w:val="32"/>
          <w:highlight w:val="none"/>
        </w:rPr>
        <w:t>九、《</w:t>
      </w:r>
      <w:r>
        <w:rPr>
          <w:rFonts w:hint="eastAsia" w:ascii="仿宋" w:hAnsi="仿宋" w:eastAsia="仿宋" w:cs="仿宋"/>
          <w:color w:val="auto"/>
          <w:sz w:val="32"/>
          <w:szCs w:val="32"/>
          <w:highlight w:val="none"/>
          <w:lang w:eastAsia="zh-CN"/>
        </w:rPr>
        <w:t>国有资本经营预算支出表</w:t>
      </w:r>
      <w:r>
        <w:rPr>
          <w:rFonts w:hint="eastAsia" w:ascii="仿宋" w:hAnsi="仿宋" w:eastAsia="仿宋" w:cs="仿宋"/>
          <w:color w:val="auto"/>
          <w:sz w:val="32"/>
          <w:szCs w:val="32"/>
          <w:highlight w:val="none"/>
        </w:rPr>
        <w:t>》</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w:t>
      </w:r>
      <w:r>
        <w:rPr>
          <w:rFonts w:hint="eastAsia" w:ascii="仿宋" w:hAnsi="仿宋" w:eastAsia="仿宋" w:cs="仿宋"/>
          <w:color w:val="auto"/>
          <w:sz w:val="32"/>
          <w:szCs w:val="32"/>
          <w:highlight w:val="none"/>
        </w:rPr>
        <w:t>、《部门整体支出绩效目标表》</w:t>
      </w:r>
    </w:p>
    <w:p>
      <w:pPr>
        <w:spacing w:line="560" w:lineRule="exact"/>
        <w:ind w:left="10" w:leftChars="5" w:firstLine="620" w:firstLineChars="194"/>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一</w:t>
      </w:r>
      <w:r>
        <w:rPr>
          <w:rFonts w:hint="eastAsia" w:ascii="仿宋" w:hAnsi="仿宋" w:eastAsia="仿宋" w:cs="仿宋"/>
          <w:color w:val="auto"/>
          <w:sz w:val="32"/>
          <w:szCs w:val="32"/>
          <w:highlight w:val="none"/>
        </w:rPr>
        <w:t>、《项目支出绩效目标表》</w:t>
      </w:r>
      <w:r>
        <w:rPr>
          <w:rFonts w:hint="eastAsia" w:ascii="仿宋" w:hAnsi="仿宋" w:eastAsia="仿宋" w:cs="仿宋"/>
          <w:color w:val="auto"/>
          <w:sz w:val="32"/>
          <w:szCs w:val="32"/>
          <w:highlight w:val="none"/>
        </w:rPr>
        <w:cr/>
      </w:r>
      <w:r>
        <w:rPr>
          <w:rFonts w:hint="eastAsia" w:ascii="仿宋" w:hAnsi="仿宋" w:eastAsia="仿宋" w:cs="仿宋"/>
          <w:b/>
          <w:bCs/>
          <w:color w:val="auto"/>
          <w:sz w:val="32"/>
          <w:szCs w:val="32"/>
          <w:highlight w:val="none"/>
        </w:rPr>
        <w:t>第四部分 名词解释</w:t>
      </w:r>
    </w:p>
    <w:p>
      <w:pPr>
        <w:spacing w:line="560" w:lineRule="exact"/>
        <w:jc w:val="center"/>
        <w:rPr>
          <w:rFonts w:hint="eastAsia" w:ascii="仿宋" w:hAnsi="仿宋" w:eastAsia="仿宋" w:cs="仿宋"/>
          <w:b/>
          <w:bCs/>
          <w:color w:val="auto"/>
          <w:sz w:val="32"/>
          <w:szCs w:val="32"/>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第一部分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兴国县</w:t>
      </w:r>
      <w:r>
        <w:rPr>
          <w:rFonts w:hint="eastAsia" w:ascii="黑体" w:hAnsi="黑体" w:eastAsia="黑体" w:cs="黑体"/>
          <w:b w:val="0"/>
          <w:bCs w:val="0"/>
          <w:color w:val="auto"/>
          <w:sz w:val="32"/>
          <w:szCs w:val="32"/>
          <w:highlight w:val="none"/>
          <w:lang w:val="en-US" w:eastAsia="zh-CN"/>
        </w:rPr>
        <w:t>科协</w:t>
      </w:r>
      <w:r>
        <w:rPr>
          <w:rFonts w:hint="eastAsia" w:ascii="黑体" w:hAnsi="黑体" w:eastAsia="黑体" w:cs="黑体"/>
          <w:b w:val="0"/>
          <w:bCs w:val="0"/>
          <w:color w:val="auto"/>
          <w:sz w:val="32"/>
          <w:szCs w:val="32"/>
          <w:highlight w:val="none"/>
        </w:rPr>
        <w:t>部门概况</w:t>
      </w:r>
    </w:p>
    <w:p>
      <w:pPr>
        <w:spacing w:line="560" w:lineRule="exact"/>
        <w:jc w:val="center"/>
        <w:rPr>
          <w:rFonts w:ascii="仿宋" w:hAnsi="仿宋" w:eastAsia="仿宋" w:cs="仿宋"/>
          <w:b/>
          <w:bCs/>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一、部门主要职责</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highlight w:val="none"/>
        </w:rPr>
      </w:pPr>
      <w:r>
        <w:rPr>
          <w:rFonts w:ascii="仿宋" w:hAnsi="仿宋" w:eastAsia="仿宋" w:cs="仿宋"/>
          <w:snapToGrid w:val="0"/>
          <w:color w:val="000000"/>
          <w:kern w:val="0"/>
          <w:sz w:val="31"/>
          <w:szCs w:val="31"/>
          <w:highlight w:val="none"/>
          <w:lang w:val="en-US" w:eastAsia="zh-CN" w:bidi="ar"/>
        </w:rPr>
        <w:t>1、负责对所属的有关学会、协会、研究会和科技类社</w:t>
      </w:r>
      <w:r>
        <w:rPr>
          <w:rFonts w:hint="eastAsia" w:ascii="仿宋" w:hAnsi="仿宋" w:eastAsia="仿宋" w:cs="仿宋"/>
          <w:snapToGrid w:val="0"/>
          <w:color w:val="000000"/>
          <w:kern w:val="0"/>
          <w:sz w:val="31"/>
          <w:szCs w:val="31"/>
          <w:highlight w:val="none"/>
          <w:lang w:val="en-US" w:eastAsia="zh-CN" w:bidi="ar"/>
        </w:rPr>
        <w:t xml:space="preserve">会团体进行监督管理，对全县科协工作进行业务指导。 </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highlight w:val="none"/>
        </w:rPr>
      </w:pPr>
      <w:r>
        <w:rPr>
          <w:rFonts w:hint="eastAsia" w:ascii="仿宋" w:hAnsi="仿宋" w:eastAsia="仿宋" w:cs="仿宋"/>
          <w:snapToGrid w:val="0"/>
          <w:color w:val="000000"/>
          <w:kern w:val="0"/>
          <w:sz w:val="31"/>
          <w:szCs w:val="31"/>
          <w:highlight w:val="none"/>
          <w:lang w:val="en-US" w:eastAsia="zh-CN" w:bidi="ar"/>
        </w:rPr>
        <w:t xml:space="preserve">2、组织开展学术交流，活跃学术思想，鼓励和支撑原始性创新，促进学科发展，提高全县科技的持续创新能力。 </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highlight w:val="none"/>
        </w:rPr>
      </w:pPr>
      <w:r>
        <w:rPr>
          <w:rFonts w:hint="eastAsia" w:ascii="仿宋" w:hAnsi="仿宋" w:eastAsia="仿宋" w:cs="仿宋"/>
          <w:snapToGrid w:val="0"/>
          <w:color w:val="000000"/>
          <w:kern w:val="0"/>
          <w:sz w:val="31"/>
          <w:szCs w:val="31"/>
          <w:highlight w:val="none"/>
          <w:lang w:val="en-US" w:eastAsia="zh-CN" w:bidi="ar"/>
        </w:rPr>
        <w:t xml:space="preserve">3、拟定科普工作计划，并组织实施；动员社会各方面力量，普及科学技术知识，提高全县公众科学文化素质。 </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highlight w:val="none"/>
        </w:rPr>
      </w:pPr>
      <w:r>
        <w:rPr>
          <w:rFonts w:hint="eastAsia" w:ascii="仿宋" w:hAnsi="仿宋" w:eastAsia="仿宋" w:cs="仿宋"/>
          <w:snapToGrid w:val="0"/>
          <w:color w:val="000000"/>
          <w:kern w:val="0"/>
          <w:sz w:val="31"/>
          <w:szCs w:val="31"/>
          <w:highlight w:val="none"/>
          <w:lang w:val="en-US" w:eastAsia="zh-CN" w:bidi="ar"/>
        </w:rPr>
        <w:t>4、完成县委、县政府交办的其它工作。</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40" w:firstLineChars="200"/>
        <w:jc w:val="left"/>
        <w:textAlignment w:val="baseline"/>
        <w:rPr>
          <w:rFonts w:ascii="仿宋" w:hAnsi="仿宋" w:eastAsia="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olor w:val="auto"/>
          <w:sz w:val="32"/>
          <w:szCs w:val="32"/>
          <w:highlight w:val="none"/>
          <w:lang w:val="en-US" w:eastAsia="zh-CN"/>
        </w:rPr>
        <w:t>兴国县科协</w:t>
      </w:r>
      <w:r>
        <w:rPr>
          <w:rFonts w:hint="eastAsia" w:ascii="仿宋" w:hAnsi="仿宋" w:eastAsia="仿宋"/>
          <w:color w:val="auto"/>
          <w:sz w:val="32"/>
          <w:szCs w:val="32"/>
          <w:highlight w:val="none"/>
        </w:rPr>
        <w:t>部门共有预算单位</w:t>
      </w:r>
      <w:r>
        <w:rPr>
          <w:rFonts w:hint="eastAsia" w:ascii="仿宋" w:hAnsi="仿宋" w:eastAsia="仿宋" w:cs="Times New Roman"/>
          <w:color w:val="auto"/>
          <w:kern w:val="0"/>
          <w:sz w:val="32"/>
          <w:szCs w:val="32"/>
          <w:highlight w:val="none"/>
          <w:lang w:val="en-US" w:eastAsia="zh-CN"/>
        </w:rPr>
        <w:t>1</w:t>
      </w:r>
      <w:r>
        <w:rPr>
          <w:rFonts w:ascii="仿宋" w:hAnsi="仿宋" w:eastAsia="仿宋"/>
          <w:color w:val="auto"/>
          <w:sz w:val="32"/>
          <w:szCs w:val="32"/>
          <w:highlight w:val="none"/>
        </w:rPr>
        <w:t>个，包括</w:t>
      </w:r>
      <w:r>
        <w:rPr>
          <w:rFonts w:hint="eastAsia" w:ascii="仿宋" w:hAnsi="仿宋" w:eastAsia="仿宋"/>
          <w:color w:val="auto"/>
          <w:sz w:val="32"/>
          <w:szCs w:val="32"/>
          <w:highlight w:val="none"/>
        </w:rPr>
        <w:t>：</w:t>
      </w:r>
      <w:r>
        <w:rPr>
          <w:rFonts w:ascii="仿宋" w:hAnsi="仿宋" w:eastAsia="仿宋" w:cs="仿宋"/>
          <w:snapToGrid w:val="0"/>
          <w:color w:val="000000"/>
          <w:kern w:val="0"/>
          <w:sz w:val="31"/>
          <w:szCs w:val="31"/>
          <w:highlight w:val="none"/>
          <w:lang w:val="en-US" w:eastAsia="zh-CN" w:bidi="ar"/>
        </w:rPr>
        <w:t>兴国</w:t>
      </w:r>
      <w:r>
        <w:rPr>
          <w:rFonts w:hint="eastAsia" w:ascii="仿宋" w:hAnsi="仿宋" w:eastAsia="仿宋" w:cs="仿宋"/>
          <w:snapToGrid w:val="0"/>
          <w:color w:val="000000"/>
          <w:kern w:val="0"/>
          <w:sz w:val="31"/>
          <w:szCs w:val="31"/>
          <w:highlight w:val="none"/>
          <w:lang w:val="en-US" w:eastAsia="zh-CN" w:bidi="ar"/>
        </w:rPr>
        <w:t xml:space="preserve">县科学技术协会。 </w:t>
      </w:r>
    </w:p>
    <w:p>
      <w:pPr>
        <w:keepNext w:val="0"/>
        <w:keepLines w:val="0"/>
        <w:pageBreakBefore w:val="0"/>
        <w:wordWrap/>
        <w:overflowPunct/>
        <w:topLinePunct w:val="0"/>
        <w:bidi w:val="0"/>
        <w:spacing w:line="560" w:lineRule="exact"/>
        <w:ind w:firstLine="640" w:firstLineChars="200"/>
        <w:rPr>
          <w:color w:val="auto"/>
          <w:highlight w:val="none"/>
        </w:rPr>
      </w:pP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编制人数小计</w:t>
      </w:r>
      <w:r>
        <w:rPr>
          <w:rFonts w:hint="eastAsia" w:ascii="仿宋" w:hAnsi="仿宋" w:eastAsia="仿宋"/>
          <w:color w:val="auto"/>
          <w:sz w:val="32"/>
          <w:szCs w:val="32"/>
          <w:highlight w:val="none"/>
          <w:lang w:val="en-US" w:eastAsia="zh-CN"/>
        </w:rPr>
        <w:t>6</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行政编制人数</w:t>
      </w:r>
      <w:r>
        <w:rPr>
          <w:rFonts w:hint="eastAsia" w:ascii="仿宋" w:hAnsi="仿宋" w:eastAsia="仿宋"/>
          <w:color w:val="auto"/>
          <w:sz w:val="32"/>
          <w:szCs w:val="32"/>
          <w:highlight w:val="none"/>
          <w:lang w:val="en-US" w:eastAsia="zh-CN"/>
        </w:rPr>
        <w:t>6</w:t>
      </w:r>
      <w:r>
        <w:rPr>
          <w:rFonts w:ascii="仿宋" w:hAnsi="仿宋" w:eastAsia="仿宋"/>
          <w:color w:val="auto"/>
          <w:sz w:val="32"/>
          <w:szCs w:val="32"/>
          <w:highlight w:val="none"/>
        </w:rPr>
        <w:t>人,参照公务员管理的事业编制人数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人,全部补助事业编制人数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人,自收自支编制人数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${page400644146.ds532982397_REP_JX_BAS_AGENCY_INFO_ZYFRS_S_SYRSXJ}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实有人数小计</w:t>
      </w:r>
      <w:r>
        <w:rPr>
          <w:rFonts w:hint="eastAsia" w:ascii="仿宋" w:hAnsi="仿宋" w:eastAsia="仿宋"/>
          <w:color w:val="auto"/>
          <w:sz w:val="32"/>
          <w:szCs w:val="32"/>
          <w:highlight w:val="none"/>
          <w:lang w:val="en-US" w:eastAsia="zh-CN"/>
        </w:rPr>
        <w:t>6</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在职人数小计</w:t>
      </w:r>
      <w:r>
        <w:rPr>
          <w:rFonts w:hint="eastAsia" w:ascii="仿宋" w:hAnsi="仿宋" w:eastAsia="仿宋"/>
          <w:color w:val="auto"/>
          <w:sz w:val="32"/>
          <w:szCs w:val="32"/>
          <w:highlight w:val="none"/>
          <w:lang w:val="en-US" w:eastAsia="zh-CN"/>
        </w:rPr>
        <w:t>6</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行政在职人数</w:t>
      </w:r>
      <w:r>
        <w:rPr>
          <w:rFonts w:hint="eastAsia" w:ascii="仿宋" w:hAnsi="仿宋" w:eastAsia="仿宋"/>
          <w:color w:val="auto"/>
          <w:sz w:val="32"/>
          <w:szCs w:val="32"/>
          <w:highlight w:val="none"/>
          <w:lang w:val="en-US" w:eastAsia="zh-CN"/>
        </w:rPr>
        <w:t>6</w:t>
      </w:r>
      <w:r>
        <w:rPr>
          <w:rFonts w:ascii="仿宋" w:hAnsi="仿宋" w:eastAsia="仿宋"/>
          <w:color w:val="auto"/>
          <w:sz w:val="32"/>
          <w:szCs w:val="32"/>
          <w:highlight w:val="none"/>
        </w:rPr>
        <w:t>人,参照公务员管理的事业单位在职人数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人,全部补助事业在职人数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${page400644146.ds532982397_REP_JX_BAS_AGENCY_INFO_ZYFRS_S_QTRSMX}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离休人数小计</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人,退休人数小计</w:t>
      </w:r>
      <w:r>
        <w:rPr>
          <w:rFonts w:hint="eastAsia" w:ascii="仿宋" w:hAnsi="仿宋" w:eastAsia="仿宋"/>
          <w:color w:val="auto"/>
          <w:sz w:val="32"/>
          <w:szCs w:val="32"/>
          <w:highlight w:val="none"/>
          <w:lang w:val="en-US" w:eastAsia="zh-CN"/>
        </w:rPr>
        <w:t>9</w:t>
      </w:r>
      <w:r>
        <w:rPr>
          <w:rFonts w:ascii="仿宋" w:hAnsi="仿宋" w:eastAsia="仿宋"/>
          <w:color w:val="auto"/>
          <w:sz w:val="32"/>
          <w:szCs w:val="32"/>
          <w:highlight w:val="none"/>
        </w:rPr>
        <w:t>人,退职人员</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人,遗属人数</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人。</w:t>
      </w:r>
      <w:r>
        <w:rPr>
          <w:color w:val="auto"/>
          <w:highlight w:val="none"/>
        </w:rPr>
        <w:fldChar w:fldCharType="end"/>
      </w:r>
    </w:p>
    <w:p>
      <w:pPr>
        <w:pStyle w:val="3"/>
        <w:rPr>
          <w:color w:val="auto"/>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第二部分 兴国县</w:t>
      </w:r>
      <w:r>
        <w:rPr>
          <w:rFonts w:hint="eastAsia" w:ascii="黑体" w:hAnsi="黑体" w:eastAsia="黑体" w:cs="黑体"/>
          <w:b w:val="0"/>
          <w:bCs w:val="0"/>
          <w:color w:val="auto"/>
          <w:sz w:val="32"/>
          <w:szCs w:val="32"/>
          <w:highlight w:val="none"/>
          <w:lang w:val="en-US" w:eastAsia="zh-CN"/>
        </w:rPr>
        <w:t>科协</w:t>
      </w:r>
      <w:r>
        <w:rPr>
          <w:rFonts w:hint="eastAsia" w:ascii="黑体" w:hAnsi="黑体" w:eastAsia="黑体" w:cs="黑体"/>
          <w:b w:val="0"/>
          <w:bCs w:val="0"/>
          <w:color w:val="auto"/>
          <w:sz w:val="32"/>
          <w:szCs w:val="32"/>
          <w:highlight w:val="none"/>
        </w:rPr>
        <w:t>部门预算情况说明</w:t>
      </w:r>
    </w:p>
    <w:p>
      <w:pPr>
        <w:spacing w:line="560" w:lineRule="exact"/>
        <w:jc w:val="center"/>
        <w:rPr>
          <w:rFonts w:ascii="仿宋" w:hAnsi="仿宋" w:eastAsia="仿宋" w:cs="仿宋"/>
          <w:b/>
          <w:bCs/>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val="en-US" w:eastAsia="zh-CN"/>
        </w:rPr>
        <w:t>2023</w:t>
      </w:r>
      <w:r>
        <w:rPr>
          <w:rFonts w:hint="eastAsia" w:ascii="楷体" w:hAnsi="楷体" w:eastAsia="楷体" w:cs="楷体"/>
          <w:b/>
          <w:bCs/>
          <w:color w:val="auto"/>
          <w:sz w:val="32"/>
          <w:szCs w:val="32"/>
          <w:highlight w:val="none"/>
        </w:rPr>
        <w:t>年部门预算收支情况说明</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（一）收入预算情况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本部门收入</w:t>
      </w:r>
      <w:r>
        <w:rPr>
          <w:rFonts w:hint="eastAsia" w:ascii="仿宋" w:hAnsi="仿宋" w:eastAsia="仿宋" w:cs="仿宋"/>
          <w:color w:val="auto"/>
          <w:sz w:val="30"/>
          <w:szCs w:val="30"/>
          <w:highlight w:val="none"/>
        </w:rPr>
        <w:t>预算</w:t>
      </w:r>
      <w:r>
        <w:rPr>
          <w:rFonts w:hint="eastAsia" w:ascii="仿宋" w:hAnsi="仿宋" w:eastAsia="仿宋" w:cs="仿宋"/>
          <w:color w:val="auto"/>
          <w:sz w:val="30"/>
          <w:szCs w:val="30"/>
          <w:highlight w:val="none"/>
          <w:lang w:eastAsia="zh-CN"/>
        </w:rPr>
        <w:t>总额</w:t>
      </w:r>
      <w:r>
        <w:rPr>
          <w:rFonts w:hint="eastAsia" w:ascii="仿宋" w:hAnsi="仿宋" w:eastAsia="仿宋" w:cs="仿宋"/>
          <w:snapToGrid w:val="0"/>
          <w:color w:val="000000"/>
          <w:kern w:val="0"/>
          <w:sz w:val="31"/>
          <w:szCs w:val="31"/>
          <w:highlight w:val="none"/>
          <w:lang w:val="en-US" w:eastAsia="zh-CN" w:bidi="ar"/>
        </w:rPr>
        <w:t>280.92</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snapToGrid w:val="0"/>
          <w:color w:val="000000"/>
          <w:kern w:val="0"/>
          <w:sz w:val="31"/>
          <w:szCs w:val="31"/>
          <w:highlight w:val="none"/>
          <w:lang w:val="en-US" w:eastAsia="zh-CN" w:bidi="ar"/>
        </w:rPr>
        <w:t>减少144.67</w:t>
      </w:r>
      <w:r>
        <w:rPr>
          <w:rFonts w:hint="eastAsia" w:ascii="仿宋" w:hAnsi="仿宋" w:eastAsia="仿宋" w:cs="仿宋"/>
          <w:color w:val="auto"/>
          <w:sz w:val="32"/>
          <w:szCs w:val="32"/>
          <w:highlight w:val="none"/>
          <w:lang w:eastAsia="zh-CN"/>
        </w:rPr>
        <w:t>万元，</w:t>
      </w:r>
      <w:r>
        <w:rPr>
          <w:rFonts w:hint="eastAsia" w:ascii="仿宋" w:hAnsi="仿宋" w:eastAsia="仿宋" w:cs="仿宋"/>
          <w:snapToGrid w:val="0"/>
          <w:color w:val="000000"/>
          <w:kern w:val="0"/>
          <w:sz w:val="31"/>
          <w:szCs w:val="31"/>
          <w:highlight w:val="none"/>
          <w:lang w:val="en-US" w:eastAsia="zh-CN" w:bidi="ar"/>
        </w:rPr>
        <w:t>减少33.99</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snapToGrid w:val="0"/>
          <w:color w:val="000000"/>
          <w:kern w:val="0"/>
          <w:sz w:val="31"/>
          <w:szCs w:val="31"/>
          <w:highlight w:val="none"/>
          <w:lang w:val="en-US" w:eastAsia="zh-CN" w:bidi="ar"/>
        </w:rPr>
        <w:t>单位执行国库集中支付制度。</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pacing w:val="11"/>
          <w:sz w:val="30"/>
          <w:szCs w:val="30"/>
          <w:highlight w:val="none"/>
        </w:rPr>
        <w:t>其中：财政拨款收入</w:t>
      </w:r>
      <w:r>
        <w:rPr>
          <w:rFonts w:hint="eastAsia" w:ascii="仿宋" w:hAnsi="仿宋" w:eastAsia="仿宋" w:cs="仿宋"/>
          <w:color w:val="auto"/>
          <w:spacing w:val="11"/>
          <w:sz w:val="30"/>
          <w:szCs w:val="30"/>
          <w:highlight w:val="none"/>
          <w:lang w:val="en-US" w:eastAsia="zh-CN"/>
        </w:rPr>
        <w:t>111.92</w:t>
      </w:r>
      <w:r>
        <w:rPr>
          <w:rFonts w:hint="eastAsia" w:ascii="仿宋" w:hAnsi="仿宋" w:eastAsia="仿宋" w:cs="仿宋"/>
          <w:color w:val="auto"/>
          <w:spacing w:val="11"/>
          <w:sz w:val="30"/>
          <w:szCs w:val="30"/>
          <w:highlight w:val="none"/>
        </w:rPr>
        <w:t>万元,较</w:t>
      </w:r>
      <w:r>
        <w:rPr>
          <w:rFonts w:hint="eastAsia" w:ascii="仿宋" w:hAnsi="仿宋" w:eastAsia="仿宋" w:cs="仿宋"/>
          <w:color w:val="auto"/>
          <w:spacing w:val="23"/>
          <w:sz w:val="30"/>
          <w:szCs w:val="30"/>
          <w:highlight w:val="none"/>
        </w:rPr>
        <w:t>上年预算安排增加</w:t>
      </w:r>
      <w:r>
        <w:rPr>
          <w:rFonts w:hint="eastAsia" w:ascii="仿宋" w:hAnsi="仿宋" w:eastAsia="仿宋" w:cs="仿宋"/>
          <w:snapToGrid w:val="0"/>
          <w:color w:val="000000"/>
          <w:kern w:val="0"/>
          <w:sz w:val="31"/>
          <w:szCs w:val="31"/>
          <w:highlight w:val="none"/>
          <w:lang w:val="en-US" w:eastAsia="zh-CN" w:bidi="ar"/>
        </w:rPr>
        <w:t>2.69</w:t>
      </w:r>
      <w:r>
        <w:rPr>
          <w:rFonts w:hint="eastAsia" w:ascii="仿宋" w:hAnsi="仿宋" w:eastAsia="仿宋" w:cs="仿宋"/>
          <w:color w:val="auto"/>
          <w:spacing w:val="23"/>
          <w:sz w:val="30"/>
          <w:szCs w:val="30"/>
          <w:highlight w:val="none"/>
        </w:rPr>
        <w:t>万元;</w:t>
      </w:r>
      <w:r>
        <w:rPr>
          <w:rFonts w:hint="eastAsia" w:ascii="仿宋" w:hAnsi="仿宋" w:eastAsia="仿宋" w:cs="仿宋"/>
          <w:color w:val="auto"/>
          <w:spacing w:val="23"/>
          <w:sz w:val="30"/>
          <w:szCs w:val="30"/>
          <w:highlight w:val="none"/>
          <w:lang w:eastAsia="zh-CN"/>
        </w:rPr>
        <w:t>政府性基金预算收入</w:t>
      </w:r>
      <w:r>
        <w:rPr>
          <w:rFonts w:hint="eastAsia" w:ascii="仿宋" w:hAnsi="仿宋" w:eastAsia="仿宋" w:cs="仿宋"/>
          <w:color w:val="auto"/>
          <w:spacing w:val="23"/>
          <w:sz w:val="30"/>
          <w:szCs w:val="30"/>
          <w:highlight w:val="none"/>
        </w:rPr>
        <w:t>收</w:t>
      </w:r>
      <w:r>
        <w:rPr>
          <w:rFonts w:hint="eastAsia" w:ascii="仿宋" w:hAnsi="仿宋" w:eastAsia="仿宋" w:cs="仿宋"/>
          <w:color w:val="auto"/>
          <w:spacing w:val="23"/>
          <w:sz w:val="30"/>
          <w:szCs w:val="30"/>
          <w:highlight w:val="none"/>
          <w:lang w:eastAsia="zh-CN"/>
        </w:rPr>
        <w:t>入</w:t>
      </w:r>
      <w:r>
        <w:rPr>
          <w:rFonts w:hint="eastAsia" w:ascii="仿宋" w:hAnsi="仿宋" w:eastAsia="仿宋" w:cs="仿宋"/>
          <w:color w:val="auto"/>
          <w:spacing w:val="23"/>
          <w:sz w:val="30"/>
          <w:szCs w:val="30"/>
          <w:highlight w:val="none"/>
          <w:lang w:val="en-US" w:eastAsia="zh-CN"/>
        </w:rPr>
        <w:t>0</w:t>
      </w:r>
      <w:r>
        <w:rPr>
          <w:rFonts w:hint="eastAsia" w:ascii="仿宋" w:hAnsi="仿宋" w:eastAsia="仿宋" w:cs="仿宋"/>
          <w:color w:val="auto"/>
          <w:spacing w:val="28"/>
          <w:sz w:val="30"/>
          <w:szCs w:val="30"/>
          <w:highlight w:val="none"/>
        </w:rPr>
        <w:t>万元,较年预算安排</w:t>
      </w:r>
      <w:r>
        <w:rPr>
          <w:rFonts w:hint="eastAsia" w:ascii="仿宋" w:hAnsi="仿宋" w:eastAsia="仿宋" w:cs="仿宋"/>
          <w:color w:val="auto"/>
          <w:spacing w:val="23"/>
          <w:sz w:val="30"/>
          <w:szCs w:val="30"/>
          <w:highlight w:val="none"/>
        </w:rPr>
        <w:t>增加（减少）</w:t>
      </w:r>
      <w:r>
        <w:rPr>
          <w:rFonts w:hint="eastAsia" w:ascii="仿宋" w:hAnsi="仿宋" w:eastAsia="仿宋" w:cs="仿宋"/>
          <w:color w:val="auto"/>
          <w:spacing w:val="23"/>
          <w:sz w:val="30"/>
          <w:szCs w:val="30"/>
          <w:highlight w:val="none"/>
          <w:lang w:val="en-US" w:eastAsia="zh-CN"/>
        </w:rPr>
        <w:t>0</w:t>
      </w:r>
      <w:r>
        <w:rPr>
          <w:rFonts w:hint="eastAsia" w:ascii="仿宋" w:hAnsi="仿宋" w:eastAsia="仿宋" w:cs="仿宋"/>
          <w:color w:val="auto"/>
          <w:spacing w:val="28"/>
          <w:sz w:val="30"/>
          <w:szCs w:val="30"/>
          <w:highlight w:val="none"/>
        </w:rPr>
        <w:t>万元;</w:t>
      </w:r>
      <w:r>
        <w:rPr>
          <w:rFonts w:hint="eastAsia" w:ascii="仿宋" w:hAnsi="仿宋" w:eastAsia="仿宋" w:cs="仿宋"/>
          <w:color w:val="auto"/>
          <w:spacing w:val="23"/>
          <w:sz w:val="30"/>
          <w:szCs w:val="30"/>
          <w:highlight w:val="none"/>
        </w:rPr>
        <w:t>教育收费资金收</w:t>
      </w:r>
      <w:r>
        <w:rPr>
          <w:rFonts w:hint="eastAsia" w:ascii="仿宋" w:hAnsi="仿宋" w:eastAsia="仿宋" w:cs="仿宋"/>
          <w:color w:val="auto"/>
          <w:spacing w:val="23"/>
          <w:sz w:val="30"/>
          <w:szCs w:val="30"/>
          <w:highlight w:val="none"/>
          <w:lang w:eastAsia="zh-CN"/>
        </w:rPr>
        <w:t>入</w:t>
      </w:r>
      <w:r>
        <w:rPr>
          <w:rFonts w:hint="eastAsia" w:ascii="仿宋" w:hAnsi="仿宋" w:eastAsia="仿宋" w:cs="仿宋"/>
          <w:color w:val="auto"/>
          <w:spacing w:val="23"/>
          <w:sz w:val="30"/>
          <w:szCs w:val="30"/>
          <w:highlight w:val="none"/>
          <w:lang w:val="en-US" w:eastAsia="zh-CN"/>
        </w:rPr>
        <w:t>0</w:t>
      </w:r>
      <w:r>
        <w:rPr>
          <w:rFonts w:hint="eastAsia" w:ascii="仿宋" w:hAnsi="仿宋" w:eastAsia="仿宋" w:cs="仿宋"/>
          <w:color w:val="auto"/>
          <w:spacing w:val="28"/>
          <w:sz w:val="30"/>
          <w:szCs w:val="30"/>
          <w:highlight w:val="none"/>
        </w:rPr>
        <w:t>万元,较年预算安排</w:t>
      </w:r>
      <w:r>
        <w:rPr>
          <w:rFonts w:hint="eastAsia" w:ascii="仿宋" w:hAnsi="仿宋" w:eastAsia="仿宋" w:cs="仿宋"/>
          <w:color w:val="auto"/>
          <w:spacing w:val="23"/>
          <w:sz w:val="30"/>
          <w:szCs w:val="30"/>
          <w:highlight w:val="none"/>
        </w:rPr>
        <w:t>增加（减少）</w:t>
      </w:r>
      <w:r>
        <w:rPr>
          <w:rFonts w:hint="eastAsia" w:ascii="仿宋" w:hAnsi="仿宋" w:eastAsia="仿宋" w:cs="仿宋"/>
          <w:color w:val="auto"/>
          <w:spacing w:val="23"/>
          <w:sz w:val="30"/>
          <w:szCs w:val="30"/>
          <w:highlight w:val="none"/>
          <w:lang w:val="en-US" w:eastAsia="zh-CN"/>
        </w:rPr>
        <w:t>0</w:t>
      </w:r>
      <w:r>
        <w:rPr>
          <w:rFonts w:hint="eastAsia" w:ascii="仿宋" w:hAnsi="仿宋" w:eastAsia="仿宋" w:cs="仿宋"/>
          <w:color w:val="auto"/>
          <w:spacing w:val="28"/>
          <w:sz w:val="30"/>
          <w:szCs w:val="30"/>
          <w:highlight w:val="none"/>
        </w:rPr>
        <w:t>万元;事业收入</w:t>
      </w:r>
      <w:r>
        <w:rPr>
          <w:rFonts w:hint="eastAsia" w:ascii="仿宋" w:hAnsi="仿宋" w:eastAsia="仿宋" w:cs="仿宋"/>
          <w:color w:val="auto"/>
          <w:spacing w:val="28"/>
          <w:sz w:val="30"/>
          <w:szCs w:val="30"/>
          <w:highlight w:val="none"/>
          <w:lang w:val="en-US" w:eastAsia="zh-CN"/>
        </w:rPr>
        <w:t>0</w:t>
      </w:r>
      <w:r>
        <w:rPr>
          <w:rFonts w:hint="eastAsia" w:ascii="仿宋" w:hAnsi="仿宋" w:eastAsia="仿宋" w:cs="仿宋"/>
          <w:color w:val="auto"/>
          <w:spacing w:val="7"/>
          <w:sz w:val="30"/>
          <w:szCs w:val="30"/>
          <w:highlight w:val="none"/>
        </w:rPr>
        <w:t>万元,较上年预算安排增加（减少）</w:t>
      </w:r>
      <w:r>
        <w:rPr>
          <w:rFonts w:hint="eastAsia" w:ascii="仿宋" w:hAnsi="仿宋" w:eastAsia="仿宋" w:cs="仿宋"/>
          <w:color w:val="auto"/>
          <w:spacing w:val="7"/>
          <w:sz w:val="30"/>
          <w:szCs w:val="30"/>
          <w:highlight w:val="none"/>
          <w:lang w:val="en-US" w:eastAsia="zh-CN"/>
        </w:rPr>
        <w:t>0</w:t>
      </w:r>
      <w:r>
        <w:rPr>
          <w:rFonts w:hint="eastAsia" w:ascii="仿宋" w:hAnsi="仿宋" w:eastAsia="仿宋" w:cs="仿宋"/>
          <w:color w:val="auto"/>
          <w:spacing w:val="7"/>
          <w:sz w:val="30"/>
          <w:szCs w:val="30"/>
          <w:highlight w:val="none"/>
        </w:rPr>
        <w:t>万元;</w:t>
      </w:r>
      <w:r>
        <w:rPr>
          <w:rFonts w:hint="eastAsia" w:ascii="仿宋" w:hAnsi="仿宋" w:eastAsia="仿宋" w:cs="仿宋"/>
          <w:color w:val="auto"/>
          <w:spacing w:val="7"/>
          <w:sz w:val="30"/>
          <w:szCs w:val="30"/>
          <w:highlight w:val="none"/>
          <w:lang w:eastAsia="zh-CN"/>
        </w:rPr>
        <w:t>上级补助</w:t>
      </w:r>
      <w:r>
        <w:rPr>
          <w:rFonts w:hint="eastAsia" w:ascii="仿宋" w:hAnsi="仿宋" w:eastAsia="仿宋" w:cs="仿宋"/>
          <w:color w:val="auto"/>
          <w:spacing w:val="8"/>
          <w:sz w:val="30"/>
          <w:szCs w:val="30"/>
          <w:highlight w:val="none"/>
        </w:rPr>
        <w:t>收入</w:t>
      </w:r>
      <w:r>
        <w:rPr>
          <w:rFonts w:hint="eastAsia" w:ascii="仿宋" w:hAnsi="仿宋" w:eastAsia="仿宋" w:cs="仿宋"/>
          <w:color w:val="auto"/>
          <w:spacing w:val="8"/>
          <w:sz w:val="30"/>
          <w:szCs w:val="30"/>
          <w:highlight w:val="none"/>
          <w:lang w:val="en-US" w:eastAsia="zh-CN"/>
        </w:rPr>
        <w:t xml:space="preserve"> 0</w:t>
      </w:r>
      <w:r>
        <w:rPr>
          <w:rFonts w:hint="eastAsia" w:ascii="仿宋" w:hAnsi="仿宋" w:eastAsia="仿宋" w:cs="仿宋"/>
          <w:color w:val="auto"/>
          <w:spacing w:val="8"/>
          <w:sz w:val="30"/>
          <w:szCs w:val="30"/>
          <w:highlight w:val="none"/>
        </w:rPr>
        <w:t>万元,较上年预算安排减少</w:t>
      </w:r>
      <w:r>
        <w:rPr>
          <w:rFonts w:hint="eastAsia" w:ascii="仿宋" w:hAnsi="仿宋" w:eastAsia="仿宋" w:cs="仿宋"/>
          <w:color w:val="auto"/>
          <w:spacing w:val="8"/>
          <w:sz w:val="30"/>
          <w:szCs w:val="30"/>
          <w:highlight w:val="none"/>
          <w:lang w:val="en-US" w:eastAsia="zh-CN"/>
        </w:rPr>
        <w:t>13.5</w:t>
      </w:r>
      <w:r>
        <w:rPr>
          <w:rFonts w:hint="eastAsia" w:ascii="仿宋" w:hAnsi="仿宋" w:eastAsia="仿宋" w:cs="仿宋"/>
          <w:color w:val="auto"/>
          <w:spacing w:val="8"/>
          <w:sz w:val="30"/>
          <w:szCs w:val="30"/>
          <w:highlight w:val="none"/>
        </w:rPr>
        <w:t>万元；</w:t>
      </w:r>
      <w:r>
        <w:rPr>
          <w:rFonts w:hint="eastAsia" w:ascii="仿宋" w:hAnsi="仿宋" w:eastAsia="仿宋" w:cs="仿宋"/>
          <w:color w:val="auto"/>
          <w:spacing w:val="18"/>
          <w:sz w:val="30"/>
          <w:szCs w:val="30"/>
          <w:highlight w:val="none"/>
        </w:rPr>
        <w:t>其他收入</w:t>
      </w:r>
      <w:r>
        <w:rPr>
          <w:rFonts w:hint="eastAsia" w:ascii="仿宋" w:hAnsi="仿宋" w:eastAsia="仿宋" w:cs="仿宋"/>
          <w:color w:val="auto"/>
          <w:spacing w:val="18"/>
          <w:sz w:val="30"/>
          <w:szCs w:val="30"/>
          <w:highlight w:val="none"/>
          <w:lang w:val="en-US" w:eastAsia="zh-CN"/>
        </w:rPr>
        <w:t>169</w:t>
      </w:r>
      <w:r>
        <w:rPr>
          <w:rFonts w:hint="eastAsia" w:ascii="仿宋" w:hAnsi="仿宋" w:eastAsia="仿宋" w:cs="仿宋"/>
          <w:color w:val="auto"/>
          <w:spacing w:val="18"/>
          <w:sz w:val="30"/>
          <w:szCs w:val="30"/>
          <w:highlight w:val="none"/>
        </w:rPr>
        <w:t>万元，较上年预算安排减少</w:t>
      </w:r>
      <w:r>
        <w:rPr>
          <w:rFonts w:hint="eastAsia" w:ascii="仿宋" w:hAnsi="仿宋" w:eastAsia="仿宋" w:cs="仿宋"/>
          <w:color w:val="auto"/>
          <w:spacing w:val="18"/>
          <w:sz w:val="30"/>
          <w:szCs w:val="30"/>
          <w:highlight w:val="none"/>
          <w:lang w:val="en-US" w:eastAsia="zh-CN"/>
        </w:rPr>
        <w:t>133.86</w:t>
      </w:r>
      <w:r>
        <w:rPr>
          <w:rFonts w:hint="eastAsia" w:ascii="仿宋" w:hAnsi="仿宋" w:eastAsia="仿宋" w:cs="仿宋"/>
          <w:color w:val="auto"/>
          <w:spacing w:val="7"/>
          <w:sz w:val="30"/>
          <w:szCs w:val="30"/>
          <w:highlight w:val="none"/>
        </w:rPr>
        <w:t>万元</w:t>
      </w:r>
      <w:r>
        <w:rPr>
          <w:rFonts w:hint="eastAsia" w:ascii="仿宋" w:hAnsi="仿宋" w:eastAsia="仿宋" w:cs="仿宋"/>
          <w:color w:val="auto"/>
          <w:spacing w:val="4"/>
          <w:sz w:val="30"/>
          <w:szCs w:val="30"/>
          <w:highlight w:val="none"/>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spacing w:line="560" w:lineRule="exact"/>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lang w:val="en-US" w:eastAsia="zh-CN"/>
        </w:rPr>
        <w:t>280.92</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snapToGrid w:val="0"/>
          <w:color w:val="000000"/>
          <w:kern w:val="0"/>
          <w:sz w:val="31"/>
          <w:szCs w:val="31"/>
          <w:highlight w:val="none"/>
          <w:lang w:val="en-US" w:eastAsia="zh-CN" w:bidi="ar"/>
        </w:rPr>
        <w:t>减少144.67</w:t>
      </w:r>
      <w:r>
        <w:rPr>
          <w:rFonts w:hint="eastAsia" w:ascii="仿宋" w:hAnsi="仿宋" w:eastAsia="仿宋" w:cs="仿宋"/>
          <w:color w:val="auto"/>
          <w:sz w:val="32"/>
          <w:szCs w:val="32"/>
          <w:highlight w:val="none"/>
          <w:lang w:eastAsia="zh-CN"/>
        </w:rPr>
        <w:t>万元，</w:t>
      </w:r>
      <w:r>
        <w:rPr>
          <w:rFonts w:hint="eastAsia" w:ascii="仿宋" w:hAnsi="仿宋" w:eastAsia="仿宋" w:cs="仿宋"/>
          <w:snapToGrid w:val="0"/>
          <w:color w:val="000000"/>
          <w:kern w:val="0"/>
          <w:sz w:val="31"/>
          <w:szCs w:val="31"/>
          <w:highlight w:val="none"/>
          <w:lang w:val="en-US" w:eastAsia="zh-CN" w:bidi="ar"/>
        </w:rPr>
        <w:t>减少33.99</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snapToGrid w:val="0"/>
          <w:color w:val="000000"/>
          <w:kern w:val="0"/>
          <w:sz w:val="31"/>
          <w:szCs w:val="31"/>
          <w:highlight w:val="none"/>
          <w:lang w:val="en-US" w:eastAsia="zh-CN" w:bidi="ar"/>
        </w:rPr>
        <w:t>单位执行国库集中支付制度</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按支出项目类别及经济分类科目划分：</w:t>
      </w:r>
      <w:r>
        <w:rPr>
          <w:rFonts w:hint="eastAsia" w:ascii="仿宋" w:hAnsi="仿宋" w:eastAsia="仿宋" w:cs="仿宋"/>
          <w:color w:val="auto"/>
          <w:sz w:val="30"/>
          <w:szCs w:val="30"/>
          <w:highlight w:val="none"/>
          <w:lang w:eastAsia="zh-CN"/>
        </w:rPr>
        <w:t>基本支出</w:t>
      </w:r>
      <w:r>
        <w:rPr>
          <w:rFonts w:hint="eastAsia" w:ascii="仿宋" w:hAnsi="仿宋" w:eastAsia="仿宋" w:cs="仿宋"/>
          <w:b w:val="0"/>
          <w:bCs w:val="0"/>
          <w:spacing w:val="21"/>
          <w:sz w:val="31"/>
          <w:szCs w:val="31"/>
          <w:highlight w:val="none"/>
          <w:lang w:val="en-US" w:eastAsia="zh-CN"/>
        </w:rPr>
        <w:t>94.92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10.88万</w:t>
      </w:r>
      <w:r>
        <w:rPr>
          <w:rFonts w:hint="eastAsia" w:ascii="仿宋" w:hAnsi="仿宋" w:eastAsia="仿宋" w:cs="仿宋"/>
          <w:color w:val="auto"/>
          <w:sz w:val="32"/>
          <w:szCs w:val="32"/>
          <w:highlight w:val="none"/>
          <w:lang w:eastAsia="zh-CN"/>
        </w:rPr>
        <w:t>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z w:val="32"/>
          <w:szCs w:val="32"/>
          <w:highlight w:val="none"/>
          <w:u w:val="none"/>
          <w:lang w:val="en-US" w:eastAsia="zh-CN"/>
        </w:rPr>
        <w:t>85.05</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2"/>
          <w:szCs w:val="32"/>
          <w:highlight w:val="none"/>
          <w:u w:val="none"/>
          <w:lang w:val="en-US" w:eastAsia="zh-CN"/>
        </w:rPr>
        <w:t>9.4</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z w:val="32"/>
          <w:szCs w:val="32"/>
          <w:highlight w:val="none"/>
          <w:u w:val="none"/>
          <w:lang w:val="en-US" w:eastAsia="zh-CN"/>
        </w:rPr>
        <w:t>0.48</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u w:val="none"/>
          <w:lang w:val="en-US" w:eastAsia="zh-CN"/>
        </w:rPr>
        <w:t>186</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少</w:t>
      </w:r>
      <w:r>
        <w:rPr>
          <w:rFonts w:hint="eastAsia" w:ascii="仿宋" w:hAnsi="仿宋" w:eastAsia="仿宋" w:cs="仿宋"/>
          <w:color w:val="auto"/>
          <w:sz w:val="30"/>
          <w:szCs w:val="30"/>
          <w:highlight w:val="none"/>
          <w:lang w:val="en-US" w:eastAsia="zh-CN"/>
        </w:rPr>
        <w:t>155.55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u w:val="none"/>
          <w:lang w:eastAsia="zh-CN"/>
        </w:rPr>
        <w:t>万元，商品和服务支出</w:t>
      </w:r>
      <w:r>
        <w:rPr>
          <w:rFonts w:hint="eastAsia" w:ascii="仿宋" w:hAnsi="仿宋" w:eastAsia="仿宋" w:cs="仿宋"/>
          <w:color w:val="auto"/>
          <w:sz w:val="32"/>
          <w:szCs w:val="32"/>
          <w:highlight w:val="none"/>
          <w:u w:val="none"/>
          <w:lang w:val="en-US" w:eastAsia="zh-CN"/>
        </w:rPr>
        <w:t>186</w:t>
      </w:r>
      <w:r>
        <w:rPr>
          <w:rFonts w:hint="eastAsia" w:ascii="仿宋" w:hAnsi="仿宋" w:eastAsia="仿宋" w:cs="仿宋"/>
          <w:color w:val="auto"/>
          <w:sz w:val="30"/>
          <w:szCs w:val="30"/>
          <w:highlight w:val="none"/>
          <w:u w:val="none"/>
          <w:lang w:eastAsia="zh-CN"/>
        </w:rPr>
        <w:t>万元，对个人和家庭的补助</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u w:val="none"/>
          <w:lang w:eastAsia="zh-CN"/>
        </w:rPr>
        <w:t>万元，资本性支出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u w:val="none"/>
          <w:lang w:eastAsia="zh-CN"/>
        </w:rPr>
        <w:t>万元，其他相关支出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u w:val="none"/>
          <w:lang w:eastAsia="zh-CN"/>
        </w:rPr>
        <w:t>万</w:t>
      </w:r>
      <w:r>
        <w:rPr>
          <w:rFonts w:hint="eastAsia" w:ascii="仿宋" w:hAnsi="仿宋" w:eastAsia="仿宋" w:cs="仿宋"/>
          <w:color w:val="auto"/>
          <w:sz w:val="30"/>
          <w:szCs w:val="30"/>
          <w:highlight w:val="none"/>
          <w:lang w:eastAsia="zh-CN"/>
        </w:rPr>
        <w:t>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highlight w:val="none"/>
          <w:u w:val="none"/>
          <w:lang w:eastAsia="zh-CN"/>
        </w:rPr>
      </w:pPr>
      <w:r>
        <w:rPr>
          <w:rFonts w:hint="eastAsia" w:ascii="仿宋" w:hAnsi="仿宋" w:eastAsia="仿宋" w:cs="仿宋"/>
          <w:color w:val="auto"/>
          <w:sz w:val="30"/>
          <w:szCs w:val="30"/>
          <w:highlight w:val="none"/>
          <w:lang w:eastAsia="zh-CN"/>
        </w:rPr>
        <w:t>按</w:t>
      </w:r>
      <w:r>
        <w:rPr>
          <w:rFonts w:hint="eastAsia" w:ascii="仿宋" w:hAnsi="仿宋" w:eastAsia="仿宋" w:cs="仿宋"/>
          <w:color w:val="auto"/>
          <w:sz w:val="30"/>
          <w:szCs w:val="30"/>
          <w:highlight w:val="none"/>
          <w:u w:val="none"/>
          <w:lang w:eastAsia="zh-CN"/>
        </w:rPr>
        <w:t>支出功能分类科目划分：</w:t>
      </w:r>
      <w:r>
        <w:rPr>
          <w:rFonts w:hint="eastAsia" w:ascii="仿宋" w:hAnsi="仿宋" w:eastAsia="仿宋" w:cs="仿宋"/>
          <w:color w:val="auto"/>
          <w:spacing w:val="5"/>
          <w:sz w:val="30"/>
          <w:szCs w:val="30"/>
          <w:highlight w:val="none"/>
          <w:u w:val="none"/>
          <w:lang w:val="en-US" w:eastAsia="zh-CN"/>
        </w:rPr>
        <w:t>科学技术</w:t>
      </w:r>
      <w:r>
        <w:rPr>
          <w:rFonts w:hint="eastAsia" w:ascii="仿宋" w:hAnsi="仿宋" w:eastAsia="仿宋" w:cs="仿宋"/>
          <w:color w:val="auto"/>
          <w:spacing w:val="12"/>
          <w:sz w:val="30"/>
          <w:szCs w:val="30"/>
          <w:highlight w:val="none"/>
          <w:u w:val="none"/>
        </w:rPr>
        <w:t>支出</w:t>
      </w:r>
      <w:r>
        <w:rPr>
          <w:rFonts w:hint="eastAsia" w:ascii="仿宋" w:hAnsi="仿宋" w:eastAsia="仿宋" w:cs="仿宋"/>
          <w:color w:val="auto"/>
          <w:sz w:val="32"/>
          <w:szCs w:val="32"/>
          <w:highlight w:val="none"/>
          <w:u w:val="none"/>
          <w:lang w:val="en-US" w:eastAsia="zh-CN"/>
        </w:rPr>
        <w:t>254.39</w:t>
      </w:r>
      <w:r>
        <w:rPr>
          <w:rFonts w:hint="eastAsia" w:ascii="仿宋" w:hAnsi="仿宋" w:eastAsia="仿宋" w:cs="仿宋"/>
          <w:color w:val="auto"/>
          <w:spacing w:val="12"/>
          <w:sz w:val="30"/>
          <w:szCs w:val="30"/>
          <w:highlight w:val="none"/>
          <w:u w:val="none"/>
        </w:rPr>
        <w:t>万元,较</w:t>
      </w:r>
      <w:r>
        <w:rPr>
          <w:rFonts w:hint="eastAsia" w:ascii="仿宋" w:hAnsi="仿宋" w:eastAsia="仿宋" w:cs="仿宋"/>
          <w:color w:val="auto"/>
          <w:spacing w:val="5"/>
          <w:sz w:val="30"/>
          <w:szCs w:val="30"/>
          <w:highlight w:val="none"/>
          <w:u w:val="none"/>
        </w:rPr>
        <w:t>上年预算安排增加</w:t>
      </w:r>
      <w:r>
        <w:rPr>
          <w:rFonts w:hint="eastAsia" w:ascii="仿宋" w:hAnsi="仿宋" w:eastAsia="仿宋" w:cs="仿宋"/>
          <w:color w:val="auto"/>
          <w:spacing w:val="5"/>
          <w:sz w:val="30"/>
          <w:szCs w:val="30"/>
          <w:highlight w:val="none"/>
          <w:u w:val="none"/>
          <w:lang w:val="en-US" w:eastAsia="zh-CN"/>
        </w:rPr>
        <w:t>44.07</w:t>
      </w:r>
      <w:r>
        <w:rPr>
          <w:rFonts w:hint="eastAsia" w:ascii="仿宋" w:hAnsi="仿宋" w:eastAsia="仿宋" w:cs="仿宋"/>
          <w:color w:val="auto"/>
          <w:spacing w:val="5"/>
          <w:sz w:val="30"/>
          <w:szCs w:val="30"/>
          <w:highlight w:val="none"/>
          <w:u w:val="none"/>
        </w:rPr>
        <w:t>万元;社会保障和就业支出</w:t>
      </w:r>
      <w:r>
        <w:rPr>
          <w:rFonts w:hint="eastAsia" w:ascii="仿宋" w:hAnsi="仿宋" w:eastAsia="仿宋" w:cs="仿宋"/>
          <w:color w:val="auto"/>
          <w:sz w:val="32"/>
          <w:szCs w:val="32"/>
          <w:highlight w:val="none"/>
          <w:u w:val="none"/>
          <w:lang w:val="en-US" w:eastAsia="zh-CN"/>
        </w:rPr>
        <w:t>9.2</w:t>
      </w:r>
      <w:r>
        <w:rPr>
          <w:rFonts w:hint="eastAsia" w:ascii="仿宋" w:hAnsi="仿宋" w:eastAsia="仿宋" w:cs="仿宋"/>
          <w:color w:val="auto"/>
          <w:spacing w:val="5"/>
          <w:sz w:val="30"/>
          <w:szCs w:val="30"/>
          <w:highlight w:val="none"/>
          <w:u w:val="none"/>
        </w:rPr>
        <w:t>万元,较</w:t>
      </w:r>
      <w:r>
        <w:rPr>
          <w:rFonts w:hint="eastAsia" w:ascii="仿宋" w:hAnsi="仿宋" w:eastAsia="仿宋" w:cs="仿宋"/>
          <w:color w:val="auto"/>
          <w:spacing w:val="10"/>
          <w:sz w:val="30"/>
          <w:szCs w:val="30"/>
          <w:highlight w:val="none"/>
          <w:u w:val="none"/>
        </w:rPr>
        <w:t>上年预算安排减少</w:t>
      </w:r>
      <w:r>
        <w:rPr>
          <w:rFonts w:hint="eastAsia" w:ascii="仿宋" w:hAnsi="仿宋" w:eastAsia="仿宋" w:cs="仿宋"/>
          <w:color w:val="auto"/>
          <w:spacing w:val="10"/>
          <w:sz w:val="30"/>
          <w:szCs w:val="30"/>
          <w:highlight w:val="none"/>
          <w:u w:val="none"/>
          <w:lang w:val="en-US" w:eastAsia="zh-CN"/>
        </w:rPr>
        <w:t>1.89</w:t>
      </w:r>
      <w:r>
        <w:rPr>
          <w:rFonts w:hint="eastAsia" w:ascii="仿宋" w:hAnsi="仿宋" w:eastAsia="仿宋" w:cs="仿宋"/>
          <w:color w:val="auto"/>
          <w:spacing w:val="10"/>
          <w:sz w:val="30"/>
          <w:szCs w:val="30"/>
          <w:highlight w:val="none"/>
          <w:u w:val="none"/>
        </w:rPr>
        <w:t>万元;卫生健康支出</w:t>
      </w:r>
      <w:r>
        <w:rPr>
          <w:rFonts w:hint="eastAsia" w:ascii="仿宋" w:hAnsi="仿宋" w:eastAsia="仿宋" w:cs="仿宋"/>
          <w:color w:val="auto"/>
          <w:sz w:val="32"/>
          <w:szCs w:val="32"/>
          <w:highlight w:val="none"/>
          <w:u w:val="none"/>
          <w:lang w:val="en-US" w:eastAsia="zh-CN"/>
        </w:rPr>
        <w:t>10.25</w:t>
      </w:r>
      <w:r>
        <w:rPr>
          <w:rFonts w:hint="eastAsia" w:ascii="仿宋" w:hAnsi="仿宋" w:eastAsia="仿宋" w:cs="仿宋"/>
          <w:color w:val="auto"/>
          <w:spacing w:val="10"/>
          <w:sz w:val="30"/>
          <w:szCs w:val="30"/>
          <w:highlight w:val="none"/>
          <w:u w:val="none"/>
        </w:rPr>
        <w:t>万</w:t>
      </w:r>
      <w:r>
        <w:rPr>
          <w:rFonts w:hint="eastAsia" w:ascii="仿宋" w:hAnsi="仿宋" w:eastAsia="仿宋" w:cs="仿宋"/>
          <w:color w:val="auto"/>
          <w:spacing w:val="5"/>
          <w:sz w:val="30"/>
          <w:szCs w:val="30"/>
          <w:highlight w:val="none"/>
          <w:u w:val="none"/>
        </w:rPr>
        <w:t>元,较上年预算安排增加</w:t>
      </w:r>
      <w:r>
        <w:rPr>
          <w:rFonts w:hint="eastAsia" w:ascii="仿宋" w:hAnsi="仿宋" w:eastAsia="仿宋" w:cs="仿宋"/>
          <w:color w:val="auto"/>
          <w:sz w:val="32"/>
          <w:szCs w:val="32"/>
          <w:highlight w:val="none"/>
          <w:u w:val="none"/>
          <w:lang w:val="en-US" w:eastAsia="zh-CN"/>
        </w:rPr>
        <w:t>0.07</w:t>
      </w:r>
      <w:r>
        <w:rPr>
          <w:rFonts w:hint="eastAsia" w:ascii="仿宋" w:hAnsi="仿宋" w:eastAsia="仿宋" w:cs="仿宋"/>
          <w:color w:val="auto"/>
          <w:spacing w:val="5"/>
          <w:sz w:val="30"/>
          <w:szCs w:val="30"/>
          <w:highlight w:val="none"/>
          <w:u w:val="none"/>
        </w:rPr>
        <w:t>万元;住房保障支出</w:t>
      </w:r>
      <w:r>
        <w:rPr>
          <w:rFonts w:hint="eastAsia" w:ascii="仿宋" w:hAnsi="仿宋" w:eastAsia="仿宋" w:cs="仿宋"/>
          <w:color w:val="auto"/>
          <w:sz w:val="32"/>
          <w:szCs w:val="32"/>
          <w:highlight w:val="none"/>
          <w:u w:val="none"/>
          <w:lang w:val="en-US" w:eastAsia="zh-CN"/>
        </w:rPr>
        <w:t>7.08</w:t>
      </w:r>
      <w:r>
        <w:rPr>
          <w:rFonts w:hint="eastAsia" w:ascii="仿宋" w:hAnsi="仿宋" w:eastAsia="仿宋" w:cs="仿宋"/>
          <w:color w:val="auto"/>
          <w:spacing w:val="5"/>
          <w:sz w:val="30"/>
          <w:szCs w:val="30"/>
          <w:highlight w:val="none"/>
          <w:u w:val="none"/>
        </w:rPr>
        <w:t>万</w:t>
      </w:r>
      <w:r>
        <w:rPr>
          <w:rFonts w:hint="eastAsia" w:ascii="仿宋" w:hAnsi="仿宋" w:eastAsia="仿宋" w:cs="仿宋"/>
          <w:color w:val="auto"/>
          <w:spacing w:val="17"/>
          <w:sz w:val="30"/>
          <w:szCs w:val="30"/>
          <w:highlight w:val="none"/>
          <w:u w:val="none"/>
        </w:rPr>
        <w:t>元,较上年预算安</w:t>
      </w:r>
      <w:bookmarkStart w:id="0" w:name="_GoBack"/>
      <w:bookmarkEnd w:id="0"/>
      <w:r>
        <w:rPr>
          <w:rFonts w:hint="eastAsia" w:ascii="仿宋" w:hAnsi="仿宋" w:eastAsia="仿宋" w:cs="仿宋"/>
          <w:color w:val="auto"/>
          <w:spacing w:val="17"/>
          <w:sz w:val="30"/>
          <w:szCs w:val="30"/>
          <w:highlight w:val="none"/>
          <w:u w:val="none"/>
        </w:rPr>
        <w:t>排增加</w:t>
      </w:r>
      <w:r>
        <w:rPr>
          <w:rFonts w:hint="eastAsia" w:ascii="仿宋" w:hAnsi="仿宋" w:eastAsia="仿宋" w:cs="仿宋"/>
          <w:color w:val="auto"/>
          <w:spacing w:val="17"/>
          <w:sz w:val="30"/>
          <w:szCs w:val="30"/>
          <w:highlight w:val="none"/>
          <w:u w:val="none"/>
          <w:lang w:val="en-US" w:eastAsia="zh-CN"/>
        </w:rPr>
        <w:t>0.34</w:t>
      </w:r>
      <w:r>
        <w:rPr>
          <w:rFonts w:hint="eastAsia" w:ascii="仿宋" w:hAnsi="仿宋" w:eastAsia="仿宋" w:cs="仿宋"/>
          <w:color w:val="auto"/>
          <w:spacing w:val="17"/>
          <w:sz w:val="30"/>
          <w:szCs w:val="30"/>
          <w:highlight w:val="none"/>
          <w:u w:val="none"/>
        </w:rPr>
        <w:t>万元;其他支出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pacing w:val="5"/>
          <w:sz w:val="30"/>
          <w:szCs w:val="30"/>
          <w:highlight w:val="none"/>
          <w:u w:val="none"/>
        </w:rPr>
        <w:t>万</w:t>
      </w:r>
      <w:r>
        <w:rPr>
          <w:rFonts w:hint="eastAsia" w:ascii="仿宋" w:hAnsi="仿宋" w:eastAsia="仿宋" w:cs="仿宋"/>
          <w:color w:val="auto"/>
          <w:spacing w:val="17"/>
          <w:sz w:val="30"/>
          <w:szCs w:val="30"/>
          <w:highlight w:val="none"/>
          <w:u w:val="none"/>
        </w:rPr>
        <w:t>元,较上年预算安排减少</w:t>
      </w:r>
      <w:r>
        <w:rPr>
          <w:rFonts w:hint="eastAsia" w:ascii="仿宋" w:hAnsi="仿宋" w:eastAsia="仿宋" w:cs="仿宋"/>
          <w:color w:val="auto"/>
          <w:spacing w:val="17"/>
          <w:sz w:val="30"/>
          <w:szCs w:val="30"/>
          <w:highlight w:val="none"/>
          <w:u w:val="none"/>
          <w:lang w:val="en-US" w:eastAsia="zh-CN"/>
        </w:rPr>
        <w:t>187.26</w:t>
      </w:r>
      <w:r>
        <w:rPr>
          <w:rFonts w:hint="eastAsia" w:ascii="仿宋" w:hAnsi="仿宋" w:eastAsia="仿宋" w:cs="仿宋"/>
          <w:color w:val="auto"/>
          <w:spacing w:val="17"/>
          <w:sz w:val="30"/>
          <w:szCs w:val="30"/>
          <w:highlight w:val="none"/>
          <w:u w:val="none"/>
        </w:rPr>
        <w:t>万元</w:t>
      </w:r>
      <w:r>
        <w:rPr>
          <w:rFonts w:hint="eastAsia" w:ascii="仿宋" w:hAnsi="仿宋" w:eastAsia="仿宋" w:cs="仿宋"/>
          <w:snapToGrid w:val="0"/>
          <w:color w:val="000000"/>
          <w:kern w:val="0"/>
          <w:sz w:val="31"/>
          <w:szCs w:val="31"/>
          <w:highlight w:val="none"/>
          <w:lang w:val="en-US" w:eastAsia="zh-CN" w:bidi="ar"/>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pStyle w:val="3"/>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财政拨款支出预算</w:t>
      </w:r>
      <w:r>
        <w:rPr>
          <w:rFonts w:hint="eastAsia" w:ascii="仿宋" w:hAnsi="仿宋" w:eastAsia="仿宋" w:cs="仿宋"/>
          <w:snapToGrid w:val="0"/>
          <w:color w:val="000000"/>
          <w:kern w:val="0"/>
          <w:sz w:val="31"/>
          <w:szCs w:val="31"/>
          <w:highlight w:val="none"/>
          <w:lang w:val="en-US" w:eastAsia="zh-CN" w:bidi="ar"/>
        </w:rPr>
        <w:t>111.92</w:t>
      </w:r>
      <w:r>
        <w:rPr>
          <w:rFonts w:hint="eastAsia" w:ascii="仿宋" w:hAnsi="仿宋" w:eastAsia="仿宋" w:cs="仿宋"/>
          <w:color w:val="auto"/>
          <w:sz w:val="30"/>
          <w:szCs w:val="30"/>
          <w:highlight w:val="none"/>
        </w:rPr>
        <w:t>万元，占</w:t>
      </w:r>
      <w:r>
        <w:rPr>
          <w:rFonts w:hint="eastAsia" w:ascii="仿宋" w:hAnsi="仿宋" w:eastAsia="仿宋" w:cs="仿宋"/>
          <w:color w:val="auto"/>
          <w:sz w:val="30"/>
          <w:szCs w:val="30"/>
          <w:highlight w:val="none"/>
          <w:lang w:eastAsia="zh-CN"/>
        </w:rPr>
        <w:t>本年</w:t>
      </w:r>
      <w:r>
        <w:rPr>
          <w:rFonts w:hint="eastAsia" w:ascii="仿宋" w:hAnsi="仿宋" w:eastAsia="仿宋" w:cs="仿宋"/>
          <w:color w:val="auto"/>
          <w:sz w:val="30"/>
          <w:szCs w:val="30"/>
          <w:highlight w:val="none"/>
        </w:rPr>
        <w:t>支出预算额的</w:t>
      </w:r>
      <w:r>
        <w:rPr>
          <w:rFonts w:hint="eastAsia" w:ascii="仿宋" w:hAnsi="仿宋" w:eastAsia="仿宋" w:cs="仿宋"/>
          <w:snapToGrid w:val="0"/>
          <w:color w:val="000000"/>
          <w:kern w:val="0"/>
          <w:sz w:val="31"/>
          <w:szCs w:val="31"/>
          <w:highlight w:val="none"/>
          <w:lang w:val="en-US" w:eastAsia="zh-CN" w:bidi="ar"/>
        </w:rPr>
        <w:t>39.84</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2.69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2.46%</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w:t>
      </w:r>
      <w:r>
        <w:rPr>
          <w:rFonts w:hint="eastAsia" w:ascii="仿宋" w:hAnsi="仿宋" w:eastAsia="仿宋" w:cs="仿宋"/>
          <w:color w:val="auto"/>
          <w:sz w:val="32"/>
          <w:szCs w:val="32"/>
          <w:highlight w:val="none"/>
          <w:lang w:val="en-US" w:eastAsia="zh-CN"/>
        </w:rPr>
        <w:t>人员经费的增加</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0"/>
          <w:szCs w:val="30"/>
          <w:highlight w:val="none"/>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pacing w:val="-131"/>
          <w:sz w:val="30"/>
          <w:szCs w:val="30"/>
          <w:highlight w:val="none"/>
        </w:rPr>
        <w:t xml:space="preserve"> </w:t>
      </w:r>
      <w:r>
        <w:rPr>
          <w:rFonts w:hint="eastAsia" w:ascii="仿宋" w:hAnsi="仿宋" w:eastAsia="仿宋" w:cs="仿宋"/>
          <w:color w:val="auto"/>
          <w:sz w:val="32"/>
          <w:szCs w:val="32"/>
          <w:highlight w:val="none"/>
          <w:u w:val="none"/>
          <w:lang w:val="en-US" w:eastAsia="zh-CN"/>
        </w:rPr>
        <w:t>94.92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15.69</w:t>
      </w:r>
      <w:r>
        <w:rPr>
          <w:rFonts w:hint="eastAsia" w:ascii="仿宋" w:hAnsi="仿宋" w:eastAsia="仿宋" w:cs="仿宋"/>
          <w:color w:val="auto"/>
          <w:sz w:val="32"/>
          <w:szCs w:val="32"/>
          <w:highlight w:val="none"/>
          <w:lang w:eastAsia="zh-CN"/>
        </w:rPr>
        <w:t>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b w:val="0"/>
          <w:bCs w:val="0"/>
          <w:spacing w:val="21"/>
          <w:sz w:val="31"/>
          <w:szCs w:val="31"/>
          <w:highlight w:val="none"/>
          <w:lang w:val="en-US" w:eastAsia="zh-CN"/>
        </w:rPr>
        <w:t>85.05</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b w:val="0"/>
          <w:bCs w:val="0"/>
          <w:spacing w:val="21"/>
          <w:sz w:val="31"/>
          <w:szCs w:val="31"/>
          <w:highlight w:val="none"/>
          <w:lang w:val="en-US" w:eastAsia="zh-CN"/>
        </w:rPr>
        <w:t>9.4</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b w:val="0"/>
          <w:bCs w:val="0"/>
          <w:spacing w:val="21"/>
          <w:sz w:val="31"/>
          <w:szCs w:val="31"/>
          <w:highlight w:val="none"/>
          <w:lang w:val="en-US" w:eastAsia="zh-CN"/>
        </w:rPr>
        <w:t>0.48</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万元。项目支出</w:t>
      </w:r>
      <w:r>
        <w:rPr>
          <w:rFonts w:hint="eastAsia" w:ascii="仿宋" w:hAnsi="仿宋" w:eastAsia="仿宋" w:cs="仿宋"/>
          <w:color w:val="auto"/>
          <w:sz w:val="32"/>
          <w:szCs w:val="32"/>
          <w:highlight w:val="none"/>
          <w:u w:val="none"/>
          <w:lang w:val="en-US" w:eastAsia="zh-CN"/>
        </w:rPr>
        <w:t>17</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13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其中：工资福利支出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万元，商品和服务支出</w:t>
      </w:r>
      <w:r>
        <w:rPr>
          <w:rFonts w:hint="eastAsia" w:ascii="仿宋" w:hAnsi="仿宋" w:eastAsia="仿宋" w:cs="仿宋"/>
          <w:color w:val="auto"/>
          <w:sz w:val="32"/>
          <w:szCs w:val="32"/>
          <w:highlight w:val="none"/>
          <w:u w:val="none"/>
          <w:lang w:val="en-US" w:eastAsia="zh-CN"/>
        </w:rPr>
        <w:t>17</w:t>
      </w:r>
      <w:r>
        <w:rPr>
          <w:rFonts w:hint="eastAsia" w:ascii="仿宋" w:hAnsi="仿宋" w:eastAsia="仿宋" w:cs="仿宋"/>
          <w:color w:val="auto"/>
          <w:sz w:val="30"/>
          <w:szCs w:val="30"/>
          <w:highlight w:val="none"/>
          <w:lang w:eastAsia="zh-CN"/>
        </w:rPr>
        <w:t>万元，对个人和家庭的补助</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万元，资本性支出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万元，其他相关支出</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0"/>
          <w:szCs w:val="30"/>
          <w:highlight w:val="none"/>
          <w:lang w:eastAsia="zh-CN"/>
        </w:rPr>
        <w:t>万元。</w:t>
      </w:r>
    </w:p>
    <w:p>
      <w:pPr>
        <w:spacing w:line="560" w:lineRule="exact"/>
        <w:ind w:firstLine="600" w:firstLineChars="200"/>
        <w:rPr>
          <w:rFonts w:hint="eastAsia" w:ascii="仿宋" w:hAnsi="仿宋" w:eastAsia="仿宋" w:cs="仿宋"/>
          <w:color w:val="auto"/>
          <w:spacing w:val="17"/>
          <w:sz w:val="30"/>
          <w:szCs w:val="30"/>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snapToGrid w:val="0"/>
          <w:color w:val="000000"/>
          <w:kern w:val="0"/>
          <w:sz w:val="31"/>
          <w:szCs w:val="31"/>
          <w:highlight w:val="none"/>
          <w:lang w:val="en-US" w:eastAsia="zh-CN" w:bidi="ar"/>
        </w:rPr>
        <w:t>科学技术</w:t>
      </w:r>
      <w:r>
        <w:rPr>
          <w:rFonts w:hint="eastAsia" w:ascii="仿宋" w:hAnsi="仿宋" w:eastAsia="仿宋" w:cs="仿宋"/>
          <w:color w:val="auto"/>
          <w:spacing w:val="12"/>
          <w:sz w:val="30"/>
          <w:szCs w:val="30"/>
          <w:highlight w:val="none"/>
        </w:rPr>
        <w:t>支出</w:t>
      </w:r>
      <w:r>
        <w:rPr>
          <w:rFonts w:hint="eastAsia" w:ascii="仿宋" w:hAnsi="仿宋" w:eastAsia="仿宋" w:cs="仿宋"/>
          <w:color w:val="auto"/>
          <w:sz w:val="32"/>
          <w:szCs w:val="32"/>
          <w:highlight w:val="none"/>
          <w:u w:val="none"/>
          <w:lang w:val="en-US" w:eastAsia="zh-CN"/>
        </w:rPr>
        <w:t>85.39</w:t>
      </w:r>
      <w:r>
        <w:rPr>
          <w:rFonts w:hint="eastAsia" w:ascii="仿宋" w:hAnsi="仿宋" w:eastAsia="仿宋" w:cs="仿宋"/>
          <w:color w:val="auto"/>
          <w:spacing w:val="12"/>
          <w:sz w:val="30"/>
          <w:szCs w:val="30"/>
          <w:highlight w:val="none"/>
        </w:rPr>
        <w:t>万元,较</w:t>
      </w:r>
      <w:r>
        <w:rPr>
          <w:rFonts w:hint="eastAsia" w:ascii="仿宋" w:hAnsi="仿宋" w:eastAsia="仿宋" w:cs="仿宋"/>
          <w:color w:val="auto"/>
          <w:spacing w:val="5"/>
          <w:sz w:val="30"/>
          <w:szCs w:val="30"/>
          <w:highlight w:val="none"/>
        </w:rPr>
        <w:t>上年预算安排增加</w:t>
      </w:r>
      <w:r>
        <w:rPr>
          <w:rFonts w:hint="eastAsia" w:ascii="仿宋" w:hAnsi="仿宋" w:eastAsia="仿宋" w:cs="仿宋"/>
          <w:color w:val="auto"/>
          <w:spacing w:val="5"/>
          <w:sz w:val="30"/>
          <w:szCs w:val="30"/>
          <w:highlight w:val="none"/>
          <w:lang w:val="en-US" w:eastAsia="zh-CN"/>
        </w:rPr>
        <w:t>3.06</w:t>
      </w:r>
      <w:r>
        <w:rPr>
          <w:rFonts w:hint="eastAsia" w:ascii="仿宋" w:hAnsi="仿宋" w:eastAsia="仿宋" w:cs="仿宋"/>
          <w:color w:val="auto"/>
          <w:spacing w:val="5"/>
          <w:sz w:val="30"/>
          <w:szCs w:val="30"/>
          <w:highlight w:val="none"/>
        </w:rPr>
        <w:t>万元;社会保障和就业支出</w:t>
      </w:r>
      <w:r>
        <w:rPr>
          <w:rFonts w:hint="eastAsia" w:ascii="仿宋" w:hAnsi="仿宋" w:eastAsia="仿宋" w:cs="仿宋"/>
          <w:color w:val="auto"/>
          <w:sz w:val="32"/>
          <w:szCs w:val="32"/>
          <w:highlight w:val="none"/>
          <w:u w:val="none"/>
          <w:lang w:val="en-US" w:eastAsia="zh-CN"/>
        </w:rPr>
        <w:t>9.2</w:t>
      </w:r>
      <w:r>
        <w:rPr>
          <w:rFonts w:hint="eastAsia" w:ascii="仿宋" w:hAnsi="仿宋" w:eastAsia="仿宋" w:cs="仿宋"/>
          <w:color w:val="auto"/>
          <w:spacing w:val="5"/>
          <w:sz w:val="30"/>
          <w:szCs w:val="30"/>
          <w:highlight w:val="none"/>
        </w:rPr>
        <w:t>万元,较</w:t>
      </w:r>
      <w:r>
        <w:rPr>
          <w:rFonts w:hint="eastAsia" w:ascii="仿宋" w:hAnsi="仿宋" w:eastAsia="仿宋" w:cs="仿宋"/>
          <w:color w:val="auto"/>
          <w:spacing w:val="10"/>
          <w:sz w:val="30"/>
          <w:szCs w:val="30"/>
          <w:highlight w:val="none"/>
        </w:rPr>
        <w:t>上年预算安排减少</w:t>
      </w:r>
      <w:r>
        <w:rPr>
          <w:rFonts w:hint="eastAsia" w:ascii="仿宋" w:hAnsi="仿宋" w:eastAsia="仿宋" w:cs="仿宋"/>
          <w:color w:val="auto"/>
          <w:spacing w:val="10"/>
          <w:sz w:val="30"/>
          <w:szCs w:val="30"/>
          <w:highlight w:val="none"/>
          <w:lang w:val="en-US" w:eastAsia="zh-CN"/>
        </w:rPr>
        <w:t>1.1</w:t>
      </w:r>
      <w:r>
        <w:rPr>
          <w:rFonts w:hint="eastAsia" w:ascii="仿宋" w:hAnsi="仿宋" w:eastAsia="仿宋" w:cs="仿宋"/>
          <w:color w:val="auto"/>
          <w:spacing w:val="10"/>
          <w:sz w:val="30"/>
          <w:szCs w:val="30"/>
          <w:highlight w:val="none"/>
        </w:rPr>
        <w:t>万元;卫生健康支出</w:t>
      </w:r>
      <w:r>
        <w:rPr>
          <w:rFonts w:hint="eastAsia" w:ascii="仿宋" w:hAnsi="仿宋" w:eastAsia="仿宋" w:cs="仿宋"/>
          <w:color w:val="auto"/>
          <w:sz w:val="32"/>
          <w:szCs w:val="32"/>
          <w:highlight w:val="none"/>
          <w:u w:val="none"/>
          <w:lang w:val="en-US" w:eastAsia="zh-CN"/>
        </w:rPr>
        <w:t>10.25</w:t>
      </w:r>
      <w:r>
        <w:rPr>
          <w:rFonts w:hint="eastAsia" w:ascii="仿宋" w:hAnsi="仿宋" w:eastAsia="仿宋" w:cs="仿宋"/>
          <w:color w:val="auto"/>
          <w:spacing w:val="10"/>
          <w:sz w:val="30"/>
          <w:szCs w:val="30"/>
          <w:highlight w:val="none"/>
        </w:rPr>
        <w:t>万</w:t>
      </w:r>
      <w:r>
        <w:rPr>
          <w:rFonts w:hint="eastAsia" w:ascii="仿宋" w:hAnsi="仿宋" w:eastAsia="仿宋" w:cs="仿宋"/>
          <w:color w:val="auto"/>
          <w:spacing w:val="5"/>
          <w:sz w:val="30"/>
          <w:szCs w:val="30"/>
          <w:highlight w:val="none"/>
        </w:rPr>
        <w:t>元,较上年预算安排增加</w:t>
      </w:r>
      <w:r>
        <w:rPr>
          <w:rFonts w:hint="eastAsia" w:ascii="仿宋" w:hAnsi="仿宋" w:eastAsia="仿宋" w:cs="仿宋"/>
          <w:color w:val="auto"/>
          <w:spacing w:val="5"/>
          <w:sz w:val="30"/>
          <w:szCs w:val="30"/>
          <w:highlight w:val="none"/>
          <w:lang w:val="en-US" w:eastAsia="zh-CN"/>
        </w:rPr>
        <w:t>0.39</w:t>
      </w:r>
      <w:r>
        <w:rPr>
          <w:rFonts w:hint="eastAsia" w:ascii="仿宋" w:hAnsi="仿宋" w:eastAsia="仿宋" w:cs="仿宋"/>
          <w:color w:val="auto"/>
          <w:spacing w:val="5"/>
          <w:sz w:val="30"/>
          <w:szCs w:val="30"/>
          <w:highlight w:val="none"/>
        </w:rPr>
        <w:t>万元;住房保障支出</w:t>
      </w:r>
      <w:r>
        <w:rPr>
          <w:rFonts w:hint="eastAsia" w:ascii="仿宋" w:hAnsi="仿宋" w:eastAsia="仿宋" w:cs="仿宋"/>
          <w:color w:val="auto"/>
          <w:sz w:val="32"/>
          <w:szCs w:val="32"/>
          <w:highlight w:val="none"/>
          <w:u w:val="none"/>
          <w:lang w:val="en-US" w:eastAsia="zh-CN"/>
        </w:rPr>
        <w:t>7.08</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元,较上年预算安排增加</w:t>
      </w:r>
      <w:r>
        <w:rPr>
          <w:rFonts w:hint="eastAsia" w:ascii="仿宋" w:hAnsi="仿宋" w:eastAsia="仿宋" w:cs="仿宋"/>
          <w:color w:val="auto"/>
          <w:spacing w:val="17"/>
          <w:sz w:val="30"/>
          <w:szCs w:val="30"/>
          <w:highlight w:val="none"/>
          <w:lang w:val="en-US" w:eastAsia="zh-CN"/>
        </w:rPr>
        <w:t>0.34</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val="en-US" w:eastAsia="zh-CN"/>
        </w:rPr>
        <w:t>主要是</w:t>
      </w:r>
      <w:r>
        <w:rPr>
          <w:rFonts w:hint="eastAsia" w:ascii="仿宋" w:hAnsi="仿宋" w:eastAsia="仿宋" w:cs="仿宋"/>
          <w:color w:val="auto"/>
          <w:sz w:val="32"/>
          <w:szCs w:val="32"/>
          <w:highlight w:val="none"/>
          <w:lang w:val="en-US" w:eastAsia="zh-CN"/>
        </w:rPr>
        <w:t>人员经费的增加</w:t>
      </w:r>
      <w:r>
        <w:rPr>
          <w:rFonts w:hint="eastAsia" w:ascii="仿宋" w:hAnsi="仿宋" w:eastAsia="仿宋" w:cs="仿宋"/>
          <w:color w:val="auto"/>
          <w:spacing w:val="17"/>
          <w:sz w:val="30"/>
          <w:szCs w:val="30"/>
          <w:highlight w:val="none"/>
          <w:lang w:eastAsia="zh-CN"/>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w:t>
      </w:r>
      <w:r>
        <w:rPr>
          <w:rFonts w:hint="eastAsia" w:ascii="仿宋" w:hAnsi="仿宋" w:eastAsia="仿宋" w:cs="仿宋"/>
          <w:color w:val="auto"/>
          <w:sz w:val="32"/>
          <w:szCs w:val="32"/>
          <w:highlight w:val="none"/>
          <w:lang w:val="en-US" w:eastAsia="zh-CN"/>
        </w:rPr>
        <w:t>无使用</w:t>
      </w:r>
      <w:r>
        <w:rPr>
          <w:rFonts w:hint="eastAsia" w:ascii="仿宋" w:hAnsi="仿宋" w:eastAsia="仿宋" w:cs="仿宋"/>
          <w:color w:val="auto"/>
          <w:sz w:val="32"/>
          <w:szCs w:val="32"/>
          <w:highlight w:val="none"/>
        </w:rPr>
        <w:t>政府性基金</w:t>
      </w:r>
      <w:r>
        <w:rPr>
          <w:rFonts w:hint="eastAsia" w:ascii="仿宋" w:hAnsi="仿宋" w:eastAsia="仿宋" w:cs="仿宋"/>
          <w:color w:val="auto"/>
          <w:sz w:val="32"/>
          <w:szCs w:val="32"/>
          <w:highlight w:val="none"/>
          <w:lang w:val="en-US" w:eastAsia="zh-CN"/>
        </w:rPr>
        <w:t>预算拨款安排的支出</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（五）机关运行经费等重要事项的说明</w:t>
      </w:r>
    </w:p>
    <w:p>
      <w:pPr>
        <w:spacing w:line="560" w:lineRule="exac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年部门机关运行费预算</w:t>
      </w:r>
      <w:r>
        <w:rPr>
          <w:rFonts w:hint="eastAsia" w:ascii="仿宋" w:hAnsi="仿宋" w:eastAsia="仿宋" w:cs="仿宋"/>
          <w:snapToGrid w:val="0"/>
          <w:color w:val="auto"/>
          <w:kern w:val="0"/>
          <w:sz w:val="31"/>
          <w:szCs w:val="31"/>
          <w:highlight w:val="none"/>
          <w:lang w:val="en-US" w:eastAsia="zh-CN" w:bidi="ar"/>
        </w:rPr>
        <w:t>9.4</w:t>
      </w:r>
      <w:r>
        <w:rPr>
          <w:rFonts w:hint="eastAsia" w:ascii="仿宋" w:hAnsi="仿宋" w:eastAsia="仿宋" w:cs="仿宋"/>
          <w:color w:val="auto"/>
          <w:sz w:val="32"/>
          <w:szCs w:val="32"/>
          <w:highlight w:val="none"/>
        </w:rPr>
        <w:t>万元，比</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年(上一年度）预算增加</w:t>
      </w:r>
      <w:r>
        <w:rPr>
          <w:rFonts w:hint="eastAsia" w:ascii="仿宋" w:hAnsi="仿宋" w:eastAsia="仿宋" w:cs="仿宋"/>
          <w:snapToGrid w:val="0"/>
          <w:color w:val="auto"/>
          <w:kern w:val="0"/>
          <w:sz w:val="31"/>
          <w:szCs w:val="31"/>
          <w:highlight w:val="none"/>
          <w:lang w:val="en-US" w:eastAsia="zh-CN" w:bidi="ar"/>
        </w:rPr>
        <w:t>0.16</w:t>
      </w:r>
      <w:r>
        <w:rPr>
          <w:rFonts w:hint="eastAsia" w:ascii="仿宋" w:hAnsi="仿宋" w:eastAsia="仿宋" w:cs="仿宋"/>
          <w:color w:val="auto"/>
          <w:sz w:val="32"/>
          <w:szCs w:val="32"/>
          <w:highlight w:val="none"/>
        </w:rPr>
        <w:t>万元，增长</w:t>
      </w:r>
      <w:r>
        <w:rPr>
          <w:rFonts w:hint="eastAsia" w:ascii="仿宋" w:hAnsi="仿宋" w:eastAsia="仿宋" w:cs="仿宋"/>
          <w:snapToGrid w:val="0"/>
          <w:color w:val="auto"/>
          <w:kern w:val="0"/>
          <w:sz w:val="31"/>
          <w:szCs w:val="31"/>
          <w:highlight w:val="none"/>
          <w:lang w:val="en-US" w:eastAsia="zh-CN" w:bidi="ar"/>
        </w:rPr>
        <w:t xml:space="preserve">1.76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长</w:t>
      </w:r>
      <w:r>
        <w:rPr>
          <w:rFonts w:hint="eastAsia" w:ascii="仿宋" w:hAnsi="仿宋" w:eastAsia="仿宋" w:cs="仿宋"/>
          <w:color w:val="auto"/>
          <w:sz w:val="32"/>
          <w:szCs w:val="32"/>
          <w:highlight w:val="none"/>
          <w:lang w:eastAsia="zh-CN"/>
        </w:rPr>
        <w:t>变化主要原因是：</w:t>
      </w:r>
      <w:r>
        <w:rPr>
          <w:rFonts w:hint="eastAsia" w:ascii="仿宋" w:hAnsi="仿宋" w:eastAsia="仿宋" w:cs="仿宋"/>
          <w:color w:val="auto"/>
          <w:sz w:val="32"/>
          <w:szCs w:val="32"/>
          <w:highlight w:val="none"/>
        </w:rPr>
        <w:t>办公</w:t>
      </w:r>
      <w:r>
        <w:rPr>
          <w:rFonts w:hint="eastAsia" w:ascii="仿宋" w:hAnsi="仿宋" w:eastAsia="仿宋" w:cs="仿宋"/>
          <w:color w:val="auto"/>
          <w:sz w:val="32"/>
          <w:szCs w:val="32"/>
          <w:highlight w:val="none"/>
          <w:lang w:val="en-US" w:eastAsia="zh-CN"/>
        </w:rPr>
        <w:t>费、</w:t>
      </w:r>
      <w:r>
        <w:rPr>
          <w:rFonts w:hint="eastAsia" w:ascii="仿宋" w:hAnsi="仿宋" w:eastAsia="仿宋" w:cs="仿宋"/>
          <w:color w:val="auto"/>
          <w:sz w:val="32"/>
          <w:szCs w:val="32"/>
          <w:highlight w:val="none"/>
        </w:rPr>
        <w:t>邮电费、福利费、日常维修费、办公用房水电费</w:t>
      </w:r>
      <w:r>
        <w:rPr>
          <w:rFonts w:hint="eastAsia" w:ascii="仿宋" w:hAnsi="仿宋" w:eastAsia="仿宋" w:cs="仿宋"/>
          <w:color w:val="auto"/>
          <w:sz w:val="32"/>
          <w:szCs w:val="32"/>
          <w:highlight w:val="none"/>
          <w:lang w:val="en-US" w:eastAsia="zh-CN"/>
        </w:rPr>
        <w:t>的增加</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（六）政府采购情况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u w:val="none"/>
          <w:lang w:val="en-US" w:eastAsia="zh-CN"/>
        </w:rPr>
        <w:t>2023</w:t>
      </w:r>
      <w:r>
        <w:rPr>
          <w:rFonts w:hint="eastAsia" w:ascii="仿宋" w:hAnsi="仿宋" w:eastAsia="仿宋" w:cs="仿宋"/>
          <w:color w:val="auto"/>
          <w:sz w:val="32"/>
          <w:szCs w:val="32"/>
          <w:highlight w:val="none"/>
          <w:u w:val="none"/>
        </w:rPr>
        <w:t>年部门所属各单位政府采购总额</w:t>
      </w:r>
      <w:r>
        <w:rPr>
          <w:rFonts w:hint="eastAsia" w:ascii="仿宋" w:hAnsi="仿宋" w:eastAsia="仿宋" w:cs="仿宋"/>
          <w:color w:val="auto"/>
          <w:sz w:val="32"/>
          <w:szCs w:val="32"/>
          <w:highlight w:val="none"/>
          <w:u w:val="none"/>
          <w:lang w:val="en-US" w:eastAsia="zh-CN"/>
        </w:rPr>
        <w:t>5</w:t>
      </w:r>
      <w:r>
        <w:rPr>
          <w:rFonts w:hint="eastAsia" w:ascii="仿宋" w:hAnsi="仿宋" w:eastAsia="仿宋" w:cs="仿宋"/>
          <w:color w:val="auto"/>
          <w:sz w:val="32"/>
          <w:szCs w:val="32"/>
          <w:highlight w:val="none"/>
          <w:u w:val="none"/>
        </w:rPr>
        <w:t>万元，其中：政府采购货物预算</w:t>
      </w:r>
      <w:r>
        <w:rPr>
          <w:rFonts w:hint="eastAsia" w:ascii="仿宋" w:hAnsi="仿宋" w:eastAsia="仿宋" w:cs="仿宋"/>
          <w:color w:val="auto"/>
          <w:sz w:val="32"/>
          <w:szCs w:val="32"/>
          <w:highlight w:val="none"/>
          <w:u w:val="none"/>
          <w:lang w:val="en-US" w:eastAsia="zh-CN"/>
        </w:rPr>
        <w:t>5</w:t>
      </w:r>
      <w:r>
        <w:rPr>
          <w:rFonts w:hint="eastAsia" w:ascii="仿宋" w:hAnsi="仿宋" w:eastAsia="仿宋" w:cs="仿宋"/>
          <w:color w:val="auto"/>
          <w:sz w:val="32"/>
          <w:szCs w:val="32"/>
          <w:highlight w:val="none"/>
          <w:u w:val="none"/>
        </w:rPr>
        <w:t>万元、政府采购工程预算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万元、政府采购服务预算</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万元</w:t>
      </w:r>
      <w:r>
        <w:rPr>
          <w:rFonts w:hint="eastAsia" w:ascii="仿宋" w:hAnsi="仿宋" w:eastAsia="仿宋" w:cs="仿宋"/>
          <w:color w:val="auto"/>
          <w:sz w:val="32"/>
          <w:szCs w:val="32"/>
          <w:highlight w:val="none"/>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（七）国有资产占有使用情况</w:t>
      </w:r>
    </w:p>
    <w:p>
      <w:pPr>
        <w:spacing w:line="560" w:lineRule="exact"/>
        <w:ind w:firstLine="640" w:firstLineChars="200"/>
        <w:rPr>
          <w:rFonts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截至</w:t>
      </w:r>
      <w:r>
        <w:rPr>
          <w:rFonts w:hint="eastAsia" w:ascii="仿宋" w:hAnsi="仿宋" w:eastAsia="仿宋" w:cs="仿宋"/>
          <w:b w:val="0"/>
          <w:bCs w:val="0"/>
          <w:color w:val="auto"/>
          <w:sz w:val="32"/>
          <w:szCs w:val="32"/>
          <w:highlight w:val="none"/>
          <w:u w:val="none"/>
          <w:lang w:val="en-US" w:eastAsia="zh-CN"/>
        </w:rPr>
        <w:t>2022年</w:t>
      </w:r>
      <w:r>
        <w:rPr>
          <w:rFonts w:hint="eastAsia" w:ascii="仿宋" w:hAnsi="仿宋" w:eastAsia="仿宋" w:cs="仿宋"/>
          <w:color w:val="auto"/>
          <w:sz w:val="32"/>
          <w:szCs w:val="32"/>
          <w:highlight w:val="none"/>
          <w:u w:val="none"/>
        </w:rPr>
        <w:t>12月31日部门共有车辆</w:t>
      </w:r>
      <w:r>
        <w:rPr>
          <w:rFonts w:hint="eastAsia" w:ascii="仿宋" w:hAnsi="仿宋" w:eastAsia="仿宋" w:cs="仿宋"/>
          <w:color w:val="auto"/>
          <w:sz w:val="32"/>
          <w:szCs w:val="32"/>
          <w:highlight w:val="none"/>
          <w:u w:val="none"/>
          <w:lang w:val="en-US" w:eastAsia="zh-CN"/>
        </w:rPr>
        <w:t>1</w:t>
      </w:r>
      <w:r>
        <w:rPr>
          <w:rFonts w:hint="eastAsia" w:ascii="仿宋" w:hAnsi="仿宋" w:eastAsia="仿宋" w:cs="仿宋"/>
          <w:color w:val="auto"/>
          <w:sz w:val="32"/>
          <w:szCs w:val="32"/>
          <w:highlight w:val="none"/>
          <w:u w:val="none"/>
        </w:rPr>
        <w:t>辆</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其中</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一般公务用车</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辆、执法执勤用车</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辆</w:t>
      </w:r>
      <w:r>
        <w:rPr>
          <w:rFonts w:hint="eastAsia" w:ascii="仿宋" w:hAnsi="仿宋" w:eastAsia="仿宋" w:cs="仿宋"/>
          <w:color w:val="auto"/>
          <w:sz w:val="32"/>
          <w:szCs w:val="32"/>
          <w:highlight w:val="none"/>
          <w:u w:val="none"/>
          <w:lang w:eastAsia="zh-CN"/>
        </w:rPr>
        <w:t>、</w:t>
      </w:r>
      <w:r>
        <w:rPr>
          <w:rFonts w:hint="eastAsia" w:ascii="仿宋" w:hAnsi="仿宋" w:eastAsia="仿宋" w:cs="仿宋"/>
          <w:snapToGrid w:val="0"/>
          <w:color w:val="000000"/>
          <w:kern w:val="0"/>
          <w:sz w:val="31"/>
          <w:szCs w:val="31"/>
          <w:highlight w:val="none"/>
          <w:u w:val="none"/>
          <w:lang w:val="en-US" w:eastAsia="zh-CN" w:bidi="ar"/>
        </w:rPr>
        <w:t>其他用车 1 辆</w:t>
      </w:r>
      <w:r>
        <w:rPr>
          <w:rFonts w:hint="eastAsia" w:ascii="仿宋" w:hAnsi="仿宋" w:eastAsia="仿宋" w:cs="仿宋"/>
          <w:color w:val="auto"/>
          <w:sz w:val="32"/>
          <w:szCs w:val="32"/>
          <w:highlight w:val="none"/>
          <w:u w:val="none"/>
        </w:rPr>
        <w:t>。</w:t>
      </w:r>
    </w:p>
    <w:p>
      <w:pPr>
        <w:spacing w:line="560" w:lineRule="exact"/>
        <w:ind w:firstLine="640" w:firstLineChars="200"/>
        <w:jc w:val="left"/>
        <w:rPr>
          <w:rFonts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val="en-US" w:eastAsia="zh-CN"/>
        </w:rPr>
        <w:t>2023年本</w:t>
      </w:r>
      <w:r>
        <w:rPr>
          <w:rFonts w:hint="eastAsia" w:ascii="仿宋" w:hAnsi="仿宋" w:eastAsia="仿宋" w:cs="仿宋"/>
          <w:color w:val="auto"/>
          <w:sz w:val="32"/>
          <w:szCs w:val="32"/>
          <w:highlight w:val="none"/>
          <w:u w:val="none"/>
        </w:rPr>
        <w:t>部门预算安排购置车辆</w:t>
      </w:r>
      <w:r>
        <w:rPr>
          <w:rFonts w:hint="eastAsia" w:ascii="仿宋" w:hAnsi="仿宋" w:eastAsia="仿宋" w:cs="仿宋"/>
          <w:color w:val="auto"/>
          <w:sz w:val="32"/>
          <w:szCs w:val="32"/>
          <w:highlight w:val="none"/>
          <w:u w:val="none"/>
          <w:lang w:val="en-US" w:eastAsia="zh-CN"/>
        </w:rPr>
        <w:t>0</w:t>
      </w:r>
      <w:r>
        <w:rPr>
          <w:rFonts w:hint="eastAsia" w:ascii="仿宋" w:hAnsi="仿宋" w:eastAsia="仿宋" w:cs="仿宋"/>
          <w:color w:val="auto"/>
          <w:sz w:val="32"/>
          <w:szCs w:val="32"/>
          <w:highlight w:val="none"/>
          <w:u w:val="none"/>
        </w:rPr>
        <w:t>辆，安排购置单位价值200万元以上大型设备具体为：</w:t>
      </w:r>
      <w:r>
        <w:rPr>
          <w:rFonts w:hint="eastAsia" w:ascii="仿宋" w:hAnsi="仿宋" w:eastAsia="仿宋" w:cs="仿宋"/>
          <w:color w:val="auto"/>
          <w:sz w:val="32"/>
          <w:szCs w:val="32"/>
          <w:highlight w:val="none"/>
          <w:u w:val="none"/>
          <w:lang w:val="en-US" w:eastAsia="zh-CN"/>
        </w:rPr>
        <w:t>无</w:t>
      </w:r>
      <w:r>
        <w:rPr>
          <w:rFonts w:hint="eastAsia" w:ascii="仿宋" w:hAnsi="仿宋" w:eastAsia="仿宋" w:cs="仿宋"/>
          <w:color w:val="auto"/>
          <w:sz w:val="32"/>
          <w:szCs w:val="32"/>
          <w:highlight w:val="none"/>
          <w:u w:val="none"/>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（八）绩效目标设置情况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年实行绩效目标管理的项目</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个，涉及资金</w:t>
      </w:r>
      <w:r>
        <w:rPr>
          <w:rFonts w:hint="eastAsia" w:ascii="仿宋" w:hAnsi="仿宋" w:eastAsia="仿宋" w:cs="仿宋"/>
          <w:color w:val="auto"/>
          <w:sz w:val="32"/>
          <w:szCs w:val="32"/>
          <w:highlight w:val="none"/>
          <w:lang w:val="en-US" w:eastAsia="zh-CN"/>
        </w:rPr>
        <w:t>186</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，其中：</w:t>
      </w:r>
    </w:p>
    <w:p>
      <w:pPr>
        <w:spacing w:line="560" w:lineRule="exact"/>
        <w:ind w:left="634" w:leftChars="284" w:hanging="38" w:hangingChars="12"/>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项目名称：</w:t>
      </w:r>
      <w:r>
        <w:rPr>
          <w:rFonts w:hint="eastAsia" w:ascii="仿宋" w:hAnsi="仿宋" w:eastAsia="仿宋" w:cs="仿宋"/>
          <w:snapToGrid w:val="0"/>
          <w:color w:val="000000"/>
          <w:kern w:val="0"/>
          <w:sz w:val="31"/>
          <w:szCs w:val="31"/>
          <w:highlight w:val="none"/>
          <w:lang w:val="en-US" w:eastAsia="zh-CN" w:bidi="ar"/>
        </w:rPr>
        <w:t>科普事业费</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主要用于科普事业费的实用技术以及新技术的培训、全民科学素质提升、科普知识宣传等一切科普宣传活动。</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赣市字办【2018】22 号</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县科协</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2023年 1 月 1 日-2023年 12 月 31 日</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5.年度预算安排</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17万元</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仿宋" w:hAnsi="仿宋" w:eastAsia="仿宋" w:cs="仿宋"/>
          <w:snapToGrid w:val="0"/>
          <w:color w:val="000000"/>
          <w:kern w:val="0"/>
          <w:sz w:val="31"/>
          <w:szCs w:val="31"/>
          <w:highlight w:val="none"/>
          <w:lang w:val="en-US" w:eastAsia="zh-CN" w:bidi="ar"/>
        </w:rPr>
      </w:pPr>
      <w:r>
        <w:rPr>
          <w:rFonts w:hint="eastAsia" w:ascii="仿宋" w:hAnsi="仿宋" w:eastAsia="仿宋" w:cs="仿宋"/>
          <w:color w:val="auto"/>
          <w:sz w:val="32"/>
          <w:szCs w:val="32"/>
          <w:highlight w:val="none"/>
        </w:rPr>
        <w:t>6.年度绩效目标</w:t>
      </w:r>
      <w:r>
        <w:rPr>
          <w:rFonts w:hint="eastAsia" w:ascii="仿宋" w:hAnsi="仿宋" w:eastAsia="仿宋" w:cs="仿宋"/>
          <w:color w:val="auto"/>
          <w:sz w:val="32"/>
          <w:szCs w:val="32"/>
          <w:highlight w:val="none"/>
          <w:lang w:eastAsia="zh-CN"/>
        </w:rPr>
        <w:t>：</w:t>
      </w:r>
      <w:r>
        <w:rPr>
          <w:rFonts w:hint="eastAsia" w:ascii="仿宋" w:hAnsi="仿宋" w:eastAsia="仿宋" w:cs="仿宋"/>
          <w:snapToGrid w:val="0"/>
          <w:color w:val="000000"/>
          <w:kern w:val="0"/>
          <w:sz w:val="31"/>
          <w:szCs w:val="31"/>
          <w:highlight w:val="none"/>
          <w:lang w:val="en-US" w:eastAsia="zh-CN" w:bidi="ar"/>
        </w:rPr>
        <w:t>通过实施本项目，开展科普工作:</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仿宋" w:hAnsi="仿宋" w:eastAsia="仿宋" w:cs="仿宋"/>
          <w:snapToGrid w:val="0"/>
          <w:color w:val="000000"/>
          <w:kern w:val="0"/>
          <w:sz w:val="31"/>
          <w:szCs w:val="31"/>
          <w:highlight w:val="none"/>
          <w:lang w:val="en-US" w:eastAsia="zh-CN" w:bidi="ar"/>
        </w:rPr>
      </w:pPr>
      <w:r>
        <w:rPr>
          <w:rFonts w:hint="eastAsia" w:ascii="仿宋" w:hAnsi="仿宋" w:eastAsia="仿宋" w:cs="仿宋"/>
          <w:snapToGrid w:val="0"/>
          <w:color w:val="000000"/>
          <w:kern w:val="0"/>
          <w:sz w:val="31"/>
          <w:szCs w:val="31"/>
          <w:highlight w:val="none"/>
          <w:lang w:val="en-US" w:eastAsia="zh-CN" w:bidi="ar"/>
        </w:rPr>
        <w:t>（1）负责对所属的有关学会、协会、研究会和科技类社会团体进行监督管理，对全县科协工作进行业务指导。</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仿宋" w:hAnsi="仿宋" w:eastAsia="仿宋" w:cs="仿宋"/>
          <w:snapToGrid w:val="0"/>
          <w:color w:val="000000"/>
          <w:kern w:val="0"/>
          <w:sz w:val="31"/>
          <w:szCs w:val="31"/>
          <w:highlight w:val="none"/>
          <w:lang w:val="en-US" w:eastAsia="zh-CN" w:bidi="ar"/>
        </w:rPr>
      </w:pPr>
      <w:r>
        <w:rPr>
          <w:rFonts w:hint="eastAsia" w:ascii="仿宋" w:hAnsi="仿宋" w:eastAsia="仿宋" w:cs="仿宋"/>
          <w:snapToGrid w:val="0"/>
          <w:color w:val="000000"/>
          <w:kern w:val="0"/>
          <w:sz w:val="31"/>
          <w:szCs w:val="31"/>
          <w:highlight w:val="none"/>
          <w:lang w:val="en-US" w:eastAsia="zh-CN" w:bidi="ar"/>
        </w:rPr>
        <w:t>（2）组织开展学术交流，活跃学术思想，鼓励和支撑原始性创新，促进学科发展，提高全县科技的持续创新能力。</w:t>
      </w:r>
    </w:p>
    <w:p>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仿宋" w:hAnsi="仿宋" w:eastAsia="仿宋" w:cs="仿宋"/>
          <w:snapToGrid w:val="0"/>
          <w:color w:val="000000"/>
          <w:kern w:val="0"/>
          <w:sz w:val="31"/>
          <w:szCs w:val="31"/>
          <w:highlight w:val="none"/>
          <w:lang w:val="en-US" w:eastAsia="zh-CN" w:bidi="ar"/>
        </w:rPr>
      </w:pPr>
      <w:r>
        <w:rPr>
          <w:rFonts w:hint="eastAsia" w:ascii="仿宋" w:hAnsi="仿宋" w:eastAsia="仿宋" w:cs="仿宋"/>
          <w:snapToGrid w:val="0"/>
          <w:color w:val="000000"/>
          <w:kern w:val="0"/>
          <w:sz w:val="31"/>
          <w:szCs w:val="31"/>
          <w:highlight w:val="none"/>
          <w:lang w:val="en-US" w:eastAsia="zh-CN" w:bidi="ar"/>
        </w:rPr>
        <w:t>（3）拟定科普工作计划，并组织实施；动员社会各方面力量，普及科学技术知识，提高全县公众科学文化素质。</w:t>
      </w:r>
    </w:p>
    <w:p>
      <w:pPr>
        <w:keepNext w:val="0"/>
        <w:keepLines w:val="0"/>
        <w:pageBreakBefore w:val="0"/>
        <w:wordWrap/>
        <w:overflowPunct/>
        <w:topLinePunct w:val="0"/>
        <w:bidi w:val="0"/>
        <w:spacing w:line="560" w:lineRule="exact"/>
        <w:ind w:firstLine="620" w:firstLineChars="200"/>
        <w:rPr>
          <w:rFonts w:hint="eastAsia" w:ascii="仿宋" w:hAnsi="仿宋" w:eastAsia="仿宋" w:cs="仿宋"/>
          <w:color w:val="auto"/>
          <w:sz w:val="32"/>
          <w:szCs w:val="32"/>
          <w:highlight w:val="none"/>
          <w:lang w:eastAsia="zh-CN"/>
        </w:rPr>
      </w:pPr>
      <w:r>
        <w:rPr>
          <w:rFonts w:hint="eastAsia" w:ascii="仿宋" w:hAnsi="仿宋" w:eastAsia="仿宋" w:cs="仿宋"/>
          <w:snapToGrid w:val="0"/>
          <w:color w:val="000000"/>
          <w:kern w:val="0"/>
          <w:sz w:val="31"/>
          <w:szCs w:val="31"/>
          <w:highlight w:val="none"/>
          <w:lang w:val="en-US" w:eastAsia="zh-CN" w:bidi="ar"/>
        </w:rPr>
        <w:t>（4）完成县委、县 政府交办的其它工作。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kern w:val="2"/>
          <w:sz w:val="32"/>
          <w:szCs w:val="32"/>
          <w:highlight w:val="none"/>
          <w:lang w:val="en-US" w:eastAsia="zh-CN" w:bidi="ar-SA"/>
        </w:rPr>
        <w:t>（九）</w:t>
      </w:r>
      <w:r>
        <w:rPr>
          <w:rFonts w:hint="eastAsia" w:ascii="仿宋" w:hAnsi="仿宋" w:eastAsia="仿宋" w:cs="仿宋"/>
          <w:b/>
          <w:bCs/>
          <w:color w:val="auto"/>
          <w:sz w:val="32"/>
          <w:szCs w:val="32"/>
          <w:highlight w:val="none"/>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sz w:val="32"/>
          <w:szCs w:val="32"/>
          <w:highlight w:val="none"/>
          <w:lang w:val="en-US" w:eastAsia="zh-CN"/>
        </w:rPr>
        <w:t>无使用国有资本经营预算拨款安排的支出</w:t>
      </w:r>
    </w:p>
    <w:p>
      <w:pPr>
        <w:spacing w:line="560" w:lineRule="exac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val="en-US" w:eastAsia="zh-CN"/>
        </w:rPr>
        <w:t>2023年</w:t>
      </w:r>
      <w:r>
        <w:rPr>
          <w:rFonts w:hint="eastAsia" w:ascii="楷体" w:hAnsi="楷体" w:eastAsia="楷体" w:cs="楷体"/>
          <w:b/>
          <w:bCs/>
          <w:color w:val="auto"/>
          <w:sz w:val="32"/>
          <w:szCs w:val="32"/>
          <w:highlight w:val="none"/>
        </w:rPr>
        <w:t>“三公”经费预算情况说明</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年兴国县</w:t>
      </w:r>
      <w:r>
        <w:rPr>
          <w:rFonts w:hint="eastAsia" w:ascii="仿宋" w:hAnsi="仿宋" w:eastAsia="仿宋" w:cs="仿宋"/>
          <w:color w:val="auto"/>
          <w:sz w:val="32"/>
          <w:szCs w:val="32"/>
          <w:highlight w:val="none"/>
          <w:lang w:val="en-US" w:eastAsia="zh-CN"/>
        </w:rPr>
        <w:t>科协</w:t>
      </w:r>
      <w:r>
        <w:rPr>
          <w:rFonts w:hint="eastAsia" w:ascii="仿宋" w:hAnsi="仿宋" w:eastAsia="仿宋" w:cs="仿宋"/>
          <w:color w:val="auto"/>
          <w:sz w:val="32"/>
          <w:szCs w:val="32"/>
          <w:highlight w:val="none"/>
        </w:rPr>
        <w:t>部门“三公”经费一般公共预算安排</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万元。其中：</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因公出国（境）费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rPr>
        <w:t>无相关业务，未安排相关资金。</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lang w:eastAsia="zh-CN"/>
        </w:rPr>
        <w:t>无变化</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公务用车运行维护费</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万元，比上年</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2.6</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lang w:val="en-US" w:eastAsia="zh-CN"/>
        </w:rPr>
        <w:t>厉行节约</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万元，比上年增（减）</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万元，主要原因是：</w:t>
      </w:r>
      <w:r>
        <w:rPr>
          <w:rFonts w:hint="eastAsia" w:ascii="仿宋" w:hAnsi="仿宋" w:eastAsia="仿宋" w:cs="仿宋"/>
          <w:color w:val="auto"/>
          <w:sz w:val="32"/>
          <w:szCs w:val="32"/>
          <w:highlight w:val="none"/>
        </w:rPr>
        <w:t>无相关业务，未安排相关资金。</w:t>
      </w:r>
    </w:p>
    <w:p>
      <w:pPr>
        <w:spacing w:line="560" w:lineRule="exact"/>
        <w:ind w:firstLine="640" w:firstLineChars="200"/>
        <w:rPr>
          <w:rFonts w:ascii="仿宋" w:hAnsi="仿宋" w:eastAsia="仿宋" w:cs="仿宋"/>
          <w:color w:val="auto"/>
          <w:sz w:val="32"/>
          <w:szCs w:val="32"/>
          <w:highlight w:val="none"/>
        </w:rPr>
      </w:pPr>
    </w:p>
    <w:p>
      <w:pPr>
        <w:spacing w:line="560" w:lineRule="exact"/>
        <w:jc w:val="center"/>
        <w:rPr>
          <w:rFonts w:hint="eastAsia" w:ascii="黑体" w:hAnsi="黑体" w:eastAsia="黑体" w:cs="黑体"/>
          <w:color w:val="auto"/>
          <w:sz w:val="32"/>
          <w:szCs w:val="32"/>
          <w:highlight w:val="none"/>
        </w:rPr>
      </w:pPr>
      <w:r>
        <w:rPr>
          <w:rFonts w:hint="eastAsia" w:ascii="黑体" w:hAnsi="黑体" w:eastAsia="黑体" w:cs="黑体"/>
          <w:b w:val="0"/>
          <w:bCs w:val="0"/>
          <w:color w:val="auto"/>
          <w:sz w:val="32"/>
          <w:szCs w:val="32"/>
          <w:highlight w:val="none"/>
        </w:rPr>
        <w:t>第三部分 兴国县</w:t>
      </w:r>
      <w:r>
        <w:rPr>
          <w:rFonts w:hint="eastAsia" w:ascii="黑体" w:hAnsi="黑体" w:eastAsia="黑体" w:cs="黑体"/>
          <w:b w:val="0"/>
          <w:bCs w:val="0"/>
          <w:color w:val="auto"/>
          <w:sz w:val="32"/>
          <w:szCs w:val="32"/>
          <w:highlight w:val="none"/>
          <w:lang w:val="en-US" w:eastAsia="zh-CN"/>
        </w:rPr>
        <w:t>科协2023年</w:t>
      </w:r>
      <w:r>
        <w:rPr>
          <w:rFonts w:hint="eastAsia" w:ascii="黑体" w:hAnsi="黑体" w:eastAsia="黑体" w:cs="黑体"/>
          <w:b w:val="0"/>
          <w:bCs w:val="0"/>
          <w:color w:val="auto"/>
          <w:sz w:val="32"/>
          <w:szCs w:val="32"/>
          <w:highlight w:val="none"/>
        </w:rPr>
        <w:t>部门预算表</w:t>
      </w:r>
    </w:p>
    <w:p>
      <w:pPr>
        <w:spacing w:line="560" w:lineRule="exac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一、《收支预算总表》</w:t>
      </w:r>
      <w:r>
        <w:rPr>
          <w:rFonts w:hint="eastAsia" w:ascii="仿宋" w:hAnsi="仿宋" w:eastAsia="仿宋" w:cs="仿宋"/>
          <w:color w:val="auto"/>
          <w:sz w:val="32"/>
          <w:szCs w:val="32"/>
          <w:highlight w:val="none"/>
          <w:lang w:eastAsia="zh-CN"/>
        </w:rPr>
        <w:t>（见附表）</w:t>
      </w:r>
    </w:p>
    <w:p>
      <w:pPr>
        <w:pStyle w:val="3"/>
        <w:numPr>
          <w:ilvl w:val="0"/>
          <w:numId w:val="0"/>
        </w:numPr>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zh-CN" w:eastAsia="zh-CN" w:bidi="zh-CN"/>
        </w:rPr>
        <w:t>二、</w:t>
      </w:r>
      <w:r>
        <w:rPr>
          <w:rFonts w:hint="eastAsia" w:ascii="仿宋" w:hAnsi="仿宋" w:eastAsia="仿宋" w:cs="仿宋"/>
          <w:color w:val="auto"/>
          <w:sz w:val="32"/>
          <w:szCs w:val="32"/>
          <w:highlight w:val="none"/>
        </w:rPr>
        <w:t>《部门收入总表》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三、</w:t>
      </w:r>
      <w:r>
        <w:rPr>
          <w:rFonts w:hint="eastAsia" w:ascii="仿宋" w:hAnsi="仿宋" w:eastAsia="仿宋" w:cs="仿宋"/>
          <w:color w:val="auto"/>
          <w:sz w:val="32"/>
          <w:szCs w:val="32"/>
          <w:highlight w:val="none"/>
        </w:rPr>
        <w:t>《部门支出总表》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四、</w:t>
      </w:r>
      <w:r>
        <w:rPr>
          <w:rFonts w:hint="eastAsia" w:ascii="仿宋" w:hAnsi="仿宋" w:eastAsia="仿宋" w:cs="仿宋"/>
          <w:color w:val="auto"/>
          <w:sz w:val="32"/>
          <w:szCs w:val="32"/>
          <w:highlight w:val="none"/>
        </w:rPr>
        <w:t>《财政拨款收支总表》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五、</w:t>
      </w:r>
      <w:r>
        <w:rPr>
          <w:rFonts w:hint="eastAsia" w:ascii="仿宋" w:hAnsi="仿宋" w:eastAsia="仿宋" w:cs="仿宋"/>
          <w:color w:val="auto"/>
          <w:sz w:val="32"/>
          <w:szCs w:val="32"/>
          <w:highlight w:val="none"/>
        </w:rPr>
        <w:t>《一般公共预算支出表》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六、</w:t>
      </w:r>
      <w:r>
        <w:rPr>
          <w:rFonts w:hint="eastAsia" w:ascii="仿宋" w:hAnsi="仿宋" w:eastAsia="仿宋" w:cs="仿宋"/>
          <w:color w:val="auto"/>
          <w:sz w:val="32"/>
          <w:szCs w:val="32"/>
          <w:highlight w:val="none"/>
        </w:rPr>
        <w:t>《一般公共预算基本支出表》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七、</w:t>
      </w:r>
      <w:r>
        <w:rPr>
          <w:rFonts w:hint="eastAsia" w:ascii="仿宋" w:hAnsi="仿宋" w:eastAsia="仿宋" w:cs="仿宋"/>
          <w:color w:val="auto"/>
          <w:sz w:val="32"/>
          <w:szCs w:val="32"/>
          <w:highlight w:val="none"/>
        </w:rPr>
        <w:t>《一般公共预算“三公”经费支出表》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八、</w:t>
      </w:r>
      <w:r>
        <w:rPr>
          <w:rFonts w:hint="eastAsia" w:ascii="仿宋" w:hAnsi="仿宋" w:eastAsia="仿宋" w:cs="仿宋"/>
          <w:color w:val="auto"/>
          <w:sz w:val="32"/>
          <w:szCs w:val="32"/>
          <w:highlight w:val="none"/>
        </w:rPr>
        <w:t>《政府性基金预算支出表》</w:t>
      </w:r>
      <w:r>
        <w:rPr>
          <w:rFonts w:hint="eastAsia" w:ascii="仿宋" w:hAnsi="仿宋" w:eastAsia="仿宋" w:cs="仿宋"/>
          <w:color w:val="auto"/>
          <w:sz w:val="32"/>
          <w:szCs w:val="32"/>
          <w:highlight w:val="none"/>
          <w:lang w:eastAsia="zh-CN"/>
        </w:rPr>
        <w:t>（见附表）</w:t>
      </w:r>
    </w:p>
    <w:p>
      <w:pPr>
        <w:pStyle w:val="3"/>
        <w:numPr>
          <w:ilvl w:val="0"/>
          <w:numId w:val="1"/>
        </w:numPr>
        <w:rPr>
          <w:rFonts w:hint="eastAsia" w:eastAsia="仿宋"/>
          <w:color w:val="auto"/>
          <w:highlight w:val="none"/>
          <w:lang w:eastAsia="zh-CN"/>
        </w:rPr>
      </w:pPr>
      <w:r>
        <w:rPr>
          <w:rFonts w:hint="eastAsia" w:eastAsia="仿宋"/>
          <w:color w:val="auto"/>
          <w:highlight w:val="none"/>
          <w:lang w:eastAsia="zh-CN"/>
        </w:rPr>
        <w:t>《国有资本经营预算支出表》</w:t>
      </w:r>
      <w:r>
        <w:rPr>
          <w:rFonts w:hint="eastAsia" w:ascii="仿宋" w:hAnsi="仿宋" w:eastAsia="仿宋" w:cs="仿宋"/>
          <w:color w:val="auto"/>
          <w:sz w:val="32"/>
          <w:szCs w:val="32"/>
          <w:highlight w:val="none"/>
          <w:lang w:eastAsia="zh-CN"/>
        </w:rPr>
        <w:t>（见附表）</w:t>
      </w: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pStyle w:val="3"/>
        <w:widowControl w:val="0"/>
        <w:numPr>
          <w:ilvl w:val="0"/>
          <w:numId w:val="0"/>
        </w:numPr>
        <w:jc w:val="both"/>
        <w:rPr>
          <w:rFonts w:hint="eastAsia" w:ascii="仿宋" w:hAnsi="仿宋" w:eastAsia="仿宋" w:cs="仿宋"/>
          <w:color w:val="auto"/>
          <w:sz w:val="32"/>
          <w:szCs w:val="32"/>
          <w:highlight w:val="none"/>
          <w:lang w:eastAsia="zh-CN"/>
        </w:rPr>
      </w:pPr>
    </w:p>
    <w:p>
      <w:pPr>
        <w:numPr>
          <w:ilvl w:val="0"/>
          <w:numId w:val="1"/>
        </w:numPr>
        <w:spacing w:line="560" w:lineRule="exact"/>
        <w:ind w:left="0" w:leftChars="0" w:firstLine="0" w:firstLineChars="0"/>
        <w:rPr>
          <w:rFonts w:hint="eastAsia"/>
          <w:highlight w:val="none"/>
        </w:rPr>
      </w:pPr>
      <w:r>
        <w:rPr>
          <w:rFonts w:hint="eastAsia" w:ascii="仿宋" w:hAnsi="仿宋" w:eastAsia="仿宋" w:cs="仿宋"/>
          <w:color w:val="auto"/>
          <w:sz w:val="32"/>
          <w:szCs w:val="32"/>
          <w:highlight w:val="none"/>
        </w:rPr>
        <w:t>《部门整体支出绩效目标表》</w:t>
      </w:r>
    </w:p>
    <w:tbl>
      <w:tblPr>
        <w:tblStyle w:val="5"/>
        <w:tblW w:w="9435" w:type="dxa"/>
        <w:tblInd w:w="-21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70"/>
        <w:gridCol w:w="493"/>
        <w:gridCol w:w="387"/>
        <w:gridCol w:w="1467"/>
        <w:gridCol w:w="1603"/>
        <w:gridCol w:w="2369"/>
        <w:gridCol w:w="17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435"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highlight w:val="none"/>
                <w:u w:val="none"/>
              </w:rPr>
            </w:pPr>
            <w:r>
              <w:rPr>
                <w:rFonts w:hint="default" w:ascii="方正小标宋简体" w:hAnsi="方正小标宋简体" w:eastAsia="方正小标宋简体" w:cs="方正小标宋简体"/>
                <w:i w:val="0"/>
                <w:iCs w:val="0"/>
                <w:snapToGrid w:val="0"/>
                <w:color w:val="000000"/>
                <w:kern w:val="0"/>
                <w:sz w:val="36"/>
                <w:szCs w:val="36"/>
                <w:highlight w:val="none"/>
                <w:u w:val="none"/>
                <w:lang w:val="en-US" w:eastAsia="zh-CN" w:bidi="ar"/>
              </w:rPr>
              <w:t>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35"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sz w:val="28"/>
                <w:szCs w:val="28"/>
                <w:highlight w:val="none"/>
                <w:u w:val="none"/>
              </w:rPr>
            </w:pPr>
            <w:r>
              <w:rPr>
                <w:rFonts w:hint="default" w:ascii="方正小标宋简体" w:hAnsi="方正小标宋简体" w:eastAsia="方正小标宋简体" w:cs="方正小标宋简体"/>
                <w:i w:val="0"/>
                <w:iCs w:val="0"/>
                <w:snapToGrid w:val="0"/>
                <w:color w:val="000000"/>
                <w:kern w:val="0"/>
                <w:sz w:val="28"/>
                <w:szCs w:val="28"/>
                <w:highlight w:val="none"/>
                <w:u w:val="none"/>
                <w:lang w:val="en-US" w:eastAsia="zh-CN" w:bidi="ar"/>
              </w:rPr>
              <w:t>（ 2023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部门名称</w:t>
            </w:r>
          </w:p>
        </w:tc>
        <w:tc>
          <w:tcPr>
            <w:tcW w:w="80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江西省兴国县科学技术协会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3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收入预算合计</w:t>
            </w:r>
          </w:p>
        </w:tc>
        <w:tc>
          <w:tcPr>
            <w:tcW w:w="71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280.92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其中：财政拨款</w:t>
            </w:r>
          </w:p>
        </w:tc>
        <w:tc>
          <w:tcPr>
            <w:tcW w:w="3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111.92</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其他经费</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支出预算合计</w:t>
            </w:r>
          </w:p>
        </w:tc>
        <w:tc>
          <w:tcPr>
            <w:tcW w:w="71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280.92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其中：基本支出</w:t>
            </w:r>
          </w:p>
        </w:tc>
        <w:tc>
          <w:tcPr>
            <w:tcW w:w="3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94.92</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项目支出</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4" w:hRule="atLeast"/>
        </w:trPr>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年度总体目标</w:t>
            </w:r>
          </w:p>
        </w:tc>
        <w:tc>
          <w:tcPr>
            <w:tcW w:w="718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 xml:space="preserve">1、负责对所属的有关学会、协会、研究会和科技类社会团体进行监督管理，对全县科协工作进行业务指导。  2、组织开展学术交流，活跃学术思想，鼓励和支撑原始性创新，促进学科发展，提高全县科技的持续创新能力。  3、拟定科普工作计划，并组织实施；动员社会各方面力量，普及科学技术知识，提高全县公众科学文化素质。  4、完成县委、县政府交办的其它工作。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943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一级指标</w:t>
            </w:r>
          </w:p>
        </w:tc>
        <w:tc>
          <w:tcPr>
            <w:tcW w:w="18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二级指标</w:t>
            </w:r>
          </w:p>
        </w:tc>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三级指标</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snapToGrid w:val="0"/>
                <w:color w:val="000000"/>
                <w:kern w:val="0"/>
                <w:sz w:val="21"/>
                <w:szCs w:val="21"/>
                <w:highlight w:val="none"/>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8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产出指标</w:t>
            </w:r>
          </w:p>
        </w:tc>
        <w:tc>
          <w:tcPr>
            <w:tcW w:w="18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产出指标</w:t>
            </w:r>
          </w:p>
        </w:tc>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数量指标</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18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highlight w:val="none"/>
                <w:u w:val="none"/>
              </w:rPr>
            </w:pPr>
          </w:p>
        </w:tc>
        <w:tc>
          <w:tcPr>
            <w:tcW w:w="18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时效指标</w:t>
            </w:r>
          </w:p>
        </w:tc>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时效指标</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满意度指标</w:t>
            </w:r>
          </w:p>
        </w:tc>
        <w:tc>
          <w:tcPr>
            <w:tcW w:w="18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满意度指标</w:t>
            </w:r>
          </w:p>
        </w:tc>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服务满意度</w:t>
            </w: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snapToGrid w:val="0"/>
                <w:color w:val="000000"/>
                <w:kern w:val="0"/>
                <w:sz w:val="21"/>
                <w:szCs w:val="21"/>
                <w:highlight w:val="none"/>
                <w:u w:val="none"/>
                <w:lang w:val="en-US" w:eastAsia="zh-CN" w:bidi="ar"/>
              </w:rPr>
              <w:t>≥95</w:t>
            </w:r>
          </w:p>
        </w:tc>
      </w:tr>
    </w:tbl>
    <w:p>
      <w:pPr>
        <w:pStyle w:val="3"/>
        <w:rPr>
          <w:color w:val="auto"/>
          <w:highlight w:val="none"/>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highlight w:val="none"/>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十一、</w:t>
      </w:r>
      <w:r>
        <w:rPr>
          <w:rFonts w:hint="eastAsia" w:ascii="仿宋" w:hAnsi="仿宋" w:eastAsia="仿宋" w:cs="仿宋"/>
          <w:color w:val="auto"/>
          <w:sz w:val="32"/>
          <w:szCs w:val="32"/>
          <w:highlight w:val="none"/>
        </w:rPr>
        <w:t>《项目支出绩效目标表》</w:t>
      </w:r>
    </w:p>
    <w:tbl>
      <w:tblPr>
        <w:tblStyle w:val="5"/>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1"/>
        <w:gridCol w:w="1577"/>
        <w:gridCol w:w="2375"/>
        <w:gridCol w:w="1256"/>
        <w:gridCol w:w="2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852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highlight w:val="none"/>
                <w:u w:val="none"/>
              </w:rPr>
            </w:pPr>
            <w:r>
              <w:rPr>
                <w:rFonts w:hint="default" w:ascii="方正小标宋简体" w:hAnsi="方正小标宋简体" w:eastAsia="方正小标宋简体" w:cs="方正小标宋简体"/>
                <w:i w:val="0"/>
                <w:iCs w:val="0"/>
                <w:snapToGrid w:val="0"/>
                <w:color w:val="000000"/>
                <w:kern w:val="0"/>
                <w:sz w:val="36"/>
                <w:szCs w:val="36"/>
                <w:highlight w:val="none"/>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52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项目名称</w:t>
            </w:r>
          </w:p>
        </w:tc>
        <w:tc>
          <w:tcPr>
            <w:tcW w:w="58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科普事业费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主管部门及代码</w:t>
            </w: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202-江西省兴国县科学技术协会</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实施单位</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江西省兴国县科学技术协会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项目资金</w:t>
            </w:r>
            <w:r>
              <w:rPr>
                <w:rFonts w:hint="eastAsia" w:ascii="宋体" w:hAnsi="宋体" w:eastAsia="宋体" w:cs="宋体"/>
                <w:i w:val="0"/>
                <w:iCs w:val="0"/>
                <w:snapToGrid w:val="0"/>
                <w:color w:val="000000"/>
                <w:kern w:val="0"/>
                <w:sz w:val="24"/>
                <w:szCs w:val="24"/>
                <w:highlight w:val="none"/>
                <w:u w:val="none"/>
                <w:lang w:val="en-US" w:eastAsia="zh-CN" w:bidi="ar"/>
              </w:rPr>
              <w:br w:type="textWrapping"/>
            </w:r>
            <w:r>
              <w:rPr>
                <w:rFonts w:hint="eastAsia" w:ascii="宋体" w:hAnsi="宋体" w:eastAsia="宋体" w:cs="宋体"/>
                <w:i w:val="0"/>
                <w:iCs w:val="0"/>
                <w:snapToGrid w:val="0"/>
                <w:color w:val="000000"/>
                <w:kern w:val="0"/>
                <w:sz w:val="24"/>
                <w:szCs w:val="24"/>
                <w:highlight w:val="none"/>
                <w:u w:val="none"/>
                <w:lang w:val="en-US" w:eastAsia="zh-CN" w:bidi="ar"/>
              </w:rPr>
              <w:t>（万元）</w:t>
            </w: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年度资金总额</w:t>
            </w:r>
          </w:p>
        </w:tc>
        <w:tc>
          <w:tcPr>
            <w:tcW w:w="3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其中：财政拨款</w:t>
            </w:r>
          </w:p>
        </w:tc>
        <w:tc>
          <w:tcPr>
            <w:tcW w:w="3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其他资金</w:t>
            </w:r>
          </w:p>
        </w:tc>
        <w:tc>
          <w:tcPr>
            <w:tcW w:w="3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7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上年结转</w:t>
            </w:r>
          </w:p>
        </w:tc>
        <w:tc>
          <w:tcPr>
            <w:tcW w:w="3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snapToGrid w:val="0"/>
                <w:color w:val="000000"/>
                <w:kern w:val="0"/>
                <w:sz w:val="24"/>
                <w:szCs w:val="24"/>
                <w:highlight w:val="none"/>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3" w:hRule="atLeast"/>
        </w:trPr>
        <w:tc>
          <w:tcPr>
            <w:tcW w:w="85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1、负责对所属的有关学会、协会、研究会和科技类社会团体进行监督管理，对全县科协工作进行业务指导。  2、组织开展学术交流，活跃学术思想，鼓励和支撑原始性创新，促进学科发展，提高全县科技的持续创新能力。  3、拟定科普工作计划，并组织实施；动员社会各方面力量，普及科学技术知识，提高全县公众科学文化素质。  4、完成县委、县政府交办的其它工作。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snapToGrid w:val="0"/>
                <w:color w:val="000000"/>
                <w:kern w:val="0"/>
                <w:sz w:val="24"/>
                <w:szCs w:val="24"/>
                <w:highlight w:val="none"/>
                <w:u w:val="none"/>
                <w:lang w:val="en-US" w:eastAsia="zh-CN" w:bidi="ar"/>
              </w:rPr>
              <w:t>一级指标</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snapToGrid w:val="0"/>
                <w:color w:val="000000"/>
                <w:kern w:val="0"/>
                <w:sz w:val="24"/>
                <w:szCs w:val="24"/>
                <w:highlight w:val="none"/>
                <w:u w:val="none"/>
                <w:lang w:val="en-US" w:eastAsia="zh-CN" w:bidi="ar"/>
              </w:rPr>
              <w:t>二级指标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snapToGrid w:val="0"/>
                <w:color w:val="000000"/>
                <w:kern w:val="0"/>
                <w:sz w:val="24"/>
                <w:szCs w:val="24"/>
                <w:highlight w:val="none"/>
                <w:u w:val="none"/>
                <w:lang w:val="en-US" w:eastAsia="zh-CN" w:bidi="ar"/>
              </w:rPr>
              <w:t>三级指标</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snapToGrid w:val="0"/>
                <w:color w:val="000000"/>
                <w:kern w:val="0"/>
                <w:sz w:val="24"/>
                <w:szCs w:val="24"/>
                <w:highlight w:val="none"/>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成本指标</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经济成本指标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科普宣传培训活动</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＝6次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产出指标</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数量指标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科普宣传培训</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＝6次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质量指标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资金使用率</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highlight w:val="none"/>
                <w:u w:val="none"/>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时效指标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按照进度完成</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效益指标</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社会效益指标</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全民科学素质提升</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提升长期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满意度指标</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服务对象满意度</w:t>
            </w:r>
          </w:p>
        </w:tc>
        <w:tc>
          <w:tcPr>
            <w:tcW w:w="36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服务满意度</w:t>
            </w:r>
          </w:p>
        </w:tc>
        <w:tc>
          <w:tcPr>
            <w:tcW w:w="2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snapToGrid w:val="0"/>
                <w:color w:val="000000"/>
                <w:kern w:val="0"/>
                <w:sz w:val="24"/>
                <w:szCs w:val="24"/>
                <w:highlight w:val="none"/>
                <w:u w:val="none"/>
                <w:lang w:val="en-US" w:eastAsia="zh-CN" w:bidi="ar"/>
              </w:rPr>
              <w:t>≥95%</w:t>
            </w:r>
          </w:p>
        </w:tc>
      </w:tr>
    </w:tbl>
    <w:p>
      <w:pPr>
        <w:pStyle w:val="3"/>
        <w:numPr>
          <w:ilvl w:val="0"/>
          <w:numId w:val="0"/>
        </w:numPr>
        <w:ind w:leftChars="0"/>
        <w:rPr>
          <w:color w:val="auto"/>
          <w:highlight w:val="none"/>
        </w:rPr>
      </w:pPr>
    </w:p>
    <w:p>
      <w:pPr>
        <w:spacing w:line="560" w:lineRule="exact"/>
        <w:ind w:firstLine="0" w:firstLineChars="0"/>
        <w:jc w:val="center"/>
        <w:rPr>
          <w:rFonts w:hint="eastAsia" w:ascii="黑体" w:hAnsi="黑体" w:eastAsia="黑体" w:cs="黑体"/>
          <w:b w:val="0"/>
          <w:bCs w:val="0"/>
          <w:color w:val="auto"/>
          <w:sz w:val="32"/>
          <w:szCs w:val="32"/>
          <w:highlight w:val="none"/>
        </w:rPr>
      </w:pPr>
    </w:p>
    <w:p>
      <w:pPr>
        <w:spacing w:line="560" w:lineRule="exact"/>
        <w:ind w:firstLine="0" w:firstLineChars="0"/>
        <w:jc w:val="center"/>
        <w:rPr>
          <w:rFonts w:hint="eastAsia" w:ascii="黑体" w:hAnsi="黑体" w:eastAsia="黑体" w:cs="黑体"/>
          <w:b w:val="0"/>
          <w:bCs w:val="0"/>
          <w:color w:val="auto"/>
          <w:sz w:val="32"/>
          <w:szCs w:val="32"/>
          <w:highlight w:val="none"/>
        </w:rPr>
      </w:pPr>
    </w:p>
    <w:p>
      <w:pPr>
        <w:spacing w:line="560" w:lineRule="exact"/>
        <w:ind w:firstLine="0" w:firstLineChars="0"/>
        <w:jc w:val="center"/>
        <w:rPr>
          <w:rFonts w:hint="eastAsia" w:ascii="黑体" w:hAnsi="黑体" w:eastAsia="黑体" w:cs="黑体"/>
          <w:b w:val="0"/>
          <w:bCs w:val="0"/>
          <w:color w:val="auto"/>
          <w:sz w:val="32"/>
          <w:szCs w:val="32"/>
          <w:highlight w:val="none"/>
        </w:rPr>
      </w:pPr>
    </w:p>
    <w:p>
      <w:pPr>
        <w:spacing w:line="560" w:lineRule="exact"/>
        <w:ind w:firstLine="0" w:firstLineChars="0"/>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第四部分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名词解释</w:t>
      </w:r>
    </w:p>
    <w:p>
      <w:pPr>
        <w:spacing w:line="560" w:lineRule="exact"/>
        <w:ind w:firstLine="604" w:firstLineChars="189"/>
        <w:jc w:val="center"/>
        <w:rPr>
          <w:rFonts w:ascii="仿宋" w:hAnsi="仿宋" w:eastAsia="仿宋" w:cs="仿宋"/>
          <w:color w:val="auto"/>
          <w:sz w:val="32"/>
          <w:szCs w:val="32"/>
          <w:highlight w:val="none"/>
        </w:rPr>
      </w:pPr>
    </w:p>
    <w:p>
      <w:pPr>
        <w:spacing w:line="560" w:lineRule="exac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一、收入科目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各部门结合实际进行解释。</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（一）财政拨款：指县本级财政当年拨付的资金。</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（七）使用非财政拨款结余：填列历年滚存的非限定用途的非统计财政拨款结余弥补</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年收支差额的数额。</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（八）上年结转和结余：填列</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二、支出科目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对部门或单位预算中涉及的支出功能分类科目（明细到项级），结合部门实际，参照《</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年政府收支分类科目》的规范说明行解释。</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（一）行政运行：反映行政单位（事业单位）的基本支出。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highlight w:val="none"/>
        </w:rPr>
      </w:pPr>
      <w:r>
        <w:rPr>
          <w:rFonts w:hint="eastAsia" w:ascii="仿宋" w:hAnsi="仿宋" w:eastAsia="仿宋" w:cs="仿宋"/>
          <w:color w:val="auto"/>
          <w:sz w:val="32"/>
          <w:szCs w:val="32"/>
          <w:highlight w:val="none"/>
        </w:rPr>
        <w:t>（六）死亡抚恤：反映单位遗属人员生活补助。</w:t>
      </w:r>
    </w:p>
    <w:p>
      <w:pPr>
        <w:rPr>
          <w:color w:val="auto"/>
          <w:highlight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88753B-46A1-4D48-95EA-B85EBCF0058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68A82982-B7EE-41B4-832F-3D528C1DDC13}"/>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BCA9A154-5D56-478C-8D12-B60BBD177720}"/>
  </w:font>
  <w:font w:name="仿宋">
    <w:panose1 w:val="02010609060101010101"/>
    <w:charset w:val="86"/>
    <w:family w:val="auto"/>
    <w:pitch w:val="default"/>
    <w:sig w:usb0="800002BF" w:usb1="38CF7CFA" w:usb2="00000016" w:usb3="00000000" w:csb0="00040001" w:csb1="00000000"/>
    <w:embedRegular r:id="rId4" w:fontKey="{6E7F1899-B55A-428C-8291-9FABED31FF9C}"/>
  </w:font>
  <w:font w:name="楷体">
    <w:panose1 w:val="02010609060101010101"/>
    <w:charset w:val="86"/>
    <w:family w:val="auto"/>
    <w:pitch w:val="default"/>
    <w:sig w:usb0="800002BF" w:usb1="38CF7CFA" w:usb2="00000016" w:usb3="00000000" w:csb0="00040001" w:csb1="00000000"/>
    <w:embedRegular r:id="rId5" w:fontKey="{8400D5FC-9168-42BB-946C-BBB639696A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1025EF9"/>
    <w:rsid w:val="04EE7A30"/>
    <w:rsid w:val="088B41CF"/>
    <w:rsid w:val="150775E9"/>
    <w:rsid w:val="15E74CCF"/>
    <w:rsid w:val="18137F71"/>
    <w:rsid w:val="19CF11C0"/>
    <w:rsid w:val="1D4F53F8"/>
    <w:rsid w:val="326D79FF"/>
    <w:rsid w:val="3A4013F4"/>
    <w:rsid w:val="3A9D09A0"/>
    <w:rsid w:val="3F5F2902"/>
    <w:rsid w:val="3FFE2FA6"/>
    <w:rsid w:val="4023271D"/>
    <w:rsid w:val="445E02C8"/>
    <w:rsid w:val="448B7F7A"/>
    <w:rsid w:val="59604A73"/>
    <w:rsid w:val="5B653F38"/>
    <w:rsid w:val="634C4F46"/>
    <w:rsid w:val="6403346F"/>
    <w:rsid w:val="69FC21BD"/>
    <w:rsid w:val="70CD5E02"/>
    <w:rsid w:val="71724DA6"/>
    <w:rsid w:val="7458022D"/>
    <w:rsid w:val="7E646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4070</Words>
  <Characters>4378</Characters>
  <Lines>0</Lines>
  <Paragraphs>0</Paragraphs>
  <TotalTime>0</TotalTime>
  <ScaleCrop>false</ScaleCrop>
  <LinksUpToDate>false</LinksUpToDate>
  <CharactersWithSpaces>4423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2024-06-13T00:39:08Z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FFAABB286B3C46A698CCD8DFF801CDD7_13</vt:lpwstr>
  </property>
</Properties>
</file>