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 xml:space="preserve"> </w:t>
      </w:r>
      <w:r>
        <w:rPr>
          <w:rFonts w:hint="eastAsia" w:ascii="方正小标宋简体" w:hAnsi="方正小标宋简体" w:eastAsia="方正小标宋简体" w:cs="方正小标宋简体"/>
          <w:bCs/>
          <w:color w:val="auto"/>
          <w:sz w:val="44"/>
          <w:szCs w:val="44"/>
          <w:highlight w:val="none"/>
          <w:lang w:val="en-US" w:eastAsia="zh-CN"/>
        </w:rPr>
        <w:t xml:space="preserve"> </w:t>
      </w:r>
      <w:r>
        <w:rPr>
          <w:rFonts w:hint="eastAsia" w:ascii="仿宋" w:hAnsi="仿宋" w:eastAsia="仿宋" w:cs="仿宋"/>
          <w:bCs/>
          <w:color w:val="auto"/>
          <w:sz w:val="44"/>
          <w:szCs w:val="44"/>
          <w:highlight w:val="none"/>
          <w:lang w:eastAsia="zh-CN"/>
        </w:rPr>
        <w:t>兴国县</w:t>
      </w:r>
      <w:r>
        <w:rPr>
          <w:rFonts w:hint="eastAsia" w:ascii="仿宋" w:hAnsi="仿宋" w:eastAsia="仿宋" w:cs="仿宋"/>
          <w:b w:val="0"/>
          <w:bCs/>
          <w:color w:val="auto"/>
          <w:sz w:val="44"/>
          <w:szCs w:val="44"/>
          <w:highlight w:val="none"/>
          <w:lang w:eastAsia="zh-CN"/>
        </w:rPr>
        <w:t>住房和城乡建设局</w:t>
      </w:r>
      <w:r>
        <w:rPr>
          <w:rFonts w:hint="eastAsia" w:ascii="仿宋" w:hAnsi="仿宋" w:eastAsia="仿宋" w:cs="仿宋"/>
          <w:b w:val="0"/>
          <w:bCs/>
          <w:color w:val="auto"/>
          <w:sz w:val="44"/>
          <w:szCs w:val="44"/>
          <w:highlight w:val="none"/>
          <w:lang w:val="en-US" w:eastAsia="zh-CN"/>
        </w:rPr>
        <w:t>2023年</w:t>
      </w:r>
      <w:r>
        <w:rPr>
          <w:rFonts w:hint="eastAsia" w:ascii="仿宋" w:hAnsi="仿宋" w:eastAsia="仿宋" w:cs="仿宋"/>
          <w:b w:val="0"/>
          <w:bCs/>
          <w:color w:val="auto"/>
          <w:sz w:val="44"/>
          <w:szCs w:val="44"/>
          <w:highlight w:val="none"/>
        </w:rPr>
        <w:t>部门预算编制说明</w:t>
      </w:r>
    </w:p>
    <w:p>
      <w:pPr>
        <w:spacing w:line="560" w:lineRule="exact"/>
        <w:jc w:val="center"/>
        <w:rPr>
          <w:rFonts w:hint="eastAsia" w:ascii="仿宋" w:hAnsi="仿宋" w:eastAsia="仿宋" w:cs="仿宋"/>
          <w:color w:val="auto"/>
          <w:sz w:val="44"/>
          <w:szCs w:val="44"/>
          <w:highlight w:val="none"/>
        </w:rPr>
      </w:pPr>
    </w:p>
    <w:p>
      <w:pPr>
        <w:spacing w:line="56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目  录</w:t>
      </w:r>
    </w:p>
    <w:p>
      <w:pPr>
        <w:spacing w:line="560" w:lineRule="exact"/>
        <w:jc w:val="center"/>
        <w:rPr>
          <w:rFonts w:hint="eastAsia" w:ascii="仿宋" w:hAnsi="仿宋" w:eastAsia="仿宋" w:cs="仿宋"/>
          <w:color w:val="auto"/>
          <w:sz w:val="32"/>
          <w:szCs w:val="32"/>
          <w:highlight w:val="none"/>
        </w:rPr>
      </w:pP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第一部分 兴国县</w:t>
      </w:r>
      <w:r>
        <w:rPr>
          <w:rFonts w:hint="eastAsia" w:ascii="仿宋" w:hAnsi="仿宋" w:eastAsia="仿宋" w:cs="仿宋"/>
          <w:b/>
          <w:bCs/>
          <w:color w:val="auto"/>
          <w:sz w:val="32"/>
          <w:szCs w:val="32"/>
          <w:highlight w:val="none"/>
          <w:lang w:eastAsia="zh-CN"/>
        </w:rPr>
        <w:t>住房和城乡建设局</w:t>
      </w:r>
      <w:r>
        <w:rPr>
          <w:rFonts w:hint="eastAsia" w:ascii="仿宋" w:hAnsi="仿宋" w:eastAsia="仿宋" w:cs="仿宋"/>
          <w:b/>
          <w:bCs/>
          <w:color w:val="auto"/>
          <w:sz w:val="32"/>
          <w:szCs w:val="32"/>
          <w:highlight w:val="none"/>
        </w:rPr>
        <w:t>部门概况</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一、部门主要职责</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二、部门基本情况</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第二部分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住房和城乡建设局</w:t>
      </w:r>
      <w:r>
        <w:rPr>
          <w:rFonts w:hint="eastAsia" w:ascii="仿宋" w:hAnsi="仿宋" w:eastAsia="仿宋" w:cs="仿宋"/>
          <w:b/>
          <w:bCs/>
          <w:color w:val="auto"/>
          <w:sz w:val="32"/>
          <w:szCs w:val="32"/>
          <w:highlight w:val="none"/>
        </w:rPr>
        <w:t>部门预算情况说明</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eastAsia="zh-CN"/>
        </w:rPr>
        <w:t>2023</w:t>
      </w:r>
      <w:r>
        <w:rPr>
          <w:rFonts w:hint="eastAsia" w:ascii="仿宋" w:hAnsi="仿宋" w:eastAsia="仿宋" w:cs="仿宋"/>
          <w:color w:val="auto"/>
          <w:sz w:val="32"/>
          <w:szCs w:val="32"/>
          <w:highlight w:val="none"/>
        </w:rPr>
        <w:t>年部门预算收支情况说明</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eastAsia="zh-CN"/>
        </w:rPr>
        <w:t>2023年</w:t>
      </w:r>
      <w:r>
        <w:rPr>
          <w:rFonts w:hint="eastAsia" w:ascii="仿宋" w:hAnsi="仿宋" w:eastAsia="仿宋" w:cs="仿宋"/>
          <w:color w:val="auto"/>
          <w:sz w:val="32"/>
          <w:szCs w:val="32"/>
          <w:highlight w:val="none"/>
        </w:rPr>
        <w:t>“三公”经费预算情况说明</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第三部分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住房和城乡建设局</w:t>
      </w:r>
      <w:r>
        <w:rPr>
          <w:rFonts w:hint="eastAsia" w:ascii="仿宋" w:hAnsi="仿宋" w:eastAsia="仿宋" w:cs="仿宋"/>
          <w:b/>
          <w:bCs/>
          <w:color w:val="auto"/>
          <w:sz w:val="32"/>
          <w:szCs w:val="32"/>
          <w:highlight w:val="none"/>
        </w:rPr>
        <w:t>部门预算表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一、《收支预算总表》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二、《部门收入总表》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三、《部门支出总表》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四、《财政拨款收支总表》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五、《一般公共预算支出表》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六、《一般公共预算基本支出表》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七、《一般公共预算“三公”经费支出表》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八、《政府性基金预算支出表》</w:t>
      </w:r>
    </w:p>
    <w:p>
      <w:pPr>
        <w:spacing w:line="560" w:lineRule="exact"/>
        <w:ind w:left="634" w:leftChars="284" w:hanging="38" w:hangingChars="12"/>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九、</w:t>
      </w:r>
      <w:r>
        <w:rPr>
          <w:rFonts w:hint="eastAsia" w:ascii="仿宋" w:hAnsi="仿宋" w:eastAsia="仿宋" w:cs="仿宋"/>
          <w:color w:val="auto"/>
          <w:sz w:val="32"/>
          <w:szCs w:val="32"/>
          <w:highlight w:val="none"/>
          <w:lang w:eastAsia="zh-CN"/>
        </w:rPr>
        <w:t>《国有资本经营预算支出表》</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十、《部门整体支出绩效目标表》</w:t>
      </w:r>
    </w:p>
    <w:p>
      <w:pPr>
        <w:spacing w:line="560" w:lineRule="exact"/>
        <w:ind w:left="10" w:leftChars="5" w:firstLine="620" w:firstLineChars="194"/>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eastAsia="zh-CN"/>
        </w:rPr>
        <w:t>一</w:t>
      </w:r>
      <w:r>
        <w:rPr>
          <w:rFonts w:hint="eastAsia" w:ascii="仿宋" w:hAnsi="仿宋" w:eastAsia="仿宋" w:cs="仿宋"/>
          <w:color w:val="auto"/>
          <w:sz w:val="32"/>
          <w:szCs w:val="32"/>
          <w:highlight w:val="none"/>
        </w:rPr>
        <w:t>、《项目支出绩效目标表》</w:t>
      </w:r>
      <w:r>
        <w:rPr>
          <w:rFonts w:hint="eastAsia" w:ascii="仿宋" w:hAnsi="仿宋" w:eastAsia="仿宋" w:cs="仿宋"/>
          <w:color w:val="auto"/>
          <w:sz w:val="32"/>
          <w:szCs w:val="32"/>
          <w:highlight w:val="none"/>
        </w:rPr>
        <w:cr/>
      </w:r>
      <w:r>
        <w:rPr>
          <w:rFonts w:hint="eastAsia" w:ascii="仿宋" w:hAnsi="仿宋" w:eastAsia="仿宋" w:cs="仿宋"/>
          <w:b/>
          <w:bCs/>
          <w:color w:val="auto"/>
          <w:sz w:val="32"/>
          <w:szCs w:val="32"/>
          <w:highlight w:val="none"/>
        </w:rPr>
        <w:t>第四部分 名词解释</w:t>
      </w:r>
    </w:p>
    <w:p>
      <w:pPr>
        <w:spacing w:line="560" w:lineRule="exact"/>
        <w:jc w:val="center"/>
        <w:rPr>
          <w:rFonts w:hint="eastAsia" w:ascii="仿宋" w:hAnsi="仿宋" w:eastAsia="仿宋" w:cs="仿宋"/>
          <w:b/>
          <w:bCs/>
          <w:color w:val="auto"/>
          <w:sz w:val="32"/>
          <w:szCs w:val="32"/>
          <w:highlight w:val="none"/>
        </w:rPr>
      </w:pPr>
    </w:p>
    <w:p>
      <w:pPr>
        <w:spacing w:line="560" w:lineRule="exact"/>
        <w:jc w:val="center"/>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第一部分</w:t>
      </w:r>
      <w:r>
        <w:rPr>
          <w:rFonts w:hint="eastAsia" w:ascii="仿宋" w:hAnsi="仿宋" w:eastAsia="仿宋" w:cs="仿宋"/>
          <w:b w:val="0"/>
          <w:bCs w:val="0"/>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住房和城乡建设局</w:t>
      </w:r>
      <w:r>
        <w:rPr>
          <w:rFonts w:hint="eastAsia" w:ascii="仿宋" w:hAnsi="仿宋" w:eastAsia="仿宋" w:cs="仿宋"/>
          <w:b w:val="0"/>
          <w:bCs w:val="0"/>
          <w:color w:val="auto"/>
          <w:sz w:val="32"/>
          <w:szCs w:val="32"/>
          <w:highlight w:val="none"/>
        </w:rPr>
        <w:t>部门概况</w:t>
      </w:r>
    </w:p>
    <w:p>
      <w:pPr>
        <w:spacing w:line="560" w:lineRule="exact"/>
        <w:jc w:val="center"/>
        <w:rPr>
          <w:rFonts w:hint="eastAsia" w:ascii="仿宋" w:hAnsi="仿宋" w:eastAsia="仿宋" w:cs="仿宋"/>
          <w:b/>
          <w:bCs/>
          <w:color w:val="auto"/>
          <w:sz w:val="32"/>
          <w:szCs w:val="32"/>
          <w:highlight w:val="none"/>
        </w:rPr>
      </w:pP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eastAsia="zh-CN"/>
        </w:rPr>
        <w:t>一、</w:t>
      </w:r>
      <w:r>
        <w:rPr>
          <w:rFonts w:hint="eastAsia" w:ascii="仿宋" w:hAnsi="仿宋" w:eastAsia="仿宋" w:cs="仿宋"/>
          <w:b/>
          <w:bCs/>
          <w:color w:val="auto"/>
          <w:sz w:val="32"/>
          <w:szCs w:val="32"/>
          <w:highlight w:val="none"/>
        </w:rPr>
        <w:t>部门主要职责</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（一）贯彻执行国家、省、市、县关于</w:t>
      </w:r>
      <w:r>
        <w:rPr>
          <w:rFonts w:hint="eastAsia" w:ascii="仿宋" w:hAnsi="仿宋" w:eastAsia="仿宋" w:cs="仿宋"/>
          <w:color w:val="auto"/>
          <w:sz w:val="32"/>
          <w:szCs w:val="32"/>
          <w:highlight w:val="none"/>
          <w:lang w:eastAsia="zh-CN"/>
        </w:rPr>
        <w:t>住房和</w:t>
      </w:r>
      <w:r>
        <w:rPr>
          <w:rFonts w:hint="eastAsia" w:ascii="仿宋" w:hAnsi="仿宋" w:eastAsia="仿宋" w:cs="仿宋"/>
          <w:color w:val="auto"/>
          <w:sz w:val="32"/>
          <w:szCs w:val="32"/>
          <w:highlight w:val="none"/>
        </w:rPr>
        <w:t>城乡建设事业的方针政策和法律法规、</w:t>
      </w:r>
      <w:r>
        <w:rPr>
          <w:rFonts w:hint="eastAsia" w:ascii="仿宋" w:hAnsi="仿宋" w:eastAsia="仿宋" w:cs="仿宋"/>
          <w:color w:val="auto"/>
          <w:sz w:val="32"/>
          <w:szCs w:val="32"/>
          <w:highlight w:val="none"/>
          <w:lang w:eastAsia="zh-CN"/>
        </w:rPr>
        <w:t>研究拟定全县房地产行业、城市建设、村镇建设、工程建设、建筑业、勘察设计咨询业、建筑节能与科技进步、市政公用事业、人民防空的规范性文件及相关发展战略、中长期规划、改革方案并组织实施。</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eastAsia="zh-CN"/>
        </w:rPr>
        <w:t>负责全县住房和城乡建设以及人民防空行政审批事项办理和服务工作</w:t>
      </w:r>
      <w:r>
        <w:rPr>
          <w:rFonts w:hint="eastAsia" w:ascii="仿宋" w:hAnsi="仿宋" w:eastAsia="仿宋" w:cs="仿宋"/>
          <w:color w:val="auto"/>
          <w:sz w:val="32"/>
          <w:szCs w:val="32"/>
          <w:highlight w:val="none"/>
        </w:rPr>
        <w:t>。</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（三）</w:t>
      </w:r>
      <w:r>
        <w:rPr>
          <w:rFonts w:hint="eastAsia" w:ascii="仿宋" w:hAnsi="仿宋" w:eastAsia="仿宋" w:cs="仿宋"/>
          <w:color w:val="auto"/>
          <w:sz w:val="32"/>
          <w:szCs w:val="32"/>
          <w:highlight w:val="none"/>
          <w:lang w:eastAsia="zh-CN"/>
        </w:rPr>
        <w:t>负责保障全县城镇低收入家庭和政策性住房工作。拟定住房保障相关政策，编制住房保障发展规划和年度计划。负责城区保障性住房和直管公房经营的监督管理，会同有关部门做好全县有关公共租赁住房资金安排、监督管理。</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（四）</w:t>
      </w:r>
      <w:r>
        <w:rPr>
          <w:rFonts w:hint="eastAsia" w:ascii="仿宋" w:hAnsi="仿宋" w:eastAsia="仿宋" w:cs="仿宋"/>
          <w:color w:val="auto"/>
          <w:sz w:val="32"/>
          <w:szCs w:val="32"/>
          <w:highlight w:val="none"/>
          <w:lang w:eastAsia="zh-CN"/>
        </w:rPr>
        <w:t>负责全县住房制度改革工作。拟定住房制度改革相关政策及配套措施，指导乡镇（区）住房制度改革。研究提出住房和城乡建设重大问题的政策建议。</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（五）负责</w:t>
      </w:r>
      <w:r>
        <w:rPr>
          <w:rFonts w:hint="eastAsia" w:ascii="仿宋" w:hAnsi="仿宋" w:eastAsia="仿宋" w:cs="仿宋"/>
          <w:color w:val="auto"/>
          <w:sz w:val="32"/>
          <w:szCs w:val="32"/>
          <w:highlight w:val="none"/>
          <w:lang w:eastAsia="zh-CN"/>
        </w:rPr>
        <w:t>规范</w:t>
      </w:r>
      <w:r>
        <w:rPr>
          <w:rFonts w:hint="eastAsia" w:ascii="仿宋" w:hAnsi="仿宋" w:eastAsia="仿宋" w:cs="仿宋"/>
          <w:color w:val="auto"/>
          <w:sz w:val="32"/>
          <w:szCs w:val="32"/>
          <w:highlight w:val="none"/>
        </w:rPr>
        <w:t>全县</w:t>
      </w:r>
      <w:r>
        <w:rPr>
          <w:rFonts w:hint="eastAsia" w:ascii="仿宋" w:hAnsi="仿宋" w:eastAsia="仿宋" w:cs="仿宋"/>
          <w:color w:val="auto"/>
          <w:sz w:val="32"/>
          <w:szCs w:val="32"/>
          <w:highlight w:val="none"/>
          <w:lang w:eastAsia="zh-CN"/>
        </w:rPr>
        <w:t>房地产市场秩序、监督管理房地产市场工作；负责全县房地产开发企业开发经营和房地产测绘及其成果运用的监督管理工作；会同或配合有关部门组织拟订房地产市场监督执行，制定房地产开发、房屋交易、房屋租赁、房屋面积管理、房地产估价与经纪管理、物业管理、房屋征收、住房专项维修资金管理等方面的制度并监督执行。</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（六）负责推进全县建筑行业节能</w:t>
      </w:r>
      <w:r>
        <w:rPr>
          <w:rFonts w:hint="eastAsia" w:ascii="仿宋" w:hAnsi="仿宋" w:eastAsia="仿宋" w:cs="仿宋"/>
          <w:color w:val="auto"/>
          <w:sz w:val="32"/>
          <w:szCs w:val="32"/>
          <w:highlight w:val="none"/>
          <w:lang w:eastAsia="zh-CN"/>
        </w:rPr>
        <w:t>、城镇</w:t>
      </w:r>
      <w:r>
        <w:rPr>
          <w:rFonts w:hint="eastAsia" w:ascii="仿宋" w:hAnsi="仿宋" w:eastAsia="仿宋" w:cs="仿宋"/>
          <w:color w:val="auto"/>
          <w:sz w:val="32"/>
          <w:szCs w:val="32"/>
          <w:highlight w:val="none"/>
        </w:rPr>
        <w:t>减排工作</w:t>
      </w:r>
      <w:r>
        <w:rPr>
          <w:rFonts w:hint="eastAsia" w:ascii="仿宋" w:hAnsi="仿宋" w:eastAsia="仿宋" w:cs="仿宋"/>
          <w:color w:val="auto"/>
          <w:sz w:val="32"/>
          <w:szCs w:val="32"/>
          <w:highlight w:val="none"/>
          <w:lang w:eastAsia="zh-CN"/>
        </w:rPr>
        <w:t>，推广绿色建筑和装配式建筑。会同有关部门拟定建筑节能的政策、规划并监督实施，组织实施重大节能项目，推进城镇减排。</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（七）指导全县村镇规划建设管理工作。拟定小城镇和村庄建设政策并指导实施，指导村镇规划的编制、农村住房建设及危房改造，指导小城镇和村庄人居生态环境改善工作，指导全县重点镇、示范镇建设。</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（八）</w:t>
      </w:r>
      <w:r>
        <w:rPr>
          <w:rFonts w:hint="eastAsia" w:ascii="仿宋" w:hAnsi="仿宋" w:eastAsia="仿宋" w:cs="仿宋"/>
          <w:color w:val="auto"/>
          <w:sz w:val="32"/>
          <w:szCs w:val="32"/>
          <w:highlight w:val="none"/>
          <w:lang w:eastAsia="zh-CN"/>
        </w:rPr>
        <w:t>监督管理全县建筑市场，规范市场各方主体行为。负责全县建筑工程质量安全监督管理工作；综合负责全县建筑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质量、建筑安全生产和竣工验收备案、工程质量检测管理的规范性文件并监督实施；参与指导预拌混凝土、预拌砂浆等建筑材料的管理；组织协调建设行业对外经济技术合作。</w:t>
      </w:r>
      <w:r>
        <w:rPr>
          <w:rFonts w:hint="eastAsia" w:ascii="仿宋" w:hAnsi="仿宋" w:eastAsia="仿宋" w:cs="仿宋"/>
          <w:color w:val="auto"/>
          <w:sz w:val="32"/>
          <w:szCs w:val="32"/>
          <w:highlight w:val="none"/>
          <w:lang w:val="en-US" w:eastAsia="zh-CN"/>
        </w:rPr>
        <w:t xml:space="preserve"> </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kern w:val="2"/>
          <w:sz w:val="32"/>
          <w:szCs w:val="32"/>
          <w:highlight w:val="none"/>
        </w:rPr>
        <w:t>九</w:t>
      </w:r>
      <w:r>
        <w:rPr>
          <w:rFonts w:hint="eastAsia" w:ascii="仿宋" w:hAnsi="仿宋" w:eastAsia="仿宋" w:cs="仿宋"/>
          <w:color w:val="auto"/>
          <w:sz w:val="32"/>
          <w:szCs w:val="32"/>
          <w:highlight w:val="none"/>
        </w:rPr>
        <w:t>）负责全县</w:t>
      </w:r>
      <w:r>
        <w:rPr>
          <w:rFonts w:hint="eastAsia" w:ascii="仿宋" w:hAnsi="仿宋" w:eastAsia="仿宋" w:cs="仿宋"/>
          <w:color w:val="auto"/>
          <w:sz w:val="32"/>
          <w:szCs w:val="32"/>
          <w:highlight w:val="none"/>
          <w:lang w:eastAsia="zh-CN"/>
        </w:rPr>
        <w:t>住房</w:t>
      </w:r>
      <w:r>
        <w:rPr>
          <w:rFonts w:hint="eastAsia" w:ascii="仿宋" w:hAnsi="仿宋" w:eastAsia="仿宋" w:cs="仿宋"/>
          <w:color w:val="auto"/>
          <w:sz w:val="32"/>
          <w:szCs w:val="32"/>
          <w:highlight w:val="none"/>
        </w:rPr>
        <w:t>和</w:t>
      </w:r>
      <w:r>
        <w:rPr>
          <w:rFonts w:hint="eastAsia" w:ascii="仿宋" w:hAnsi="仿宋" w:eastAsia="仿宋" w:cs="仿宋"/>
          <w:color w:val="auto"/>
          <w:sz w:val="32"/>
          <w:szCs w:val="32"/>
          <w:highlight w:val="none"/>
          <w:lang w:eastAsia="zh-CN"/>
        </w:rPr>
        <w:t>城乡</w:t>
      </w:r>
      <w:r>
        <w:rPr>
          <w:rFonts w:hint="eastAsia" w:ascii="仿宋" w:hAnsi="仿宋" w:eastAsia="仿宋" w:cs="仿宋"/>
          <w:color w:val="auto"/>
          <w:sz w:val="32"/>
          <w:szCs w:val="32"/>
          <w:highlight w:val="none"/>
        </w:rPr>
        <w:t>建设的执法监察工作。</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eastAsia="zh-CN"/>
        </w:rPr>
        <w:t>负责住房和城乡建设领域的安全生产监管工作，督促相关单位落实好行业安全生产责任制。</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pacing w:val="-4"/>
          <w:sz w:val="32"/>
          <w:szCs w:val="32"/>
          <w:highlight w:val="none"/>
          <w:lang w:eastAsia="zh-CN"/>
        </w:rPr>
      </w:pPr>
      <w:r>
        <w:rPr>
          <w:rFonts w:hint="eastAsia" w:ascii="仿宋" w:hAnsi="仿宋" w:eastAsia="仿宋" w:cs="仿宋"/>
          <w:color w:val="auto"/>
          <w:spacing w:val="-4"/>
          <w:sz w:val="32"/>
          <w:szCs w:val="32"/>
          <w:highlight w:val="none"/>
        </w:rPr>
        <w:t>（十一）负责</w:t>
      </w:r>
      <w:r>
        <w:rPr>
          <w:rFonts w:hint="eastAsia" w:ascii="仿宋" w:hAnsi="仿宋" w:eastAsia="仿宋" w:cs="仿宋"/>
          <w:color w:val="auto"/>
          <w:spacing w:val="-4"/>
          <w:sz w:val="32"/>
          <w:szCs w:val="32"/>
          <w:highlight w:val="none"/>
          <w:lang w:eastAsia="zh-CN"/>
        </w:rPr>
        <w:t>住房和城乡建设领域生态环境保护和节能减排工作，督促指导相关单位落实生态环境保护责任制。</w:t>
      </w:r>
    </w:p>
    <w:p>
      <w:pPr>
        <w:numPr>
          <w:ilvl w:val="0"/>
          <w:numId w:val="0"/>
        </w:numPr>
        <w:spacing w:line="560" w:lineRule="exact"/>
        <w:ind w:leftChars="205" w:firstLine="320" w:firstLineChars="1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（十二）</w:t>
      </w:r>
      <w:r>
        <w:rPr>
          <w:rFonts w:hint="eastAsia" w:ascii="仿宋" w:hAnsi="仿宋" w:eastAsia="仿宋" w:cs="仿宋"/>
          <w:color w:val="auto"/>
          <w:sz w:val="32"/>
          <w:szCs w:val="32"/>
          <w:highlight w:val="none"/>
          <w:lang w:eastAsia="zh-CN"/>
        </w:rPr>
        <w:t>完成</w:t>
      </w:r>
      <w:r>
        <w:rPr>
          <w:rFonts w:hint="eastAsia" w:ascii="仿宋" w:hAnsi="仿宋" w:eastAsia="仿宋" w:cs="仿宋"/>
          <w:color w:val="auto"/>
          <w:sz w:val="32"/>
          <w:szCs w:val="32"/>
          <w:highlight w:val="none"/>
        </w:rPr>
        <w:t>县委、县政府交办的其它工作</w:t>
      </w:r>
      <w:r>
        <w:rPr>
          <w:rFonts w:hint="eastAsia" w:ascii="仿宋" w:hAnsi="仿宋" w:eastAsia="仿宋" w:cs="仿宋"/>
          <w:color w:val="auto"/>
          <w:sz w:val="32"/>
          <w:szCs w:val="32"/>
          <w:highlight w:val="none"/>
          <w:lang w:eastAsia="zh-CN"/>
        </w:rPr>
        <w:t>任务</w:t>
      </w:r>
      <w:r>
        <w:rPr>
          <w:rFonts w:hint="eastAsia" w:ascii="仿宋" w:hAnsi="仿宋" w:eastAsia="仿宋" w:cs="仿宋"/>
          <w:color w:val="auto"/>
          <w:sz w:val="32"/>
          <w:szCs w:val="32"/>
          <w:highlight w:val="none"/>
        </w:rPr>
        <w:t>。</w:t>
      </w:r>
    </w:p>
    <w:p>
      <w:pPr>
        <w:spacing w:line="560" w:lineRule="exact"/>
        <w:ind w:left="10" w:leftChars="5"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二、部门基本情况</w:t>
      </w:r>
    </w:p>
    <w:p>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住房和城乡建设局</w:t>
      </w:r>
      <w:r>
        <w:rPr>
          <w:rFonts w:hint="eastAsia" w:ascii="仿宋" w:hAnsi="仿宋" w:eastAsia="仿宋" w:cs="仿宋"/>
          <w:color w:val="auto"/>
          <w:sz w:val="32"/>
          <w:szCs w:val="32"/>
          <w:highlight w:val="none"/>
        </w:rPr>
        <w:t>部门共有预算单位</w:t>
      </w:r>
      <w:r>
        <w:rPr>
          <w:rFonts w:hint="eastAsia" w:ascii="仿宋" w:hAnsi="仿宋" w:eastAsia="仿宋" w:cs="仿宋"/>
          <w:color w:val="auto"/>
          <w:kern w:val="0"/>
          <w:sz w:val="32"/>
          <w:szCs w:val="32"/>
          <w:highlight w:val="none"/>
          <w:lang w:val="en-US" w:eastAsia="zh-CN"/>
        </w:rPr>
        <w:t>2</w:t>
      </w:r>
      <w:r>
        <w:rPr>
          <w:rFonts w:hint="eastAsia" w:ascii="仿宋" w:hAnsi="仿宋" w:eastAsia="仿宋" w:cs="仿宋"/>
          <w:color w:val="auto"/>
          <w:sz w:val="32"/>
          <w:szCs w:val="32"/>
          <w:highlight w:val="none"/>
        </w:rPr>
        <w:t>个，包括：</w:t>
      </w:r>
      <w:r>
        <w:rPr>
          <w:rFonts w:hint="eastAsia" w:ascii="仿宋" w:hAnsi="仿宋" w:eastAsia="仿宋" w:cs="仿宋"/>
          <w:color w:val="auto"/>
          <w:sz w:val="32"/>
          <w:szCs w:val="32"/>
          <w:highlight w:val="none"/>
          <w:lang w:eastAsia="zh-CN"/>
        </w:rPr>
        <w:t>兴国县住房和城乡建设局、兴国县城镇发展服务中心。</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${page400644146.ds532982397_REP_JX_BAS_AGENCY_INFO_ZYFRS_S_BZRSXJ}</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编制人数小计</w:t>
      </w:r>
      <w:r>
        <w:rPr>
          <w:rFonts w:hint="eastAsia" w:ascii="仿宋" w:hAnsi="仿宋" w:eastAsia="仿宋" w:cs="仿宋"/>
          <w:color w:val="auto"/>
          <w:sz w:val="32"/>
          <w:szCs w:val="32"/>
          <w:highlight w:val="none"/>
          <w:lang w:val="en-US" w:eastAsia="zh-CN"/>
        </w:rPr>
        <w:t>61</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${page400644146.ds532982397_REP_JX_BAS_AGENCY_INFO_ZYFRS_S_BZRSMX}</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行政编制人数</w:t>
      </w:r>
      <w:r>
        <w:rPr>
          <w:rFonts w:hint="eastAsia" w:ascii="仿宋" w:hAnsi="仿宋" w:eastAsia="仿宋" w:cs="仿宋"/>
          <w:color w:val="auto"/>
          <w:sz w:val="32"/>
          <w:szCs w:val="32"/>
          <w:highlight w:val="none"/>
          <w:lang w:val="en-US" w:eastAsia="zh-CN"/>
        </w:rPr>
        <w:t>17</w:t>
      </w:r>
      <w:r>
        <w:rPr>
          <w:rFonts w:hint="eastAsia" w:ascii="仿宋" w:hAnsi="仿宋" w:eastAsia="仿宋" w:cs="仿宋"/>
          <w:color w:val="auto"/>
          <w:sz w:val="32"/>
          <w:szCs w:val="32"/>
          <w:highlight w:val="none"/>
        </w:rPr>
        <w:t>人,参照公务员管理的事业编制人数</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人,全部补助事业编制人数</w:t>
      </w:r>
      <w:r>
        <w:rPr>
          <w:rFonts w:hint="eastAsia" w:ascii="仿宋" w:hAnsi="仿宋" w:eastAsia="仿宋" w:cs="仿宋"/>
          <w:color w:val="auto"/>
          <w:kern w:val="0"/>
          <w:sz w:val="32"/>
          <w:szCs w:val="32"/>
          <w:highlight w:val="none"/>
          <w:lang w:val="en-US" w:eastAsia="zh-CN"/>
        </w:rPr>
        <w:t>44</w:t>
      </w:r>
      <w:r>
        <w:rPr>
          <w:rFonts w:hint="eastAsia" w:ascii="仿宋" w:hAnsi="仿宋" w:eastAsia="仿宋" w:cs="仿宋"/>
          <w:color w:val="auto"/>
          <w:sz w:val="32"/>
          <w:szCs w:val="32"/>
          <w:highlight w:val="none"/>
        </w:rPr>
        <w:t>人,自收自支编制人数</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${page400644146.ds532982397_REP_JX_BAS_AGENCY_INFO_ZYFRS_S_SYRSXJ}</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实有人数小计</w:t>
      </w:r>
      <w:r>
        <w:rPr>
          <w:rFonts w:hint="eastAsia" w:ascii="仿宋" w:hAnsi="仿宋" w:eastAsia="仿宋" w:cs="仿宋"/>
          <w:color w:val="auto"/>
          <w:sz w:val="32"/>
          <w:szCs w:val="32"/>
          <w:highlight w:val="none"/>
          <w:lang w:val="en-US" w:eastAsia="zh-CN"/>
        </w:rPr>
        <w:t>61</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${page400644146.ds532982397_REP_JX_BAS_AGENCY_INFO_ZYFRS_S_ZZRSXJ}</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在职人数小计</w:t>
      </w:r>
      <w:r>
        <w:rPr>
          <w:rFonts w:hint="eastAsia" w:ascii="仿宋" w:hAnsi="仿宋" w:eastAsia="仿宋" w:cs="仿宋"/>
          <w:color w:val="auto"/>
          <w:sz w:val="32"/>
          <w:szCs w:val="32"/>
          <w:highlight w:val="none"/>
          <w:lang w:val="en-US" w:eastAsia="zh-CN"/>
        </w:rPr>
        <w:t>61</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${page400644146.ds532982397_REP_JX_BAS_AGENCY_INFO_ZYFRS_S_ZZRSMX}</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行政在职人数</w:t>
      </w:r>
      <w:r>
        <w:rPr>
          <w:rFonts w:hint="eastAsia" w:ascii="仿宋" w:hAnsi="仿宋" w:eastAsia="仿宋" w:cs="仿宋"/>
          <w:color w:val="auto"/>
          <w:sz w:val="32"/>
          <w:szCs w:val="32"/>
          <w:highlight w:val="none"/>
          <w:lang w:val="en-US" w:eastAsia="zh-CN"/>
        </w:rPr>
        <w:t>17</w:t>
      </w:r>
      <w:r>
        <w:rPr>
          <w:rFonts w:hint="eastAsia" w:ascii="仿宋" w:hAnsi="仿宋" w:eastAsia="仿宋" w:cs="仿宋"/>
          <w:color w:val="auto"/>
          <w:sz w:val="32"/>
          <w:szCs w:val="32"/>
          <w:highlight w:val="none"/>
        </w:rPr>
        <w:t>人,参照公务员管理的事业单位在职人数</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人,全部补助事业在职人数</w:t>
      </w:r>
      <w:r>
        <w:rPr>
          <w:rFonts w:hint="eastAsia" w:ascii="仿宋" w:hAnsi="仿宋" w:eastAsia="仿宋" w:cs="仿宋"/>
          <w:color w:val="auto"/>
          <w:sz w:val="32"/>
          <w:szCs w:val="32"/>
          <w:highlight w:val="none"/>
          <w:lang w:val="en-US" w:eastAsia="zh-CN"/>
        </w:rPr>
        <w:t>44</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MERGEFIELD ${page400644146.ds532982397_REP_JX_BAS_AGENCY_INFO_ZYFRS_S_QTRSMX}</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离休人数小计</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人,退休人数小计</w:t>
      </w:r>
      <w:r>
        <w:rPr>
          <w:rFonts w:hint="eastAsia" w:ascii="仿宋" w:hAnsi="仿宋" w:eastAsia="仿宋" w:cs="仿宋"/>
          <w:color w:val="auto"/>
          <w:sz w:val="32"/>
          <w:szCs w:val="32"/>
          <w:highlight w:val="none"/>
          <w:lang w:val="en-US" w:eastAsia="zh-CN"/>
        </w:rPr>
        <w:t>25</w:t>
      </w:r>
      <w:r>
        <w:rPr>
          <w:rFonts w:hint="eastAsia" w:ascii="仿宋" w:hAnsi="仿宋" w:eastAsia="仿宋" w:cs="仿宋"/>
          <w:color w:val="auto"/>
          <w:sz w:val="32"/>
          <w:szCs w:val="32"/>
          <w:highlight w:val="none"/>
        </w:rPr>
        <w:t>人,退职人员</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人,遗属人数</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rPr>
        <w:fldChar w:fldCharType="end"/>
      </w:r>
    </w:p>
    <w:p>
      <w:pPr>
        <w:ind w:firstLine="640" w:firstLineChars="200"/>
        <w:rPr>
          <w:rFonts w:hint="eastAsia" w:ascii="仿宋" w:hAnsi="仿宋" w:eastAsia="仿宋" w:cs="仿宋"/>
          <w:color w:val="auto"/>
          <w:sz w:val="32"/>
          <w:szCs w:val="32"/>
          <w:highlight w:val="none"/>
          <w:lang w:eastAsia="zh-CN"/>
        </w:rPr>
      </w:pPr>
    </w:p>
    <w:p>
      <w:pPr>
        <w:spacing w:line="560" w:lineRule="exact"/>
        <w:rPr>
          <w:rFonts w:hint="eastAsia" w:ascii="仿宋" w:hAnsi="仿宋" w:eastAsia="仿宋" w:cs="仿宋"/>
          <w:color w:val="auto"/>
          <w:sz w:val="32"/>
          <w:szCs w:val="32"/>
          <w:highlight w:val="none"/>
        </w:rPr>
      </w:pPr>
    </w:p>
    <w:p>
      <w:pPr>
        <w:spacing w:line="560" w:lineRule="exact"/>
        <w:jc w:val="center"/>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第二部分</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住房和城乡建设局</w:t>
      </w:r>
      <w:r>
        <w:rPr>
          <w:rFonts w:hint="eastAsia" w:ascii="仿宋" w:hAnsi="仿宋" w:eastAsia="仿宋" w:cs="仿宋"/>
          <w:b w:val="0"/>
          <w:bCs w:val="0"/>
          <w:color w:val="auto"/>
          <w:sz w:val="32"/>
          <w:szCs w:val="32"/>
          <w:highlight w:val="none"/>
        </w:rPr>
        <w:t>部门预算情况说明</w:t>
      </w:r>
    </w:p>
    <w:p>
      <w:pPr>
        <w:spacing w:line="560" w:lineRule="exact"/>
        <w:jc w:val="center"/>
        <w:rPr>
          <w:rFonts w:hint="eastAsia" w:ascii="仿宋" w:hAnsi="仿宋" w:eastAsia="仿宋" w:cs="仿宋"/>
          <w:b/>
          <w:bCs/>
          <w:color w:val="auto"/>
          <w:sz w:val="32"/>
          <w:szCs w:val="32"/>
          <w:highlight w:val="none"/>
        </w:rPr>
      </w:pPr>
    </w:p>
    <w:p>
      <w:pPr>
        <w:spacing w:line="560" w:lineRule="exact"/>
        <w:ind w:left="10" w:leftChars="5"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w:t>
      </w:r>
      <w:r>
        <w:rPr>
          <w:rFonts w:hint="eastAsia" w:ascii="仿宋" w:hAnsi="仿宋" w:eastAsia="仿宋" w:cs="仿宋"/>
          <w:b/>
          <w:bCs/>
          <w:color w:val="auto"/>
          <w:sz w:val="32"/>
          <w:szCs w:val="32"/>
          <w:highlight w:val="none"/>
          <w:lang w:val="en-US" w:eastAsia="zh-CN"/>
        </w:rPr>
        <w:t>2023</w:t>
      </w:r>
      <w:r>
        <w:rPr>
          <w:rFonts w:hint="eastAsia" w:ascii="仿宋" w:hAnsi="仿宋" w:eastAsia="仿宋" w:cs="仿宋"/>
          <w:b/>
          <w:bCs/>
          <w:color w:val="auto"/>
          <w:sz w:val="32"/>
          <w:szCs w:val="32"/>
          <w:highlight w:val="none"/>
        </w:rPr>
        <w:t>年部门预算收支情况说明</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（一）收入预算情况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本部门收入</w:t>
      </w:r>
      <w:r>
        <w:rPr>
          <w:rFonts w:hint="eastAsia" w:ascii="仿宋" w:hAnsi="仿宋" w:eastAsia="仿宋" w:cs="仿宋"/>
          <w:color w:val="auto"/>
          <w:sz w:val="32"/>
          <w:szCs w:val="32"/>
          <w:highlight w:val="none"/>
        </w:rPr>
        <w:t>预算</w:t>
      </w:r>
      <w:r>
        <w:rPr>
          <w:rFonts w:hint="eastAsia" w:ascii="仿宋" w:hAnsi="仿宋" w:eastAsia="仿宋" w:cs="仿宋"/>
          <w:color w:val="auto"/>
          <w:sz w:val="32"/>
          <w:szCs w:val="32"/>
          <w:highlight w:val="none"/>
          <w:lang w:eastAsia="zh-CN"/>
        </w:rPr>
        <w:t>总额</w:t>
      </w:r>
      <w:r>
        <w:rPr>
          <w:rFonts w:hint="eastAsia" w:ascii="仿宋" w:hAnsi="仿宋" w:eastAsia="仿宋" w:cs="仿宋"/>
          <w:color w:val="auto"/>
          <w:sz w:val="32"/>
          <w:szCs w:val="32"/>
          <w:highlight w:val="none"/>
          <w:lang w:val="en-US" w:eastAsia="zh-CN"/>
        </w:rPr>
        <w:t>7611.52</w:t>
      </w:r>
      <w:r>
        <w:rPr>
          <w:rFonts w:hint="eastAsia" w:ascii="仿宋" w:hAnsi="仿宋" w:eastAsia="仿宋" w:cs="仿宋"/>
          <w:color w:val="auto"/>
          <w:sz w:val="32"/>
          <w:szCs w:val="32"/>
          <w:highlight w:val="none"/>
        </w:rPr>
        <w:t>万元，较上年预算安排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7481.39</w:t>
      </w:r>
      <w:r>
        <w:rPr>
          <w:rFonts w:hint="eastAsia" w:ascii="仿宋" w:hAnsi="仿宋" w:eastAsia="仿宋" w:cs="仿宋"/>
          <w:color w:val="auto"/>
          <w:sz w:val="32"/>
          <w:szCs w:val="32"/>
          <w:highlight w:val="none"/>
          <w:lang w:eastAsia="zh-CN"/>
        </w:rPr>
        <w:t>万元，减少</w:t>
      </w:r>
      <w:r>
        <w:rPr>
          <w:rFonts w:hint="eastAsia" w:ascii="仿宋" w:hAnsi="仿宋" w:eastAsia="仿宋" w:cs="仿宋"/>
          <w:color w:val="auto"/>
          <w:sz w:val="32"/>
          <w:szCs w:val="32"/>
          <w:highlight w:val="none"/>
          <w:lang w:val="en-US" w:eastAsia="zh-CN"/>
        </w:rPr>
        <w:t>49.57%，</w:t>
      </w:r>
      <w:r>
        <w:rPr>
          <w:rFonts w:hint="eastAsia" w:ascii="仿宋" w:hAnsi="仿宋" w:eastAsia="仿宋" w:cs="仿宋"/>
          <w:color w:val="auto"/>
          <w:sz w:val="32"/>
          <w:szCs w:val="32"/>
          <w:highlight w:val="none"/>
          <w:lang w:eastAsia="zh-CN"/>
        </w:rPr>
        <w:t>增减变化主要原因是：</w:t>
      </w:r>
      <w:r>
        <w:rPr>
          <w:rFonts w:hint="eastAsia" w:ascii="仿宋" w:hAnsi="仿宋" w:eastAsia="仿宋" w:cs="仿宋"/>
          <w:color w:val="auto"/>
          <w:sz w:val="32"/>
          <w:szCs w:val="32"/>
          <w:highlight w:val="none"/>
          <w:lang w:val="en-US" w:eastAsia="zh-CN"/>
        </w:rPr>
        <w:t>2023年项目减少</w:t>
      </w:r>
      <w:r>
        <w:rPr>
          <w:rFonts w:hint="eastAsia" w:ascii="仿宋" w:hAnsi="仿宋" w:eastAsia="仿宋" w:cs="仿宋"/>
          <w:color w:val="auto"/>
          <w:sz w:val="32"/>
          <w:szCs w:val="32"/>
          <w:highlight w:val="none"/>
          <w:lang w:eastAsia="zh-CN"/>
        </w:rPr>
        <w:t>。</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具体为：</w:t>
      </w:r>
      <w:r>
        <w:rPr>
          <w:rFonts w:hint="eastAsia" w:ascii="仿宋" w:hAnsi="仿宋" w:eastAsia="仿宋" w:cs="仿宋"/>
          <w:color w:val="auto"/>
          <w:sz w:val="32"/>
          <w:szCs w:val="32"/>
          <w:highlight w:val="none"/>
          <w:lang w:eastAsia="zh-CN"/>
        </w:rPr>
        <w:t>财政拨款收入</w:t>
      </w:r>
      <w:r>
        <w:rPr>
          <w:rFonts w:hint="eastAsia" w:ascii="仿宋" w:hAnsi="仿宋" w:eastAsia="仿宋" w:cs="仿宋"/>
          <w:color w:val="auto"/>
          <w:sz w:val="32"/>
          <w:szCs w:val="32"/>
          <w:highlight w:val="none"/>
          <w:lang w:val="en-US" w:eastAsia="zh-CN"/>
        </w:rPr>
        <w:t>1849.52</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1181.09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kern w:val="0"/>
          <w:sz w:val="32"/>
          <w:szCs w:val="32"/>
          <w:highlight w:val="none"/>
          <w:lang w:val="en-US" w:eastAsia="zh-CN" w:bidi="ar-SA"/>
        </w:rPr>
        <w:t>其他收入5762万元，较上年预算安排增长88.45万元。</w:t>
      </w:r>
      <w:r>
        <w:rPr>
          <w:rFonts w:hint="eastAsia" w:ascii="仿宋" w:hAnsi="仿宋" w:eastAsia="仿宋" w:cs="仿宋"/>
          <w:color w:val="auto"/>
          <w:sz w:val="32"/>
          <w:szCs w:val="32"/>
          <w:highlight w:val="none"/>
          <w:lang w:val="en-US" w:eastAsia="zh-CN"/>
        </w:rPr>
        <w:t>上年结转为0万元，比上年减少</w:t>
      </w:r>
      <w:r>
        <w:rPr>
          <w:rFonts w:hint="eastAsia" w:ascii="宋体" w:hAnsi="宋体" w:eastAsia="宋体" w:cs="宋体"/>
          <w:color w:val="auto"/>
          <w:kern w:val="0"/>
          <w:sz w:val="28"/>
          <w:szCs w:val="28"/>
          <w:highlight w:val="none"/>
          <w:lang w:val="en-US" w:eastAsia="zh-CN" w:bidi="ar-SA"/>
        </w:rPr>
        <w:t>6388.75万元</w:t>
      </w:r>
      <w:r>
        <w:rPr>
          <w:rFonts w:hint="eastAsia" w:ascii="宋体" w:hAnsi="宋体" w:cs="宋体"/>
          <w:color w:val="auto"/>
          <w:kern w:val="0"/>
          <w:sz w:val="28"/>
          <w:szCs w:val="28"/>
          <w:highlight w:val="none"/>
          <w:lang w:val="en-US" w:eastAsia="zh-CN" w:bidi="ar-SA"/>
        </w:rPr>
        <w:t>。</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（二）支出预算情况</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本部门</w:t>
      </w:r>
      <w:r>
        <w:rPr>
          <w:rFonts w:hint="eastAsia" w:ascii="仿宋" w:hAnsi="仿宋" w:eastAsia="仿宋" w:cs="仿宋"/>
          <w:color w:val="auto"/>
          <w:sz w:val="32"/>
          <w:szCs w:val="32"/>
          <w:highlight w:val="none"/>
        </w:rPr>
        <w:t>支出预算</w:t>
      </w:r>
      <w:r>
        <w:rPr>
          <w:rFonts w:hint="eastAsia" w:ascii="仿宋" w:hAnsi="仿宋" w:eastAsia="仿宋" w:cs="仿宋"/>
          <w:color w:val="auto"/>
          <w:sz w:val="32"/>
          <w:szCs w:val="32"/>
          <w:highlight w:val="none"/>
          <w:lang w:eastAsia="zh-CN"/>
        </w:rPr>
        <w:t>总额</w:t>
      </w:r>
      <w:r>
        <w:rPr>
          <w:rFonts w:hint="eastAsia" w:ascii="仿宋" w:hAnsi="仿宋" w:eastAsia="仿宋" w:cs="仿宋"/>
          <w:color w:val="auto"/>
          <w:sz w:val="32"/>
          <w:szCs w:val="32"/>
          <w:highlight w:val="none"/>
          <w:lang w:val="en-US" w:eastAsia="zh-CN"/>
        </w:rPr>
        <w:t>7611.52</w:t>
      </w:r>
      <w:r>
        <w:rPr>
          <w:rFonts w:hint="eastAsia" w:ascii="仿宋" w:hAnsi="仿宋" w:eastAsia="仿宋" w:cs="仿宋"/>
          <w:color w:val="auto"/>
          <w:sz w:val="32"/>
          <w:szCs w:val="32"/>
          <w:highlight w:val="none"/>
        </w:rPr>
        <w:t>万元，较上年预算安排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7481.39</w:t>
      </w:r>
      <w:r>
        <w:rPr>
          <w:rFonts w:hint="eastAsia" w:ascii="仿宋" w:hAnsi="仿宋" w:eastAsia="仿宋" w:cs="仿宋"/>
          <w:color w:val="auto"/>
          <w:sz w:val="32"/>
          <w:szCs w:val="32"/>
          <w:highlight w:val="none"/>
          <w:lang w:eastAsia="zh-CN"/>
        </w:rPr>
        <w:t>万元，增减变化主要原因是：机构改革单位减少，</w:t>
      </w:r>
      <w:r>
        <w:rPr>
          <w:rFonts w:hint="eastAsia" w:ascii="仿宋" w:hAnsi="仿宋" w:eastAsia="仿宋" w:cs="仿宋"/>
          <w:color w:val="auto"/>
          <w:sz w:val="32"/>
          <w:szCs w:val="32"/>
          <w:highlight w:val="none"/>
          <w:lang w:val="en-US" w:eastAsia="zh-CN"/>
        </w:rPr>
        <w:t>2023年项目也比上年减少</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具体为：</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按支出项目类别及经济分类科目划分：基本支出</w:t>
      </w:r>
      <w:r>
        <w:rPr>
          <w:rFonts w:hint="eastAsia" w:ascii="仿宋" w:hAnsi="仿宋" w:eastAsia="仿宋" w:cs="仿宋"/>
          <w:color w:val="auto"/>
          <w:sz w:val="32"/>
          <w:szCs w:val="32"/>
          <w:highlight w:val="none"/>
          <w:lang w:val="en-US" w:eastAsia="zh-CN"/>
        </w:rPr>
        <w:t>1584.52</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642.01</w:t>
      </w:r>
      <w:r>
        <w:rPr>
          <w:rFonts w:hint="eastAsia" w:ascii="仿宋" w:hAnsi="仿宋" w:eastAsia="仿宋" w:cs="仿宋"/>
          <w:color w:val="auto"/>
          <w:sz w:val="32"/>
          <w:szCs w:val="32"/>
          <w:highlight w:val="none"/>
          <w:lang w:eastAsia="zh-CN"/>
        </w:rPr>
        <w:t>万元，其中：</w:t>
      </w:r>
      <w:r>
        <w:rPr>
          <w:rFonts w:hint="eastAsia" w:ascii="仿宋" w:hAnsi="仿宋" w:eastAsia="仿宋" w:cs="仿宋"/>
          <w:color w:val="auto"/>
          <w:kern w:val="0"/>
          <w:sz w:val="32"/>
          <w:szCs w:val="32"/>
          <w:highlight w:val="none"/>
          <w:lang w:val="en-US" w:eastAsia="zh-CN" w:bidi="ar-SA"/>
        </w:rPr>
        <w:t>工资福利支出883.7万元，商品和服务支出544.43万元，对个人和家庭的补助3.98万元，资本性支出152.4万元；</w:t>
      </w:r>
      <w:r>
        <w:rPr>
          <w:rFonts w:hint="eastAsia" w:ascii="仿宋" w:hAnsi="仿宋" w:eastAsia="仿宋" w:cs="仿宋"/>
          <w:color w:val="auto"/>
          <w:sz w:val="32"/>
          <w:szCs w:val="32"/>
          <w:highlight w:val="none"/>
          <w:lang w:eastAsia="zh-CN"/>
        </w:rPr>
        <w:t>项目支出</w:t>
      </w:r>
      <w:r>
        <w:rPr>
          <w:rFonts w:hint="eastAsia" w:ascii="仿宋" w:hAnsi="仿宋" w:eastAsia="仿宋" w:cs="仿宋"/>
          <w:color w:val="auto"/>
          <w:sz w:val="32"/>
          <w:szCs w:val="32"/>
          <w:highlight w:val="none"/>
          <w:lang w:val="en-US" w:eastAsia="zh-CN"/>
        </w:rPr>
        <w:t>6027</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6839.38</w:t>
      </w:r>
      <w:r>
        <w:rPr>
          <w:rFonts w:hint="eastAsia" w:ascii="仿宋" w:hAnsi="仿宋" w:eastAsia="仿宋" w:cs="仿宋"/>
          <w:color w:val="auto"/>
          <w:sz w:val="32"/>
          <w:szCs w:val="32"/>
          <w:highlight w:val="none"/>
          <w:lang w:eastAsia="zh-CN"/>
        </w:rPr>
        <w:t>万元，其中：</w:t>
      </w:r>
      <w:r>
        <w:rPr>
          <w:rFonts w:hint="eastAsia" w:ascii="仿宋" w:hAnsi="仿宋" w:eastAsia="仿宋" w:cs="仿宋"/>
          <w:color w:val="auto"/>
          <w:kern w:val="0"/>
          <w:sz w:val="32"/>
          <w:szCs w:val="32"/>
          <w:highlight w:val="none"/>
          <w:lang w:val="en-US" w:eastAsia="zh-CN" w:bidi="ar-SA"/>
        </w:rPr>
        <w:t>工资福利支出17万元，商品和服务支出30万元，其他相关支出5980万元</w:t>
      </w:r>
      <w:r>
        <w:rPr>
          <w:rFonts w:hint="eastAsia" w:ascii="仿宋" w:hAnsi="仿宋" w:eastAsia="仿宋" w:cs="仿宋"/>
          <w:color w:val="auto"/>
          <w:sz w:val="32"/>
          <w:szCs w:val="32"/>
          <w:highlight w:val="none"/>
          <w:lang w:eastAsia="zh-CN"/>
        </w:rPr>
        <w:t>。</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按支出功能分类科目划分：</w:t>
      </w:r>
      <w:r>
        <w:rPr>
          <w:rFonts w:hint="eastAsia" w:ascii="仿宋" w:hAnsi="仿宋" w:eastAsia="仿宋" w:cs="仿宋"/>
          <w:sz w:val="32"/>
          <w:szCs w:val="32"/>
          <w:highlight w:val="none"/>
          <w:lang w:eastAsia="zh-CN"/>
        </w:rPr>
        <w:t>一般公共服务支出</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w:t>
      </w:r>
      <w:r>
        <w:rPr>
          <w:rFonts w:hint="eastAsia" w:ascii="仿宋" w:hAnsi="仿宋" w:eastAsia="仿宋" w:cs="仿宋"/>
          <w:sz w:val="32"/>
          <w:szCs w:val="32"/>
          <w:highlight w:val="none"/>
          <w:lang w:eastAsia="zh-CN"/>
        </w:rPr>
        <w:t>，</w:t>
      </w:r>
      <w:r>
        <w:rPr>
          <w:rFonts w:hint="eastAsia" w:ascii="仿宋" w:hAnsi="仿宋" w:eastAsia="仿宋" w:cs="仿宋"/>
          <w:b w:val="0"/>
          <w:bCs/>
          <w:sz w:val="32"/>
          <w:szCs w:val="32"/>
          <w:highlight w:val="none"/>
          <w:lang w:val="en-US" w:eastAsia="zh-CN"/>
        </w:rPr>
        <w:t>较上年预算安排</w:t>
      </w:r>
      <w:r>
        <w:rPr>
          <w:rFonts w:hint="eastAsia" w:ascii="仿宋" w:hAnsi="仿宋" w:eastAsia="仿宋" w:cs="仿宋"/>
          <w:b w:val="0"/>
          <w:bCs/>
          <w:color w:val="auto"/>
          <w:kern w:val="0"/>
          <w:sz w:val="32"/>
          <w:szCs w:val="32"/>
          <w:highlight w:val="none"/>
          <w:lang w:val="en-US" w:eastAsia="zh-CN" w:bidi="ar-SA"/>
        </w:rPr>
        <w:t>减少</w:t>
      </w:r>
      <w:r>
        <w:rPr>
          <w:rFonts w:hint="eastAsia" w:ascii="仿宋" w:hAnsi="仿宋" w:eastAsia="仿宋" w:cs="仿宋"/>
          <w:b w:val="0"/>
          <w:bCs/>
          <w:sz w:val="32"/>
          <w:szCs w:val="32"/>
          <w:highlight w:val="none"/>
          <w:lang w:val="en-US" w:eastAsia="zh-CN"/>
        </w:rPr>
        <w:t>827万元</w:t>
      </w:r>
      <w:r>
        <w:rPr>
          <w:rFonts w:hint="eastAsia" w:ascii="仿宋" w:hAnsi="仿宋" w:eastAsia="仿宋" w:cs="仿宋"/>
          <w:sz w:val="32"/>
          <w:szCs w:val="32"/>
          <w:highlight w:val="none"/>
          <w:lang w:eastAsia="zh-CN"/>
        </w:rPr>
        <w:t>；</w:t>
      </w:r>
      <w:r>
        <w:rPr>
          <w:rFonts w:hint="eastAsia" w:ascii="仿宋" w:hAnsi="仿宋" w:eastAsia="仿宋" w:cs="仿宋"/>
          <w:b w:val="0"/>
          <w:bCs/>
          <w:color w:val="auto"/>
          <w:kern w:val="0"/>
          <w:sz w:val="32"/>
          <w:szCs w:val="32"/>
          <w:highlight w:val="none"/>
          <w:lang w:val="en-US" w:eastAsia="zh-CN" w:bidi="ar-SA"/>
        </w:rPr>
        <w:t>国防支出0万元，较上年预算安排减少4.2万元；</w:t>
      </w:r>
      <w:r>
        <w:rPr>
          <w:rFonts w:hint="eastAsia" w:ascii="仿宋" w:hAnsi="仿宋" w:eastAsia="仿宋" w:cs="仿宋"/>
          <w:color w:val="auto"/>
          <w:sz w:val="32"/>
          <w:szCs w:val="32"/>
          <w:highlight w:val="none"/>
          <w:lang w:eastAsia="zh-CN"/>
        </w:rPr>
        <w:t>社会保障和就业支出</w:t>
      </w:r>
      <w:r>
        <w:rPr>
          <w:rFonts w:hint="eastAsia" w:ascii="仿宋" w:hAnsi="仿宋" w:eastAsia="仿宋" w:cs="仿宋"/>
          <w:color w:val="auto"/>
          <w:sz w:val="32"/>
          <w:szCs w:val="32"/>
          <w:highlight w:val="none"/>
          <w:lang w:val="en-US" w:eastAsia="zh-CN"/>
        </w:rPr>
        <w:t>61.78万元，</w:t>
      </w:r>
      <w:r>
        <w:rPr>
          <w:rFonts w:hint="eastAsia" w:ascii="仿宋" w:hAnsi="仿宋" w:eastAsia="仿宋" w:cs="仿宋"/>
          <w:b w:val="0"/>
          <w:bCs/>
          <w:color w:val="auto"/>
          <w:kern w:val="0"/>
          <w:sz w:val="32"/>
          <w:szCs w:val="32"/>
          <w:highlight w:val="none"/>
          <w:lang w:val="en-US" w:eastAsia="zh-CN" w:bidi="ar-SA"/>
        </w:rPr>
        <w:t>较上年预算安排减少31.03万元；</w:t>
      </w:r>
      <w:r>
        <w:rPr>
          <w:rFonts w:hint="eastAsia" w:ascii="仿宋" w:hAnsi="仿宋" w:eastAsia="仿宋" w:cs="仿宋"/>
          <w:color w:val="auto"/>
          <w:sz w:val="32"/>
          <w:szCs w:val="32"/>
          <w:highlight w:val="none"/>
          <w:lang w:val="en-US" w:eastAsia="zh-CN"/>
        </w:rPr>
        <w:t>卫生健康</w:t>
      </w:r>
      <w:r>
        <w:rPr>
          <w:rFonts w:hint="eastAsia" w:ascii="仿宋" w:hAnsi="仿宋" w:eastAsia="仿宋" w:cs="仿宋"/>
          <w:color w:val="auto"/>
          <w:sz w:val="32"/>
          <w:szCs w:val="32"/>
          <w:highlight w:val="none"/>
        </w:rPr>
        <w:t>支出</w:t>
      </w:r>
      <w:r>
        <w:rPr>
          <w:rFonts w:hint="eastAsia" w:ascii="仿宋" w:hAnsi="仿宋" w:eastAsia="仿宋" w:cs="仿宋"/>
          <w:color w:val="auto"/>
          <w:sz w:val="32"/>
          <w:szCs w:val="32"/>
          <w:highlight w:val="none"/>
          <w:lang w:val="en-US" w:eastAsia="zh-CN"/>
        </w:rPr>
        <w:t>15.78</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b w:val="0"/>
          <w:bCs/>
          <w:color w:val="auto"/>
          <w:kern w:val="0"/>
          <w:sz w:val="32"/>
          <w:szCs w:val="32"/>
          <w:highlight w:val="none"/>
          <w:lang w:val="en-US" w:eastAsia="zh-CN" w:bidi="ar-SA"/>
        </w:rPr>
        <w:t>较上年预算安排减少45.25万元；</w:t>
      </w:r>
      <w:r>
        <w:rPr>
          <w:rFonts w:hint="eastAsia" w:ascii="仿宋" w:hAnsi="仿宋" w:eastAsia="仿宋" w:cs="仿宋"/>
          <w:color w:val="auto"/>
          <w:sz w:val="32"/>
          <w:szCs w:val="32"/>
          <w:highlight w:val="none"/>
          <w:lang w:eastAsia="zh-CN"/>
        </w:rPr>
        <w:t>住房保障支出</w:t>
      </w:r>
      <w:r>
        <w:rPr>
          <w:rFonts w:hint="eastAsia" w:ascii="仿宋" w:hAnsi="仿宋" w:eastAsia="仿宋" w:cs="仿宋"/>
          <w:color w:val="auto"/>
          <w:sz w:val="32"/>
          <w:szCs w:val="32"/>
          <w:highlight w:val="none"/>
          <w:lang w:val="en-US" w:eastAsia="zh-CN"/>
        </w:rPr>
        <w:t>38.97万元，</w:t>
      </w:r>
      <w:r>
        <w:rPr>
          <w:rFonts w:hint="eastAsia" w:ascii="仿宋" w:hAnsi="仿宋" w:eastAsia="仿宋" w:cs="仿宋"/>
          <w:b w:val="0"/>
          <w:bCs/>
          <w:color w:val="auto"/>
          <w:kern w:val="0"/>
          <w:sz w:val="32"/>
          <w:szCs w:val="32"/>
          <w:highlight w:val="none"/>
          <w:lang w:val="en-US" w:eastAsia="zh-CN" w:bidi="ar-SA"/>
        </w:rPr>
        <w:t>较上年预算安排减少50.67万元</w:t>
      </w:r>
      <w:r>
        <w:rPr>
          <w:rFonts w:hint="eastAsia" w:ascii="仿宋" w:hAnsi="仿宋" w:eastAsia="仿宋" w:cs="仿宋"/>
          <w:color w:val="auto"/>
          <w:kern w:val="0"/>
          <w:sz w:val="32"/>
          <w:szCs w:val="32"/>
          <w:highlight w:val="none"/>
          <w:lang w:val="en-US" w:eastAsia="zh-CN" w:bidi="ar-SA"/>
        </w:rPr>
        <w:t>；城乡社区支出6694.99万元，</w:t>
      </w:r>
      <w:r>
        <w:rPr>
          <w:rFonts w:hint="eastAsia" w:ascii="仿宋" w:hAnsi="仿宋" w:eastAsia="仿宋" w:cs="仿宋"/>
          <w:b w:val="0"/>
          <w:bCs/>
          <w:color w:val="auto"/>
          <w:kern w:val="0"/>
          <w:sz w:val="32"/>
          <w:szCs w:val="32"/>
          <w:highlight w:val="none"/>
          <w:lang w:val="en-US" w:eastAsia="zh-CN" w:bidi="ar-SA"/>
        </w:rPr>
        <w:t>较上年预算安排减少1649.69万元；</w:t>
      </w:r>
      <w:r>
        <w:rPr>
          <w:rFonts w:hint="eastAsia" w:ascii="仿宋" w:hAnsi="仿宋" w:eastAsia="仿宋" w:cs="仿宋"/>
          <w:color w:val="auto"/>
          <w:kern w:val="0"/>
          <w:sz w:val="32"/>
          <w:szCs w:val="32"/>
          <w:highlight w:val="none"/>
          <w:lang w:val="en-US" w:eastAsia="zh-CN" w:bidi="ar-SA"/>
        </w:rPr>
        <w:t>援助其他地区支出800万元，</w:t>
      </w:r>
      <w:r>
        <w:rPr>
          <w:rFonts w:hint="eastAsia" w:ascii="仿宋" w:hAnsi="仿宋" w:eastAsia="仿宋" w:cs="仿宋"/>
          <w:b w:val="0"/>
          <w:bCs/>
          <w:color w:val="auto"/>
          <w:kern w:val="0"/>
          <w:sz w:val="32"/>
          <w:szCs w:val="32"/>
          <w:highlight w:val="none"/>
          <w:lang w:val="en-US" w:eastAsia="zh-CN" w:bidi="ar-SA"/>
        </w:rPr>
        <w:t>较上年预算安排增长800万元</w:t>
      </w:r>
      <w:r>
        <w:rPr>
          <w:rFonts w:hint="eastAsia" w:ascii="仿宋" w:hAnsi="仿宋" w:eastAsia="仿宋" w:cs="仿宋"/>
          <w:color w:val="auto"/>
          <w:sz w:val="32"/>
          <w:szCs w:val="32"/>
          <w:highlight w:val="none"/>
          <w:lang w:val="en-US" w:eastAsia="zh-CN"/>
        </w:rPr>
        <w:t>。</w:t>
      </w:r>
      <w:r>
        <w:rPr>
          <w:rFonts w:hint="eastAsia" w:ascii="仿宋" w:hAnsi="仿宋" w:eastAsia="仿宋" w:cs="仿宋"/>
          <w:b w:val="0"/>
          <w:bCs/>
          <w:color w:val="auto"/>
          <w:kern w:val="0"/>
          <w:sz w:val="32"/>
          <w:szCs w:val="32"/>
          <w:highlight w:val="none"/>
          <w:lang w:val="en-US" w:eastAsia="zh-CN" w:bidi="ar-SA"/>
        </w:rPr>
        <w:t>他支出5673.55万元，较上年预算减少5673.55万元</w:t>
      </w:r>
      <w:r>
        <w:rPr>
          <w:rFonts w:hint="eastAsia" w:ascii="仿宋" w:hAnsi="仿宋" w:eastAsia="仿宋" w:cs="仿宋"/>
          <w:b w:val="0"/>
          <w:bCs/>
          <w:color w:val="auto"/>
          <w:sz w:val="32"/>
          <w:szCs w:val="32"/>
          <w:highlight w:val="none"/>
          <w:lang w:val="en-US" w:eastAsia="zh-CN"/>
        </w:rPr>
        <w:t>。</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pPr>
        <w:pStyle w:val="3"/>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本部门</w:t>
      </w:r>
      <w:r>
        <w:rPr>
          <w:rFonts w:hint="eastAsia" w:ascii="仿宋" w:hAnsi="仿宋" w:eastAsia="仿宋" w:cs="仿宋"/>
          <w:color w:val="auto"/>
          <w:sz w:val="32"/>
          <w:szCs w:val="32"/>
          <w:highlight w:val="none"/>
        </w:rPr>
        <w:t>财政拨款（补助）支出预算</w:t>
      </w:r>
      <w:r>
        <w:rPr>
          <w:rFonts w:hint="eastAsia" w:ascii="仿宋" w:hAnsi="仿宋" w:eastAsia="仿宋" w:cs="仿宋"/>
          <w:color w:val="auto"/>
          <w:sz w:val="32"/>
          <w:szCs w:val="32"/>
          <w:highlight w:val="none"/>
          <w:lang w:val="en-US" w:eastAsia="zh-CN"/>
        </w:rPr>
        <w:t>1849.52</w:t>
      </w:r>
      <w:r>
        <w:rPr>
          <w:rFonts w:hint="eastAsia" w:ascii="仿宋" w:hAnsi="仿宋" w:eastAsia="仿宋" w:cs="仿宋"/>
          <w:color w:val="auto"/>
          <w:sz w:val="32"/>
          <w:szCs w:val="32"/>
          <w:highlight w:val="none"/>
        </w:rPr>
        <w:t>万元，占</w:t>
      </w:r>
      <w:r>
        <w:rPr>
          <w:rFonts w:hint="eastAsia" w:ascii="仿宋" w:hAnsi="仿宋" w:eastAsia="仿宋" w:cs="仿宋"/>
          <w:color w:val="auto"/>
          <w:sz w:val="32"/>
          <w:szCs w:val="32"/>
          <w:highlight w:val="none"/>
          <w:lang w:eastAsia="zh-CN"/>
        </w:rPr>
        <w:t>本年</w:t>
      </w:r>
      <w:r>
        <w:rPr>
          <w:rFonts w:hint="eastAsia" w:ascii="仿宋" w:hAnsi="仿宋" w:eastAsia="仿宋" w:cs="仿宋"/>
          <w:color w:val="auto"/>
          <w:sz w:val="32"/>
          <w:szCs w:val="32"/>
          <w:highlight w:val="none"/>
        </w:rPr>
        <w:t>支出预算额的</w:t>
      </w:r>
      <w:r>
        <w:rPr>
          <w:rFonts w:hint="eastAsia" w:ascii="仿宋" w:hAnsi="仿宋" w:eastAsia="仿宋" w:cs="仿宋"/>
          <w:color w:val="auto"/>
          <w:sz w:val="32"/>
          <w:szCs w:val="32"/>
          <w:highlight w:val="none"/>
          <w:lang w:val="en-US" w:eastAsia="zh-CN"/>
        </w:rPr>
        <w:t>24.3</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1181.09</w:t>
      </w:r>
      <w:r>
        <w:rPr>
          <w:rFonts w:hint="eastAsia" w:ascii="仿宋" w:hAnsi="仿宋" w:eastAsia="仿宋" w:cs="仿宋"/>
          <w:color w:val="auto"/>
          <w:sz w:val="32"/>
          <w:szCs w:val="32"/>
          <w:highlight w:val="none"/>
          <w:lang w:eastAsia="zh-CN"/>
        </w:rPr>
        <w:t>万元，减少</w:t>
      </w:r>
      <w:r>
        <w:rPr>
          <w:rFonts w:hint="eastAsia" w:ascii="仿宋" w:hAnsi="仿宋" w:eastAsia="仿宋" w:cs="仿宋"/>
          <w:color w:val="auto"/>
          <w:sz w:val="32"/>
          <w:szCs w:val="32"/>
          <w:highlight w:val="none"/>
          <w:lang w:val="en-US" w:eastAsia="zh-CN"/>
        </w:rPr>
        <w:t>38.97%</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增减变化主要原因是：机构改革单位减少，人员支出随之减少。</w:t>
      </w:r>
      <w:r>
        <w:rPr>
          <w:rFonts w:hint="eastAsia" w:ascii="仿宋" w:hAnsi="仿宋" w:eastAsia="仿宋" w:cs="仿宋"/>
          <w:color w:val="auto"/>
          <w:sz w:val="32"/>
          <w:szCs w:val="32"/>
          <w:highlight w:val="none"/>
        </w:rPr>
        <w:t>具体为：</w:t>
      </w:r>
    </w:p>
    <w:p>
      <w:pPr>
        <w:spacing w:line="560" w:lineRule="exact"/>
        <w:ind w:firstLine="640" w:firstLineChars="200"/>
        <w:rPr>
          <w:rFonts w:hint="eastAsia" w:ascii="仿宋" w:hAnsi="仿宋" w:eastAsia="仿宋" w:cs="仿宋"/>
          <w:color w:val="auto"/>
          <w:sz w:val="32"/>
          <w:szCs w:val="32"/>
          <w:highlight w:val="none"/>
          <w:lang w:val="en-US"/>
        </w:rPr>
      </w:pPr>
      <w:r>
        <w:rPr>
          <w:rFonts w:hint="eastAsia" w:ascii="仿宋" w:hAnsi="仿宋" w:eastAsia="仿宋" w:cs="仿宋"/>
          <w:color w:val="auto"/>
          <w:sz w:val="32"/>
          <w:szCs w:val="32"/>
          <w:highlight w:val="none"/>
          <w:lang w:eastAsia="zh-CN"/>
        </w:rPr>
        <w:t>按支出经济分类科目划分：基本支出</w:t>
      </w:r>
      <w:r>
        <w:rPr>
          <w:rFonts w:hint="eastAsia" w:ascii="仿宋" w:hAnsi="仿宋" w:eastAsia="仿宋" w:cs="仿宋"/>
          <w:color w:val="auto"/>
          <w:sz w:val="32"/>
          <w:szCs w:val="32"/>
          <w:highlight w:val="none"/>
          <w:lang w:val="en-US" w:eastAsia="zh-CN"/>
        </w:rPr>
        <w:t>822.52</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1368.27</w:t>
      </w:r>
      <w:r>
        <w:rPr>
          <w:rFonts w:hint="eastAsia" w:ascii="仿宋" w:hAnsi="仿宋" w:eastAsia="仿宋" w:cs="仿宋"/>
          <w:color w:val="auto"/>
          <w:sz w:val="32"/>
          <w:szCs w:val="32"/>
          <w:highlight w:val="none"/>
          <w:lang w:eastAsia="zh-CN"/>
        </w:rPr>
        <w:t>万元，其中：</w:t>
      </w:r>
      <w:r>
        <w:rPr>
          <w:rFonts w:hint="eastAsia" w:ascii="仿宋" w:hAnsi="仿宋" w:eastAsia="仿宋" w:cs="仿宋"/>
          <w:color w:val="auto"/>
          <w:kern w:val="0"/>
          <w:sz w:val="32"/>
          <w:szCs w:val="32"/>
          <w:highlight w:val="none"/>
          <w:lang w:val="en-US" w:eastAsia="zh-CN" w:bidi="ar-SA"/>
        </w:rPr>
        <w:t>工资福利支出748.71万元，商品和服务支出67.43万元，对个人和家庭的补助3.98万元，资本性支出2.4万元；</w:t>
      </w:r>
      <w:r>
        <w:rPr>
          <w:rFonts w:hint="eastAsia" w:ascii="仿宋" w:hAnsi="仿宋" w:eastAsia="仿宋" w:cs="仿宋"/>
          <w:color w:val="auto"/>
          <w:sz w:val="32"/>
          <w:szCs w:val="32"/>
          <w:highlight w:val="none"/>
          <w:lang w:eastAsia="zh-CN"/>
        </w:rPr>
        <w:t>项目支出</w:t>
      </w:r>
      <w:r>
        <w:rPr>
          <w:rFonts w:hint="eastAsia" w:ascii="仿宋" w:hAnsi="仿宋" w:eastAsia="仿宋" w:cs="仿宋"/>
          <w:color w:val="auto"/>
          <w:sz w:val="32"/>
          <w:szCs w:val="32"/>
          <w:highlight w:val="none"/>
          <w:lang w:val="en-US" w:eastAsia="zh-CN"/>
        </w:rPr>
        <w:t>1027</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eastAsia="zh-CN"/>
        </w:rPr>
        <w:t>加</w:t>
      </w:r>
      <w:r>
        <w:rPr>
          <w:rFonts w:hint="eastAsia" w:ascii="仿宋" w:hAnsi="仿宋" w:eastAsia="仿宋" w:cs="仿宋"/>
          <w:color w:val="auto"/>
          <w:sz w:val="32"/>
          <w:szCs w:val="32"/>
          <w:highlight w:val="none"/>
          <w:lang w:val="en-US" w:eastAsia="zh-CN"/>
        </w:rPr>
        <w:t>187.18</w:t>
      </w:r>
      <w:r>
        <w:rPr>
          <w:rFonts w:hint="eastAsia" w:ascii="仿宋" w:hAnsi="仿宋" w:eastAsia="仿宋" w:cs="仿宋"/>
          <w:color w:val="auto"/>
          <w:sz w:val="32"/>
          <w:szCs w:val="32"/>
          <w:highlight w:val="none"/>
          <w:lang w:eastAsia="zh-CN"/>
        </w:rPr>
        <w:t>万元，其中：</w:t>
      </w:r>
      <w:r>
        <w:rPr>
          <w:rFonts w:hint="eastAsia" w:ascii="仿宋" w:hAnsi="仿宋" w:eastAsia="仿宋" w:cs="仿宋"/>
          <w:color w:val="auto"/>
          <w:kern w:val="0"/>
          <w:sz w:val="32"/>
          <w:szCs w:val="32"/>
          <w:highlight w:val="none"/>
          <w:lang w:val="en-US" w:eastAsia="zh-CN" w:bidi="ar-SA"/>
        </w:rPr>
        <w:t>工资福利支出17万元，商品和服务支出30万元，其他相关支出980万元。</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按支出功能分类科目划分：</w:t>
      </w:r>
      <w:r>
        <w:rPr>
          <w:rFonts w:hint="eastAsia" w:ascii="宋体" w:hAnsi="宋体" w:eastAsia="宋体" w:cs="Times New Roman"/>
          <w:sz w:val="28"/>
          <w:szCs w:val="28"/>
          <w:highlight w:val="none"/>
          <w:lang w:eastAsia="zh-CN"/>
        </w:rPr>
        <w:t>一般公共服务支出</w:t>
      </w:r>
      <w:r>
        <w:rPr>
          <w:rFonts w:hint="eastAsia" w:ascii="宋体" w:hAnsi="宋体" w:eastAsia="宋体" w:cs="Times New Roman"/>
          <w:sz w:val="28"/>
          <w:szCs w:val="28"/>
          <w:highlight w:val="none"/>
          <w:lang w:val="en-US" w:eastAsia="zh-CN"/>
        </w:rPr>
        <w:t>0</w:t>
      </w:r>
      <w:r>
        <w:rPr>
          <w:rFonts w:hint="eastAsia" w:ascii="宋体" w:hAnsi="宋体" w:eastAsia="宋体" w:cs="Times New Roman"/>
          <w:sz w:val="28"/>
          <w:szCs w:val="28"/>
          <w:highlight w:val="none"/>
        </w:rPr>
        <w:t>万元</w:t>
      </w:r>
      <w:r>
        <w:rPr>
          <w:rFonts w:hint="eastAsia" w:ascii="宋体" w:hAnsi="宋体" w:eastAsia="宋体" w:cs="Times New Roman"/>
          <w:sz w:val="28"/>
          <w:szCs w:val="28"/>
          <w:highlight w:val="none"/>
          <w:lang w:eastAsia="zh-CN"/>
        </w:rPr>
        <w:t>，</w:t>
      </w:r>
      <w:r>
        <w:rPr>
          <w:rFonts w:hint="eastAsia" w:ascii="宋体" w:hAnsi="宋体" w:eastAsia="宋体" w:cs="Times New Roman"/>
          <w:b w:val="0"/>
          <w:bCs/>
          <w:sz w:val="28"/>
          <w:szCs w:val="28"/>
          <w:highlight w:val="none"/>
          <w:lang w:val="en-US" w:eastAsia="zh-CN"/>
        </w:rPr>
        <w:t>较上年预算安排</w:t>
      </w:r>
      <w:r>
        <w:rPr>
          <w:rFonts w:hint="eastAsia" w:ascii="仿宋" w:hAnsi="仿宋" w:eastAsia="仿宋" w:cs="仿宋"/>
          <w:b w:val="0"/>
          <w:bCs/>
          <w:color w:val="auto"/>
          <w:kern w:val="0"/>
          <w:sz w:val="32"/>
          <w:szCs w:val="32"/>
          <w:highlight w:val="none"/>
          <w:lang w:val="en-US" w:eastAsia="zh-CN" w:bidi="ar-SA"/>
        </w:rPr>
        <w:t>减少</w:t>
      </w:r>
      <w:r>
        <w:rPr>
          <w:rFonts w:hint="eastAsia" w:ascii="宋体" w:hAnsi="宋体" w:eastAsia="宋体" w:cs="Times New Roman"/>
          <w:b w:val="0"/>
          <w:bCs/>
          <w:sz w:val="28"/>
          <w:szCs w:val="28"/>
          <w:highlight w:val="none"/>
          <w:lang w:val="en-US" w:eastAsia="zh-CN"/>
        </w:rPr>
        <w:t>827万元；</w:t>
      </w:r>
      <w:r>
        <w:rPr>
          <w:rFonts w:hint="eastAsia" w:ascii="仿宋" w:hAnsi="仿宋" w:eastAsia="仿宋" w:cs="仿宋"/>
          <w:color w:val="auto"/>
          <w:sz w:val="32"/>
          <w:szCs w:val="32"/>
          <w:highlight w:val="none"/>
          <w:lang w:eastAsia="zh-CN"/>
        </w:rPr>
        <w:t>社会保障和就业支出</w:t>
      </w:r>
      <w:r>
        <w:rPr>
          <w:rFonts w:hint="eastAsia" w:ascii="仿宋" w:hAnsi="仿宋" w:eastAsia="仿宋" w:cs="仿宋"/>
          <w:color w:val="auto"/>
          <w:sz w:val="32"/>
          <w:szCs w:val="32"/>
          <w:highlight w:val="none"/>
          <w:lang w:val="en-US" w:eastAsia="zh-CN"/>
        </w:rPr>
        <w:t>61.78万元，</w:t>
      </w:r>
      <w:r>
        <w:rPr>
          <w:rFonts w:hint="eastAsia" w:ascii="仿宋" w:hAnsi="仿宋" w:eastAsia="仿宋" w:cs="仿宋"/>
          <w:b w:val="0"/>
          <w:bCs/>
          <w:color w:val="auto"/>
          <w:kern w:val="0"/>
          <w:sz w:val="32"/>
          <w:szCs w:val="32"/>
          <w:highlight w:val="none"/>
          <w:lang w:val="en-US" w:eastAsia="zh-CN" w:bidi="ar-SA"/>
        </w:rPr>
        <w:t>较上年预算安排减少28.18万元；</w:t>
      </w:r>
      <w:r>
        <w:rPr>
          <w:rFonts w:hint="eastAsia" w:ascii="仿宋" w:hAnsi="仿宋" w:eastAsia="仿宋" w:cs="仿宋"/>
          <w:color w:val="auto"/>
          <w:sz w:val="32"/>
          <w:szCs w:val="32"/>
          <w:highlight w:val="none"/>
          <w:lang w:val="en-US" w:eastAsia="zh-CN"/>
        </w:rPr>
        <w:t>卫生健康</w:t>
      </w:r>
      <w:r>
        <w:rPr>
          <w:rFonts w:hint="eastAsia" w:ascii="仿宋" w:hAnsi="仿宋" w:eastAsia="仿宋" w:cs="仿宋"/>
          <w:color w:val="auto"/>
          <w:sz w:val="32"/>
          <w:szCs w:val="32"/>
          <w:highlight w:val="none"/>
        </w:rPr>
        <w:t>支出</w:t>
      </w:r>
      <w:r>
        <w:rPr>
          <w:rFonts w:hint="eastAsia" w:ascii="仿宋" w:hAnsi="仿宋" w:eastAsia="仿宋" w:cs="仿宋"/>
          <w:color w:val="auto"/>
          <w:sz w:val="32"/>
          <w:szCs w:val="32"/>
          <w:highlight w:val="none"/>
          <w:lang w:val="en-US" w:eastAsia="zh-CN"/>
        </w:rPr>
        <w:t>15.78</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r>
        <w:rPr>
          <w:rFonts w:hint="eastAsia" w:ascii="仿宋" w:hAnsi="仿宋" w:eastAsia="仿宋" w:cs="仿宋"/>
          <w:b w:val="0"/>
          <w:bCs/>
          <w:color w:val="auto"/>
          <w:kern w:val="0"/>
          <w:sz w:val="32"/>
          <w:szCs w:val="32"/>
          <w:highlight w:val="none"/>
          <w:lang w:val="en-US" w:eastAsia="zh-CN" w:bidi="ar-SA"/>
        </w:rPr>
        <w:t>较上年预算安排减少45.25万元；</w:t>
      </w:r>
      <w:r>
        <w:rPr>
          <w:rFonts w:hint="eastAsia" w:ascii="仿宋" w:hAnsi="仿宋" w:eastAsia="仿宋" w:cs="仿宋"/>
          <w:color w:val="auto"/>
          <w:sz w:val="32"/>
          <w:szCs w:val="32"/>
          <w:highlight w:val="none"/>
          <w:lang w:eastAsia="zh-CN"/>
        </w:rPr>
        <w:t>住房保障支出</w:t>
      </w:r>
      <w:r>
        <w:rPr>
          <w:rFonts w:hint="eastAsia" w:ascii="仿宋" w:hAnsi="仿宋" w:eastAsia="仿宋" w:cs="仿宋"/>
          <w:color w:val="auto"/>
          <w:sz w:val="32"/>
          <w:szCs w:val="32"/>
          <w:highlight w:val="none"/>
          <w:lang w:val="en-US" w:eastAsia="zh-CN"/>
        </w:rPr>
        <w:t>38.97万元，</w:t>
      </w:r>
      <w:r>
        <w:rPr>
          <w:rFonts w:hint="eastAsia" w:ascii="仿宋" w:hAnsi="仿宋" w:eastAsia="仿宋" w:cs="仿宋"/>
          <w:b w:val="0"/>
          <w:bCs/>
          <w:color w:val="auto"/>
          <w:kern w:val="0"/>
          <w:sz w:val="32"/>
          <w:szCs w:val="32"/>
          <w:highlight w:val="none"/>
          <w:lang w:val="en-US" w:eastAsia="zh-CN" w:bidi="ar-SA"/>
        </w:rPr>
        <w:t>较上年预算安排减少30.67万元；</w:t>
      </w:r>
      <w:r>
        <w:rPr>
          <w:rFonts w:hint="eastAsia" w:ascii="仿宋" w:hAnsi="仿宋" w:eastAsia="仿宋" w:cs="仿宋"/>
          <w:color w:val="auto"/>
          <w:kern w:val="0"/>
          <w:sz w:val="32"/>
          <w:szCs w:val="32"/>
          <w:highlight w:val="none"/>
          <w:lang w:val="en-US" w:eastAsia="zh-CN" w:bidi="ar-SA"/>
        </w:rPr>
        <w:t>城乡社区支出932.99万元，</w:t>
      </w:r>
      <w:r>
        <w:rPr>
          <w:rFonts w:hint="eastAsia" w:ascii="仿宋" w:hAnsi="仿宋" w:eastAsia="仿宋" w:cs="仿宋"/>
          <w:b w:val="0"/>
          <w:bCs/>
          <w:color w:val="auto"/>
          <w:kern w:val="0"/>
          <w:sz w:val="32"/>
          <w:szCs w:val="32"/>
          <w:highlight w:val="none"/>
          <w:lang w:val="en-US" w:eastAsia="zh-CN" w:bidi="ar-SA"/>
        </w:rPr>
        <w:t>较上年预算安排减少1049.99万元；</w:t>
      </w:r>
      <w:r>
        <w:rPr>
          <w:rFonts w:hint="eastAsia" w:ascii="仿宋" w:hAnsi="仿宋" w:eastAsia="仿宋" w:cs="仿宋"/>
          <w:color w:val="auto"/>
          <w:kern w:val="0"/>
          <w:sz w:val="32"/>
          <w:szCs w:val="32"/>
          <w:highlight w:val="none"/>
          <w:lang w:val="en-US" w:eastAsia="zh-CN" w:bidi="ar-SA"/>
        </w:rPr>
        <w:t>援助其他地区支出800万元，</w:t>
      </w:r>
      <w:r>
        <w:rPr>
          <w:rFonts w:hint="eastAsia" w:ascii="仿宋" w:hAnsi="仿宋" w:eastAsia="仿宋" w:cs="仿宋"/>
          <w:b w:val="0"/>
          <w:bCs/>
          <w:color w:val="auto"/>
          <w:kern w:val="0"/>
          <w:sz w:val="32"/>
          <w:szCs w:val="32"/>
          <w:highlight w:val="none"/>
          <w:lang w:val="en-US" w:eastAsia="zh-CN" w:bidi="ar-SA"/>
        </w:rPr>
        <w:t>较上年预算安排增长800万元</w:t>
      </w:r>
      <w:r>
        <w:rPr>
          <w:rFonts w:hint="eastAsia" w:ascii="仿宋" w:hAnsi="仿宋" w:eastAsia="仿宋" w:cs="仿宋"/>
          <w:color w:val="auto"/>
          <w:sz w:val="32"/>
          <w:szCs w:val="32"/>
          <w:highlight w:val="none"/>
          <w:lang w:val="en-US" w:eastAsia="zh-CN"/>
        </w:rPr>
        <w:t>。</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（四）政府性基金情况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w:t>
      </w:r>
      <w:r>
        <w:rPr>
          <w:rFonts w:hint="eastAsia" w:ascii="仿宋" w:hAnsi="仿宋" w:eastAsia="仿宋" w:cs="仿宋"/>
          <w:color w:val="auto"/>
          <w:sz w:val="32"/>
          <w:szCs w:val="32"/>
          <w:highlight w:val="none"/>
          <w:lang w:eastAsia="zh-CN"/>
        </w:rPr>
        <w:t>无</w:t>
      </w:r>
      <w:r>
        <w:rPr>
          <w:rFonts w:hint="eastAsia" w:ascii="仿宋" w:hAnsi="仿宋" w:eastAsia="仿宋" w:cs="仿宋"/>
          <w:color w:val="auto"/>
          <w:sz w:val="32"/>
          <w:szCs w:val="32"/>
          <w:highlight w:val="none"/>
        </w:rPr>
        <w:t>政府性基金</w:t>
      </w:r>
      <w:r>
        <w:rPr>
          <w:rFonts w:hint="eastAsia" w:ascii="仿宋" w:hAnsi="仿宋" w:eastAsia="仿宋" w:cs="仿宋"/>
          <w:color w:val="auto"/>
          <w:sz w:val="32"/>
          <w:szCs w:val="32"/>
          <w:highlight w:val="none"/>
          <w:lang w:eastAsia="zh-CN"/>
        </w:rPr>
        <w:t>预算拨款安排的</w:t>
      </w:r>
      <w:r>
        <w:rPr>
          <w:rFonts w:hint="eastAsia" w:ascii="仿宋" w:hAnsi="仿宋" w:eastAsia="仿宋" w:cs="仿宋"/>
          <w:color w:val="auto"/>
          <w:sz w:val="32"/>
          <w:szCs w:val="32"/>
          <w:highlight w:val="none"/>
        </w:rPr>
        <w:t>支出</w:t>
      </w:r>
      <w:r>
        <w:rPr>
          <w:rFonts w:hint="eastAsia" w:ascii="仿宋" w:hAnsi="仿宋" w:eastAsia="仿宋" w:cs="仿宋"/>
          <w:color w:val="auto"/>
          <w:sz w:val="32"/>
          <w:szCs w:val="32"/>
          <w:highlight w:val="none"/>
          <w:lang w:eastAsia="zh-CN"/>
        </w:rPr>
        <w:t>。</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（五）机关运行经费等重要事项的说明</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年部门机关运行费预算</w:t>
      </w:r>
      <w:r>
        <w:rPr>
          <w:rFonts w:hint="eastAsia" w:ascii="仿宋" w:hAnsi="仿宋" w:eastAsia="仿宋" w:cs="仿宋"/>
          <w:color w:val="auto"/>
          <w:sz w:val="32"/>
          <w:szCs w:val="32"/>
          <w:highlight w:val="none"/>
          <w:lang w:val="en-US" w:eastAsia="zh-CN"/>
        </w:rPr>
        <w:t>67.43</w:t>
      </w:r>
      <w:r>
        <w:rPr>
          <w:rFonts w:hint="eastAsia" w:ascii="仿宋" w:hAnsi="仿宋" w:eastAsia="仿宋" w:cs="仿宋"/>
          <w:color w:val="auto"/>
          <w:sz w:val="32"/>
          <w:szCs w:val="32"/>
          <w:highlight w:val="none"/>
        </w:rPr>
        <w:t>万元，比</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年(上一年度）预算</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551.91</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下降</w:t>
      </w:r>
      <w:r>
        <w:rPr>
          <w:rFonts w:hint="eastAsia" w:ascii="仿宋" w:hAnsi="仿宋" w:eastAsia="仿宋" w:cs="仿宋"/>
          <w:color w:val="auto"/>
          <w:sz w:val="32"/>
          <w:szCs w:val="32"/>
          <w:highlight w:val="none"/>
          <w:lang w:val="en-US" w:eastAsia="zh-CN"/>
        </w:rPr>
        <w:t>89.1</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主要原因是：落实</w:t>
      </w:r>
      <w:r>
        <w:rPr>
          <w:rFonts w:hint="eastAsia" w:ascii="仿宋" w:hAnsi="仿宋" w:eastAsia="仿宋" w:cs="仿宋"/>
          <w:color w:val="auto"/>
          <w:sz w:val="32"/>
          <w:szCs w:val="32"/>
          <w:highlight w:val="none"/>
          <w:lang w:eastAsia="zh-CN"/>
        </w:rPr>
        <w:t>过紧日子要求，建立节约型机关</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（六）政府采购情况</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年部门所属各单位政府采购总额</w:t>
      </w:r>
      <w:r>
        <w:rPr>
          <w:rFonts w:hint="eastAsia" w:ascii="仿宋" w:hAnsi="仿宋" w:eastAsia="仿宋" w:cs="仿宋"/>
          <w:color w:val="auto"/>
          <w:sz w:val="32"/>
          <w:szCs w:val="32"/>
          <w:highlight w:val="none"/>
          <w:lang w:val="en-US" w:eastAsia="zh-CN"/>
        </w:rPr>
        <w:t>330</w:t>
      </w:r>
      <w:r>
        <w:rPr>
          <w:rFonts w:hint="eastAsia" w:ascii="仿宋" w:hAnsi="仿宋" w:eastAsia="仿宋" w:cs="仿宋"/>
          <w:color w:val="auto"/>
          <w:sz w:val="32"/>
          <w:szCs w:val="32"/>
          <w:highlight w:val="none"/>
        </w:rPr>
        <w:t>万元，其中：政府采购货物预算</w:t>
      </w:r>
      <w:r>
        <w:rPr>
          <w:rFonts w:hint="eastAsia" w:ascii="仿宋" w:hAnsi="仿宋" w:eastAsia="仿宋" w:cs="仿宋"/>
          <w:color w:val="auto"/>
          <w:sz w:val="32"/>
          <w:szCs w:val="32"/>
          <w:highlight w:val="none"/>
          <w:lang w:val="en-US" w:eastAsia="zh-CN"/>
        </w:rPr>
        <w:t>150</w:t>
      </w:r>
      <w:r>
        <w:rPr>
          <w:rFonts w:hint="eastAsia" w:ascii="仿宋" w:hAnsi="仿宋" w:eastAsia="仿宋" w:cs="仿宋"/>
          <w:color w:val="auto"/>
          <w:sz w:val="32"/>
          <w:szCs w:val="32"/>
          <w:highlight w:val="none"/>
        </w:rPr>
        <w:t>万元、政府采购工程预算</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万元、政府采购服务预算</w:t>
      </w:r>
      <w:r>
        <w:rPr>
          <w:rFonts w:hint="eastAsia" w:ascii="仿宋" w:hAnsi="仿宋" w:eastAsia="仿宋" w:cs="仿宋"/>
          <w:color w:val="auto"/>
          <w:sz w:val="32"/>
          <w:szCs w:val="32"/>
          <w:highlight w:val="none"/>
          <w:lang w:val="en-US" w:eastAsia="zh-CN"/>
        </w:rPr>
        <w:t>180</w:t>
      </w:r>
      <w:r>
        <w:rPr>
          <w:rFonts w:hint="eastAsia" w:ascii="仿宋" w:hAnsi="仿宋" w:eastAsia="仿宋" w:cs="仿宋"/>
          <w:color w:val="auto"/>
          <w:sz w:val="32"/>
          <w:szCs w:val="32"/>
          <w:highlight w:val="none"/>
        </w:rPr>
        <w:t>万元。</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（七）国有资产占有使用情况</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截至</w:t>
      </w:r>
      <w:r>
        <w:rPr>
          <w:rFonts w:hint="eastAsia" w:ascii="仿宋" w:hAnsi="仿宋" w:eastAsia="仿宋" w:cs="仿宋"/>
          <w:b w:val="0"/>
          <w:bCs w:val="0"/>
          <w:color w:val="auto"/>
          <w:sz w:val="32"/>
          <w:szCs w:val="32"/>
          <w:highlight w:val="none"/>
          <w:lang w:val="en-US" w:eastAsia="zh-CN"/>
        </w:rPr>
        <w:t>2022年</w:t>
      </w:r>
      <w:r>
        <w:rPr>
          <w:rFonts w:hint="eastAsia" w:ascii="仿宋" w:hAnsi="仿宋" w:eastAsia="仿宋" w:cs="仿宋"/>
          <w:color w:val="auto"/>
          <w:sz w:val="32"/>
          <w:szCs w:val="32"/>
          <w:highlight w:val="none"/>
        </w:rPr>
        <w:t>12月31日部门共有车辆</w:t>
      </w:r>
      <w:r>
        <w:rPr>
          <w:rFonts w:hint="eastAsia" w:ascii="仿宋" w:hAnsi="仿宋" w:eastAsia="仿宋" w:cs="仿宋"/>
          <w:color w:val="auto"/>
          <w:sz w:val="32"/>
          <w:szCs w:val="32"/>
          <w:highlight w:val="none"/>
          <w:u w:val="single"/>
          <w:lang w:val="en-US" w:eastAsia="zh-CN"/>
        </w:rPr>
        <w:t>1</w:t>
      </w:r>
      <w:r>
        <w:rPr>
          <w:rFonts w:hint="eastAsia" w:ascii="仿宋" w:hAnsi="仿宋" w:eastAsia="仿宋" w:cs="仿宋"/>
          <w:color w:val="auto"/>
          <w:sz w:val="32"/>
          <w:szCs w:val="32"/>
          <w:highlight w:val="none"/>
        </w:rPr>
        <w:t>辆</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lang w:eastAsia="zh-CN"/>
        </w:rPr>
        <w:t>：人防指挥车</w:t>
      </w:r>
      <w:r>
        <w:rPr>
          <w:rFonts w:hint="eastAsia" w:ascii="仿宋" w:hAnsi="仿宋" w:eastAsia="仿宋" w:cs="仿宋"/>
          <w:color w:val="auto"/>
          <w:sz w:val="32"/>
          <w:szCs w:val="32"/>
          <w:highlight w:val="none"/>
          <w:lang w:val="en-US" w:eastAsia="zh-CN"/>
        </w:rPr>
        <w:t>1辆</w:t>
      </w:r>
      <w:r>
        <w:rPr>
          <w:rFonts w:hint="eastAsia" w:ascii="仿宋" w:hAnsi="仿宋" w:eastAsia="仿宋" w:cs="仿宋"/>
          <w:color w:val="auto"/>
          <w:sz w:val="32"/>
          <w:szCs w:val="32"/>
          <w:highlight w:val="none"/>
        </w:rPr>
        <w:t>。</w:t>
      </w:r>
    </w:p>
    <w:p>
      <w:pPr>
        <w:spacing w:line="560" w:lineRule="exact"/>
        <w:ind w:firstLine="640" w:firstLineChars="200"/>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2023年本</w:t>
      </w:r>
      <w:r>
        <w:rPr>
          <w:rFonts w:hint="eastAsia" w:ascii="仿宋" w:hAnsi="仿宋" w:eastAsia="仿宋" w:cs="仿宋"/>
          <w:color w:val="auto"/>
          <w:sz w:val="32"/>
          <w:szCs w:val="32"/>
          <w:highlight w:val="none"/>
        </w:rPr>
        <w:t>部门预算安排购置车辆</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辆，</w:t>
      </w:r>
      <w:r>
        <w:rPr>
          <w:rFonts w:hint="eastAsia" w:ascii="仿宋" w:hAnsi="仿宋" w:eastAsia="仿宋" w:cs="仿宋"/>
          <w:color w:val="auto"/>
          <w:sz w:val="32"/>
          <w:szCs w:val="32"/>
          <w:highlight w:val="none"/>
          <w:lang w:eastAsia="zh-CN"/>
        </w:rPr>
        <w:t>没有</w:t>
      </w:r>
      <w:r>
        <w:rPr>
          <w:rFonts w:hint="eastAsia" w:ascii="仿宋" w:hAnsi="仿宋" w:eastAsia="仿宋" w:cs="仿宋"/>
          <w:color w:val="auto"/>
          <w:sz w:val="32"/>
          <w:szCs w:val="32"/>
          <w:highlight w:val="none"/>
        </w:rPr>
        <w:t>安排购置单位价值200万元以上大型设备</w:t>
      </w:r>
      <w:r>
        <w:rPr>
          <w:rFonts w:hint="eastAsia" w:ascii="仿宋" w:hAnsi="仿宋" w:eastAsia="仿宋" w:cs="仿宋"/>
          <w:color w:val="auto"/>
          <w:sz w:val="32"/>
          <w:szCs w:val="32"/>
          <w:highlight w:val="none"/>
          <w:lang w:eastAsia="zh-CN"/>
        </w:rPr>
        <w:t>。</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（八）绩效目标设置情况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年实行绩效目标管理的项目</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个，</w:t>
      </w:r>
      <w:r>
        <w:rPr>
          <w:rFonts w:hint="eastAsia" w:ascii="仿宋" w:hAnsi="仿宋" w:eastAsia="仿宋" w:cs="仿宋"/>
          <w:color w:val="auto"/>
          <w:sz w:val="32"/>
          <w:szCs w:val="32"/>
          <w:highlight w:val="none"/>
        </w:rPr>
        <w:t>涉及资金</w:t>
      </w:r>
      <w:r>
        <w:rPr>
          <w:rFonts w:hint="eastAsia" w:ascii="仿宋" w:hAnsi="仿宋" w:eastAsia="仿宋" w:cs="仿宋"/>
          <w:color w:val="auto"/>
          <w:sz w:val="32"/>
          <w:szCs w:val="32"/>
          <w:highlight w:val="none"/>
          <w:lang w:val="en-US" w:eastAsia="zh-CN"/>
        </w:rPr>
        <w:t>6027</w:t>
      </w:r>
      <w:r>
        <w:rPr>
          <w:rFonts w:hint="eastAsia" w:ascii="仿宋" w:hAnsi="仿宋" w:eastAsia="仿宋" w:cs="仿宋"/>
          <w:color w:val="auto"/>
          <w:sz w:val="32"/>
          <w:szCs w:val="32"/>
          <w:highlight w:val="none"/>
        </w:rPr>
        <w:t>万</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eastAsia="zh-CN"/>
        </w:rPr>
        <w:t>其中：</w:t>
      </w:r>
      <w:bookmarkStart w:id="0" w:name="_GoBack"/>
      <w:bookmarkEnd w:id="0"/>
    </w:p>
    <w:p>
      <w:pPr>
        <w:spacing w:line="560" w:lineRule="exact"/>
        <w:ind w:left="634" w:leftChars="284" w:hanging="38" w:hangingChars="12"/>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项目名称：</w:t>
      </w:r>
      <w:r>
        <w:rPr>
          <w:rFonts w:hint="eastAsia" w:ascii="仿宋" w:hAnsi="仿宋" w:eastAsia="仿宋" w:cs="仿宋"/>
          <w:color w:val="auto"/>
          <w:sz w:val="32"/>
          <w:szCs w:val="32"/>
          <w:highlight w:val="none"/>
          <w:lang w:val="en-US" w:eastAsia="zh-CN"/>
        </w:rPr>
        <w:t>2022年购房契税奖励</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为了稳定我县房地产业健康发展，保障人民群众住房问题。</w:t>
      </w:r>
      <w:r>
        <w:rPr>
          <w:rFonts w:hint="eastAsia" w:ascii="仿宋" w:hAnsi="仿宋" w:eastAsia="仿宋" w:cs="仿宋"/>
          <w:color w:val="auto"/>
          <w:sz w:val="32"/>
          <w:szCs w:val="32"/>
          <w:highlight w:val="none"/>
          <w:lang w:eastAsia="zh-CN"/>
        </w:rPr>
        <w:t>凡购买非住宅用房的，购买户全额缴交契税后，对购房户所缴纳契税额予以</w:t>
      </w:r>
      <w:r>
        <w:rPr>
          <w:rFonts w:hint="eastAsia" w:ascii="仿宋" w:hAnsi="仿宋" w:eastAsia="仿宋" w:cs="仿宋"/>
          <w:color w:val="auto"/>
          <w:sz w:val="32"/>
          <w:szCs w:val="32"/>
          <w:highlight w:val="none"/>
          <w:lang w:val="en-US" w:eastAsia="zh-CN"/>
        </w:rPr>
        <w:t>50%补贴。</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：关于印发《兴国县稳经济促发展保民生若干措施的》的通知</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：兴国县住房和城乡建设局</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：一年</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5.年度预算安排</w:t>
      </w:r>
      <w:r>
        <w:rPr>
          <w:rFonts w:hint="eastAsia" w:ascii="仿宋" w:hAnsi="仿宋" w:eastAsia="仿宋" w:cs="仿宋"/>
          <w:color w:val="auto"/>
          <w:sz w:val="32"/>
          <w:szCs w:val="32"/>
          <w:highlight w:val="none"/>
          <w:lang w:eastAsia="zh-CN"/>
        </w:rPr>
        <w:t>：凡购买非住宅用房的，购买户全额缴交契税后，对购房户所缴纳契税额予以</w:t>
      </w:r>
      <w:r>
        <w:rPr>
          <w:rFonts w:hint="eastAsia" w:ascii="仿宋" w:hAnsi="仿宋" w:eastAsia="仿宋" w:cs="仿宋"/>
          <w:color w:val="auto"/>
          <w:sz w:val="32"/>
          <w:szCs w:val="32"/>
          <w:highlight w:val="none"/>
          <w:lang w:val="en-US" w:eastAsia="zh-CN"/>
        </w:rPr>
        <w:t>50%补贴，2023年总补贴金额800万元。</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6.年度绩效目标</w:t>
      </w:r>
      <w:r>
        <w:rPr>
          <w:rFonts w:hint="eastAsia" w:ascii="仿宋" w:hAnsi="仿宋" w:eastAsia="仿宋" w:cs="仿宋"/>
          <w:color w:val="auto"/>
          <w:sz w:val="32"/>
          <w:szCs w:val="32"/>
          <w:highlight w:val="none"/>
          <w:lang w:eastAsia="zh-CN"/>
        </w:rPr>
        <w:t>：促进房地产市场平稳健康发展，促进购房需求。</w:t>
      </w:r>
    </w:p>
    <w:p>
      <w:pPr>
        <w:pStyle w:val="2"/>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（九）国有资本经营情况</w:t>
      </w:r>
    </w:p>
    <w:p>
      <w:pPr>
        <w:pStyle w:val="2"/>
        <w:rPr>
          <w:rFonts w:hint="eastAsia" w:ascii="仿宋" w:hAnsi="仿宋" w:eastAsia="仿宋" w:cs="仿宋"/>
          <w:b/>
          <w:bCs/>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w:t>
      </w:r>
      <w:r>
        <w:rPr>
          <w:rFonts w:hint="eastAsia" w:ascii="仿宋" w:hAnsi="仿宋" w:eastAsia="仿宋" w:cs="仿宋"/>
          <w:color w:val="auto"/>
          <w:sz w:val="30"/>
          <w:szCs w:val="30"/>
          <w:highlight w:val="none"/>
          <w:lang w:val="en-US" w:eastAsia="zh-CN"/>
        </w:rPr>
        <w:t>无使用国有资本经营预算拨款安排的支出。</w:t>
      </w:r>
    </w:p>
    <w:p>
      <w:pPr>
        <w:spacing w:line="560" w:lineRule="exact"/>
        <w:ind w:left="10" w:leftChars="5"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w:t>
      </w:r>
      <w:r>
        <w:rPr>
          <w:rFonts w:hint="eastAsia" w:ascii="仿宋" w:hAnsi="仿宋" w:eastAsia="仿宋" w:cs="仿宋"/>
          <w:b/>
          <w:bCs/>
          <w:color w:val="auto"/>
          <w:sz w:val="32"/>
          <w:szCs w:val="32"/>
          <w:highlight w:val="none"/>
          <w:lang w:val="en-US" w:eastAsia="zh-CN"/>
        </w:rPr>
        <w:t>2023年</w:t>
      </w:r>
      <w:r>
        <w:rPr>
          <w:rFonts w:hint="eastAsia" w:ascii="仿宋" w:hAnsi="仿宋" w:eastAsia="仿宋" w:cs="仿宋"/>
          <w:b/>
          <w:bCs/>
          <w:color w:val="auto"/>
          <w:sz w:val="32"/>
          <w:szCs w:val="32"/>
          <w:highlight w:val="none"/>
        </w:rPr>
        <w:t>“三公”经费预算情况说明</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年兴国县部门“三公”经费一般公共预算安排</w:t>
      </w:r>
      <w:r>
        <w:rPr>
          <w:rFonts w:hint="eastAsia" w:ascii="仿宋" w:hAnsi="仿宋" w:eastAsia="仿宋" w:cs="仿宋"/>
          <w:color w:val="auto"/>
          <w:sz w:val="32"/>
          <w:szCs w:val="32"/>
          <w:highlight w:val="none"/>
          <w:lang w:val="en-US" w:eastAsia="zh-CN"/>
        </w:rPr>
        <w:t>22</w:t>
      </w:r>
      <w:r>
        <w:rPr>
          <w:rFonts w:hint="eastAsia" w:ascii="仿宋" w:hAnsi="仿宋" w:eastAsia="仿宋" w:cs="仿宋"/>
          <w:color w:val="auto"/>
          <w:sz w:val="32"/>
          <w:szCs w:val="32"/>
          <w:highlight w:val="none"/>
        </w:rPr>
        <w:t>万元。其中：</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因公出国（境）费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万元，比上年增（减）</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万元，主</w:t>
      </w:r>
    </w:p>
    <w:p>
      <w:pPr>
        <w:spacing w:line="560" w:lineRule="exact"/>
        <w:ind w:firstLine="0" w:firstLine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要原因是：</w:t>
      </w:r>
      <w:r>
        <w:rPr>
          <w:rFonts w:hint="eastAsia" w:ascii="仿宋" w:hAnsi="仿宋" w:eastAsia="仿宋" w:cs="仿宋"/>
          <w:color w:val="auto"/>
          <w:sz w:val="32"/>
          <w:szCs w:val="32"/>
          <w:highlight w:val="none"/>
          <w:lang w:eastAsia="zh-CN"/>
        </w:rPr>
        <w:t>无因公出国计划</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公务接待费</w:t>
      </w:r>
      <w:r>
        <w:rPr>
          <w:rFonts w:hint="eastAsia" w:ascii="仿宋" w:hAnsi="仿宋" w:eastAsia="仿宋" w:cs="仿宋"/>
          <w:color w:val="auto"/>
          <w:sz w:val="32"/>
          <w:szCs w:val="32"/>
          <w:highlight w:val="none"/>
          <w:lang w:val="en-US" w:eastAsia="zh-CN"/>
        </w:rPr>
        <w:t>22</w:t>
      </w:r>
      <w:r>
        <w:rPr>
          <w:rFonts w:hint="eastAsia" w:ascii="仿宋" w:hAnsi="仿宋" w:eastAsia="仿宋" w:cs="仿宋"/>
          <w:color w:val="auto"/>
          <w:sz w:val="32"/>
          <w:szCs w:val="32"/>
          <w:highlight w:val="none"/>
        </w:rPr>
        <w:t>万元，比上年</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52</w:t>
      </w:r>
      <w:r>
        <w:rPr>
          <w:rFonts w:hint="eastAsia" w:ascii="仿宋" w:hAnsi="仿宋" w:eastAsia="仿宋" w:cs="仿宋"/>
          <w:color w:val="auto"/>
          <w:sz w:val="32"/>
          <w:szCs w:val="32"/>
          <w:highlight w:val="none"/>
        </w:rPr>
        <w:t>万元，主要原因</w:t>
      </w:r>
    </w:p>
    <w:p>
      <w:pPr>
        <w:spacing w:line="560" w:lineRule="exact"/>
        <w:ind w:firstLine="0" w:firstLine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落实过紧日子要求，建立节约型机关</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公务用车运行维护</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万元，比上年增（减）</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，主要原因：部门无公务用车</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公务用车购置费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万元，比上年增（减）</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万元，主要</w:t>
      </w:r>
    </w:p>
    <w:p>
      <w:pPr>
        <w:spacing w:line="560" w:lineRule="exact"/>
        <w:ind w:firstLine="0" w:firstLine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原因是：</w:t>
      </w:r>
      <w:r>
        <w:rPr>
          <w:rFonts w:hint="eastAsia" w:ascii="仿宋" w:hAnsi="仿宋" w:eastAsia="仿宋" w:cs="仿宋"/>
          <w:color w:val="auto"/>
          <w:sz w:val="32"/>
          <w:szCs w:val="32"/>
          <w:highlight w:val="none"/>
          <w:lang w:eastAsia="zh-CN"/>
        </w:rPr>
        <w:t>部门无公务用车购置计划</w:t>
      </w:r>
      <w:r>
        <w:rPr>
          <w:rFonts w:hint="eastAsia" w:ascii="仿宋" w:hAnsi="仿宋" w:eastAsia="仿宋" w:cs="仿宋"/>
          <w:color w:val="auto"/>
          <w:sz w:val="32"/>
          <w:szCs w:val="32"/>
          <w:highlight w:val="none"/>
        </w:rPr>
        <w:t>。</w:t>
      </w:r>
    </w:p>
    <w:p>
      <w:pPr>
        <w:spacing w:line="560" w:lineRule="exact"/>
        <w:jc w:val="center"/>
        <w:rPr>
          <w:rFonts w:hint="eastAsia" w:ascii="仿宋" w:hAnsi="仿宋" w:eastAsia="仿宋" w:cs="仿宋"/>
          <w:b w:val="0"/>
          <w:bCs w:val="0"/>
          <w:color w:val="auto"/>
          <w:sz w:val="32"/>
          <w:szCs w:val="32"/>
          <w:highlight w:val="none"/>
        </w:rPr>
      </w:pPr>
    </w:p>
    <w:p>
      <w:pPr>
        <w:spacing w:line="560" w:lineRule="exact"/>
        <w:jc w:val="center"/>
        <w:rPr>
          <w:rFonts w:hint="eastAsia" w:ascii="仿宋" w:hAnsi="仿宋" w:eastAsia="仿宋" w:cs="仿宋"/>
          <w:b w:val="0"/>
          <w:bCs w:val="0"/>
          <w:color w:val="auto"/>
          <w:sz w:val="32"/>
          <w:szCs w:val="32"/>
          <w:highlight w:val="none"/>
        </w:rPr>
      </w:pPr>
    </w:p>
    <w:p>
      <w:pPr>
        <w:numPr>
          <w:ilvl w:val="0"/>
          <w:numId w:val="1"/>
        </w:numPr>
        <w:spacing w:line="560" w:lineRule="exact"/>
        <w:jc w:val="center"/>
        <w:rPr>
          <w:rFonts w:hint="eastAsia" w:ascii="仿宋" w:hAnsi="仿宋" w:eastAsia="仿宋" w:cs="仿宋"/>
          <w:b w:val="0"/>
          <w:bCs w:val="0"/>
          <w:color w:val="auto"/>
          <w:sz w:val="32"/>
          <w:szCs w:val="32"/>
          <w:highlight w:val="none"/>
        </w:rPr>
      </w:pP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eastAsia="zh-CN"/>
        </w:rPr>
        <w:t>住房和城乡建设局</w:t>
      </w:r>
      <w:r>
        <w:rPr>
          <w:rFonts w:hint="eastAsia" w:ascii="仿宋" w:hAnsi="仿宋" w:eastAsia="仿宋" w:cs="仿宋"/>
          <w:b w:val="0"/>
          <w:bCs w:val="0"/>
          <w:color w:val="auto"/>
          <w:sz w:val="32"/>
          <w:szCs w:val="32"/>
          <w:highlight w:val="none"/>
          <w:lang w:val="en-US" w:eastAsia="zh-CN"/>
        </w:rPr>
        <w:t>2023年</w:t>
      </w:r>
      <w:r>
        <w:rPr>
          <w:rFonts w:hint="eastAsia" w:ascii="仿宋" w:hAnsi="仿宋" w:eastAsia="仿宋" w:cs="仿宋"/>
          <w:b w:val="0"/>
          <w:bCs w:val="0"/>
          <w:color w:val="auto"/>
          <w:sz w:val="32"/>
          <w:szCs w:val="32"/>
          <w:highlight w:val="none"/>
        </w:rPr>
        <w:t>部门预算表</w:t>
      </w:r>
    </w:p>
    <w:p>
      <w:pPr>
        <w:spacing w:line="560" w:lineRule="exact"/>
        <w:ind w:left="633" w:leftChars="0" w:hanging="633" w:hangingChars="198"/>
        <w:rPr>
          <w:rFonts w:hint="eastAsia" w:eastAsia="仿宋"/>
          <w:color w:val="auto"/>
          <w:highlight w:val="none"/>
          <w:lang w:eastAsia="zh-CN"/>
        </w:rPr>
      </w:pPr>
      <w:r>
        <w:rPr>
          <w:rFonts w:hint="eastAsia" w:ascii="仿宋" w:hAnsi="仿宋" w:eastAsia="仿宋" w:cs="仿宋"/>
          <w:color w:val="auto"/>
          <w:sz w:val="32"/>
          <w:szCs w:val="32"/>
          <w:highlight w:val="none"/>
        </w:rPr>
        <w:t>一、《收支预算总表》</w:t>
      </w:r>
      <w:r>
        <w:rPr>
          <w:rFonts w:hint="eastAsia" w:ascii="仿宋" w:hAnsi="仿宋" w:eastAsia="仿宋" w:cs="仿宋"/>
          <w:color w:val="auto"/>
          <w:sz w:val="32"/>
          <w:szCs w:val="32"/>
          <w:highlight w:val="none"/>
          <w:lang w:eastAsia="zh-CN"/>
        </w:rPr>
        <w:t>（见附表）</w:t>
      </w:r>
    </w:p>
    <w:p>
      <w:pPr>
        <w:pStyle w:val="3"/>
        <w:numPr>
          <w:ilvl w:val="0"/>
          <w:numId w:val="0"/>
        </w:num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二、</w:t>
      </w:r>
      <w:r>
        <w:rPr>
          <w:rFonts w:hint="eastAsia" w:ascii="仿宋" w:hAnsi="仿宋" w:eastAsia="仿宋" w:cs="仿宋"/>
          <w:color w:val="auto"/>
          <w:sz w:val="32"/>
          <w:szCs w:val="32"/>
          <w:highlight w:val="none"/>
        </w:rPr>
        <w:t>《部门收入总表》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三、</w:t>
      </w:r>
      <w:r>
        <w:rPr>
          <w:rFonts w:hint="eastAsia" w:ascii="仿宋" w:hAnsi="仿宋" w:eastAsia="仿宋" w:cs="仿宋"/>
          <w:color w:val="auto"/>
          <w:sz w:val="32"/>
          <w:szCs w:val="32"/>
          <w:highlight w:val="none"/>
        </w:rPr>
        <w:t>《部门支出总表》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四、</w:t>
      </w:r>
      <w:r>
        <w:rPr>
          <w:rFonts w:hint="eastAsia" w:ascii="仿宋" w:hAnsi="仿宋" w:eastAsia="仿宋" w:cs="仿宋"/>
          <w:color w:val="auto"/>
          <w:sz w:val="32"/>
          <w:szCs w:val="32"/>
          <w:highlight w:val="none"/>
        </w:rPr>
        <w:t>《财政拨款收支总表》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五、</w:t>
      </w:r>
      <w:r>
        <w:rPr>
          <w:rFonts w:hint="eastAsia" w:ascii="仿宋" w:hAnsi="仿宋" w:eastAsia="仿宋" w:cs="仿宋"/>
          <w:color w:val="auto"/>
          <w:sz w:val="32"/>
          <w:szCs w:val="32"/>
          <w:highlight w:val="none"/>
        </w:rPr>
        <w:t>《一般公共预算支出表》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color w:val="auto"/>
          <w:highlight w:val="none"/>
        </w:rPr>
      </w:pPr>
      <w:r>
        <w:rPr>
          <w:rFonts w:hint="eastAsia" w:ascii="仿宋" w:hAnsi="仿宋" w:eastAsia="仿宋" w:cs="仿宋"/>
          <w:color w:val="auto"/>
          <w:sz w:val="32"/>
          <w:szCs w:val="32"/>
          <w:highlight w:val="none"/>
          <w:lang w:eastAsia="zh-CN"/>
        </w:rPr>
        <w:t>六、</w:t>
      </w:r>
      <w:r>
        <w:rPr>
          <w:rFonts w:hint="eastAsia" w:ascii="仿宋" w:hAnsi="仿宋" w:eastAsia="仿宋" w:cs="仿宋"/>
          <w:color w:val="auto"/>
          <w:sz w:val="32"/>
          <w:szCs w:val="32"/>
          <w:highlight w:val="none"/>
        </w:rPr>
        <w:t>《一般公共预算基本支出表》</w:t>
      </w:r>
      <w:r>
        <w:rPr>
          <w:rFonts w:hint="eastAsia" w:ascii="仿宋" w:hAnsi="仿宋" w:eastAsia="仿宋" w:cs="仿宋"/>
          <w:color w:val="auto"/>
          <w:sz w:val="32"/>
          <w:szCs w:val="32"/>
          <w:highlight w:val="none"/>
          <w:lang w:eastAsia="zh-CN"/>
        </w:rPr>
        <w:t>（见附表）</w:t>
      </w:r>
    </w:p>
    <w:p>
      <w:pPr>
        <w:pStyle w:val="2"/>
        <w:numPr>
          <w:ilvl w:val="0"/>
          <w:numId w:val="0"/>
        </w:numPr>
        <w:ind w:left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七、</w:t>
      </w:r>
      <w:r>
        <w:rPr>
          <w:rFonts w:hint="eastAsia" w:ascii="仿宋" w:hAnsi="仿宋" w:eastAsia="仿宋" w:cs="仿宋"/>
          <w:color w:val="auto"/>
          <w:sz w:val="32"/>
          <w:szCs w:val="32"/>
          <w:highlight w:val="none"/>
        </w:rPr>
        <w:t>《一般公共预算“三公”经费支出表》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八、</w:t>
      </w:r>
      <w:r>
        <w:rPr>
          <w:rFonts w:hint="eastAsia" w:ascii="仿宋" w:hAnsi="仿宋" w:eastAsia="仿宋" w:cs="仿宋"/>
          <w:color w:val="auto"/>
          <w:sz w:val="32"/>
          <w:szCs w:val="32"/>
          <w:highlight w:val="none"/>
        </w:rPr>
        <w:t>《政府性基金预算支出表》</w:t>
      </w:r>
      <w:r>
        <w:rPr>
          <w:rFonts w:hint="eastAsia" w:ascii="仿宋" w:hAnsi="仿宋" w:eastAsia="仿宋" w:cs="仿宋"/>
          <w:color w:val="auto"/>
          <w:sz w:val="32"/>
          <w:szCs w:val="32"/>
          <w:highlight w:val="none"/>
          <w:lang w:eastAsia="zh-CN"/>
        </w:rPr>
        <w:t>（见附表）</w:t>
      </w:r>
    </w:p>
    <w:p>
      <w:pPr>
        <w:pStyle w:val="2"/>
        <w:ind w:left="0" w:leftChars="0" w:firstLine="0" w:firstLineChars="0"/>
        <w:rPr>
          <w:rFonts w:hint="eastAsia"/>
          <w:highlight w:val="none"/>
          <w:lang w:eastAsia="zh-CN"/>
        </w:rPr>
      </w:pPr>
      <w:r>
        <w:rPr>
          <w:rFonts w:hint="eastAsia" w:ascii="仿宋" w:hAnsi="仿宋" w:eastAsia="仿宋" w:cs="仿宋"/>
          <w:color w:val="auto"/>
          <w:sz w:val="32"/>
          <w:szCs w:val="32"/>
          <w:highlight w:val="none"/>
          <w:lang w:eastAsia="zh-CN"/>
        </w:rPr>
        <w:t>九、</w:t>
      </w:r>
      <w:r>
        <w:rPr>
          <w:rFonts w:hint="eastAsia" w:eastAsia="仿宋"/>
          <w:color w:val="auto"/>
          <w:highlight w:val="none"/>
          <w:lang w:eastAsia="zh-CN"/>
        </w:rPr>
        <w:t>《国有资本经营预算支出表》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十、</w:t>
      </w:r>
      <w:r>
        <w:rPr>
          <w:rFonts w:hint="eastAsia" w:ascii="仿宋" w:hAnsi="仿宋" w:eastAsia="仿宋" w:cs="仿宋"/>
          <w:color w:val="auto"/>
          <w:sz w:val="32"/>
          <w:szCs w:val="32"/>
          <w:highlight w:val="none"/>
        </w:rPr>
        <w:t>《部门整体支出绩效目标表》</w:t>
      </w:r>
    </w:p>
    <w:p>
      <w:pPr>
        <w:pStyle w:val="9"/>
        <w:numPr>
          <w:ilvl w:val="0"/>
          <w:numId w:val="0"/>
        </w:numPr>
        <w:rPr>
          <w:rFonts w:hint="eastAsia"/>
          <w:highlight w:val="none"/>
        </w:rPr>
      </w:pPr>
    </w:p>
    <w:p>
      <w:pPr>
        <w:pStyle w:val="3"/>
        <w:rPr>
          <w:rFonts w:hint="eastAsia" w:ascii="仿宋" w:hAnsi="仿宋" w:eastAsia="仿宋" w:cs="仿宋"/>
          <w:sz w:val="30"/>
          <w:szCs w:val="30"/>
          <w:highlight w:val="none"/>
        </w:rPr>
      </w:pPr>
      <w:r>
        <w:rPr>
          <w:rFonts w:hint="eastAsia" w:ascii="仿宋" w:hAnsi="仿宋" w:eastAsia="仿宋" w:cs="仿宋"/>
          <w:sz w:val="30"/>
          <w:szCs w:val="30"/>
          <w:highlight w:val="none"/>
        </w:rPr>
        <w:drawing>
          <wp:inline distT="0" distB="0" distL="114300" distR="114300">
            <wp:extent cx="5541645" cy="5255895"/>
            <wp:effectExtent l="0" t="0" r="1905" b="1905"/>
            <wp:docPr id="2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pic:cNvPicPr>
                      <a:picLocks noChangeAspect="1"/>
                    </pic:cNvPicPr>
                  </pic:nvPicPr>
                  <pic:blipFill>
                    <a:blip r:embed="rId5"/>
                    <a:stretch>
                      <a:fillRect/>
                    </a:stretch>
                  </pic:blipFill>
                  <pic:spPr>
                    <a:xfrm>
                      <a:off x="0" y="0"/>
                      <a:ext cx="5541645" cy="525589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FF0000"/>
          <w:sz w:val="30"/>
          <w:szCs w:val="30"/>
          <w:highlight w:val="none"/>
          <w:lang w:eastAsia="zh-CN"/>
        </w:rPr>
      </w:pPr>
      <w:r>
        <w:rPr>
          <w:rFonts w:hint="eastAsia" w:ascii="仿宋" w:hAnsi="仿宋" w:eastAsia="仿宋" w:cs="仿宋"/>
          <w:sz w:val="32"/>
          <w:szCs w:val="32"/>
          <w:highlight w:val="none"/>
          <w:lang w:eastAsia="zh-CN"/>
        </w:rPr>
        <w:t>十一、</w:t>
      </w:r>
      <w:r>
        <w:rPr>
          <w:rFonts w:hint="eastAsia" w:ascii="仿宋" w:hAnsi="仿宋" w:eastAsia="仿宋" w:cs="仿宋"/>
          <w:sz w:val="32"/>
          <w:szCs w:val="32"/>
          <w:highlight w:val="none"/>
        </w:rPr>
        <w:t>《项目支出绩效目标表》</w:t>
      </w:r>
    </w:p>
    <w:p>
      <w:pPr>
        <w:pStyle w:val="3"/>
        <w:rPr>
          <w:rFonts w:hint="eastAsia" w:ascii="仿宋" w:hAnsi="仿宋" w:eastAsia="仿宋" w:cs="仿宋"/>
          <w:sz w:val="30"/>
          <w:szCs w:val="30"/>
          <w:highlight w:val="none"/>
        </w:rPr>
      </w:pPr>
      <w:r>
        <w:rPr>
          <w:rFonts w:hint="eastAsia" w:ascii="仿宋" w:hAnsi="仿宋" w:eastAsia="仿宋" w:cs="仿宋"/>
          <w:sz w:val="30"/>
          <w:szCs w:val="30"/>
          <w:highlight w:val="none"/>
        </w:rPr>
        <w:drawing>
          <wp:inline distT="0" distB="0" distL="114300" distR="114300">
            <wp:extent cx="5544820" cy="7384415"/>
            <wp:effectExtent l="0" t="0" r="17780" b="6985"/>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6"/>
                    <a:stretch>
                      <a:fillRect/>
                    </a:stretch>
                  </pic:blipFill>
                  <pic:spPr>
                    <a:xfrm>
                      <a:off x="0" y="0"/>
                      <a:ext cx="5544820" cy="7384415"/>
                    </a:xfrm>
                    <a:prstGeom prst="rect">
                      <a:avLst/>
                    </a:prstGeom>
                    <a:noFill/>
                    <a:ln>
                      <a:noFill/>
                    </a:ln>
                  </pic:spPr>
                </pic:pic>
              </a:graphicData>
            </a:graphic>
          </wp:inline>
        </w:drawing>
      </w:r>
    </w:p>
    <w:p>
      <w:pPr>
        <w:pStyle w:val="3"/>
        <w:numPr>
          <w:ilvl w:val="0"/>
          <w:numId w:val="0"/>
        </w:numPr>
        <w:ind w:leftChars="0"/>
        <w:rPr>
          <w:rFonts w:hint="eastAsia" w:ascii="仿宋" w:hAnsi="仿宋" w:eastAsia="仿宋" w:cs="仿宋"/>
          <w:sz w:val="30"/>
          <w:szCs w:val="30"/>
          <w:highlight w:val="none"/>
        </w:rPr>
      </w:pPr>
    </w:p>
    <w:p>
      <w:pPr>
        <w:spacing w:line="560" w:lineRule="exact"/>
        <w:ind w:firstLine="0" w:firstLineChars="0"/>
        <w:jc w:val="center"/>
        <w:rPr>
          <w:rFonts w:hint="eastAsia" w:ascii="仿宋" w:hAnsi="仿宋" w:eastAsia="仿宋" w:cs="仿宋"/>
          <w:b w:val="0"/>
          <w:bCs w:val="0"/>
          <w:sz w:val="30"/>
          <w:szCs w:val="30"/>
          <w:highlight w:val="none"/>
        </w:rPr>
      </w:pPr>
    </w:p>
    <w:p>
      <w:pPr>
        <w:spacing w:line="560" w:lineRule="exact"/>
        <w:ind w:firstLine="0" w:firstLineChars="0"/>
        <w:jc w:val="center"/>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第四部分</w:t>
      </w:r>
      <w:r>
        <w:rPr>
          <w:rFonts w:hint="eastAsia" w:ascii="仿宋" w:hAnsi="仿宋" w:eastAsia="仿宋" w:cs="仿宋"/>
          <w:b/>
          <w:bCs/>
          <w:sz w:val="30"/>
          <w:szCs w:val="30"/>
          <w:highlight w:val="none"/>
          <w:lang w:val="en-US" w:eastAsia="zh-CN"/>
        </w:rPr>
        <w:t xml:space="preserve"> </w:t>
      </w:r>
      <w:r>
        <w:rPr>
          <w:rFonts w:hint="eastAsia" w:ascii="仿宋" w:hAnsi="仿宋" w:eastAsia="仿宋" w:cs="仿宋"/>
          <w:b/>
          <w:bCs/>
          <w:sz w:val="30"/>
          <w:szCs w:val="30"/>
          <w:highlight w:val="none"/>
        </w:rPr>
        <w:t>名词解释</w:t>
      </w:r>
    </w:p>
    <w:p>
      <w:pPr>
        <w:spacing w:line="560" w:lineRule="exact"/>
        <w:ind w:firstLine="567" w:firstLineChars="189"/>
        <w:jc w:val="center"/>
        <w:rPr>
          <w:rFonts w:hint="eastAsia" w:ascii="仿宋" w:hAnsi="仿宋" w:eastAsia="仿宋" w:cs="仿宋"/>
          <w:sz w:val="30"/>
          <w:szCs w:val="30"/>
          <w:highlight w:val="none"/>
        </w:rPr>
      </w:pPr>
    </w:p>
    <w:p>
      <w:pPr>
        <w:spacing w:line="560" w:lineRule="exact"/>
        <w:ind w:firstLine="602" w:firstLineChars="200"/>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一、收入科目</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各部门结合实际进行解释。</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（一）财政拨款：指县本级财政当年拨付的资金。</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（二）事业收入：指事业单位开展专业业务活动及辅助活动取得的收入。</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（三）事业单位经营收入：指事业单位在专业业务活动及辅助活动之外开展非独立核算经营活动取得的收入。</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（四）其他收入：指除财政拨款、事业收入、事业单位经营收入等以外的各项收入。</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（五）附属单位上缴收入：反映事业单位附属的独立核算单位按规定标准或比例缴纳的各项收入。包括附属的事业单位上缴的收入和附属的企业上缴的利润等。</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（六）上级补助收入：反映事业单位从主管部门和上级单位取得的非财政补助收入。</w:t>
      </w:r>
    </w:p>
    <w:p>
      <w:pPr>
        <w:spacing w:line="560" w:lineRule="exact"/>
        <w:ind w:firstLine="600" w:firstLineChars="200"/>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（七）使用非财政拨款结余：填列历年滚存的非限定用途的非统计财政拨款结余弥补</w:t>
      </w:r>
      <w:r>
        <w:rPr>
          <w:rFonts w:hint="eastAsia" w:ascii="仿宋" w:hAnsi="仿宋" w:eastAsia="仿宋" w:cs="仿宋"/>
          <w:sz w:val="30"/>
          <w:szCs w:val="30"/>
          <w:highlight w:val="none"/>
          <w:lang w:val="en-US" w:eastAsia="zh-CN"/>
        </w:rPr>
        <w:t>2023</w:t>
      </w:r>
      <w:r>
        <w:rPr>
          <w:rFonts w:hint="eastAsia" w:ascii="仿宋" w:hAnsi="仿宋" w:eastAsia="仿宋" w:cs="仿宋"/>
          <w:sz w:val="30"/>
          <w:szCs w:val="30"/>
          <w:highlight w:val="none"/>
        </w:rPr>
        <w:t>年收支差额的数额。</w:t>
      </w:r>
    </w:p>
    <w:p>
      <w:pPr>
        <w:spacing w:line="560" w:lineRule="exact"/>
        <w:ind w:firstLine="600" w:firstLineChars="200"/>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（八）上年结转和结余：填列</w:t>
      </w:r>
      <w:r>
        <w:rPr>
          <w:rFonts w:hint="eastAsia" w:ascii="仿宋" w:hAnsi="仿宋" w:eastAsia="仿宋" w:cs="仿宋"/>
          <w:sz w:val="30"/>
          <w:szCs w:val="30"/>
          <w:highlight w:val="none"/>
          <w:lang w:val="en-US" w:eastAsia="zh-CN"/>
        </w:rPr>
        <w:t>2022</w:t>
      </w:r>
      <w:r>
        <w:rPr>
          <w:rFonts w:hint="eastAsia" w:ascii="仿宋" w:hAnsi="仿宋" w:eastAsia="仿宋" w:cs="仿宋"/>
          <w:sz w:val="30"/>
          <w:szCs w:val="30"/>
          <w:highlight w:val="none"/>
        </w:rPr>
        <w:t>年全部结转和结余的资金数，包括当年结转结余资金和历年滚存结转结余资金。</w:t>
      </w:r>
    </w:p>
    <w:p>
      <w:pPr>
        <w:spacing w:line="560" w:lineRule="exact"/>
        <w:ind w:firstLine="569" w:firstLineChars="189"/>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二、支出科目</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对部门或单位预算中涉及的支出功能分类科目（明细到项级），结合部门实际，参照《</w:t>
      </w:r>
      <w:r>
        <w:rPr>
          <w:rFonts w:hint="eastAsia" w:ascii="仿宋" w:hAnsi="仿宋" w:eastAsia="仿宋" w:cs="仿宋"/>
          <w:sz w:val="30"/>
          <w:szCs w:val="30"/>
          <w:highlight w:val="none"/>
          <w:lang w:val="en-US" w:eastAsia="zh-CN"/>
        </w:rPr>
        <w:t>2023</w:t>
      </w:r>
      <w:r>
        <w:rPr>
          <w:rFonts w:hint="eastAsia" w:ascii="仿宋" w:hAnsi="仿宋" w:eastAsia="仿宋" w:cs="仿宋"/>
          <w:sz w:val="30"/>
          <w:szCs w:val="30"/>
          <w:highlight w:val="none"/>
        </w:rPr>
        <w:t>年政府收支分类科目》的规范说明行解释。</w:t>
      </w:r>
    </w:p>
    <w:p>
      <w:pPr>
        <w:spacing w:line="560" w:lineRule="exact"/>
        <w:ind w:firstLine="600" w:firstLineChars="200"/>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（一）行政运行：反映行政单位（事业单位）的基本支出。</w:t>
      </w:r>
    </w:p>
    <w:p>
      <w:pPr>
        <w:spacing w:line="560" w:lineRule="exact"/>
        <w:ind w:firstLine="600" w:firstLineChars="200"/>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（二）一般行政管理事务：反映行政单位（包括事业单位）未单独设置项级科目的其他项目支出。</w:t>
      </w:r>
    </w:p>
    <w:p>
      <w:pPr>
        <w:spacing w:line="560" w:lineRule="exact"/>
        <w:ind w:firstLine="600" w:firstLineChars="200"/>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（三）机关事业单位基本养老保险缴费支出：反映机关事业单位实施养老保险制度由单位缴纳的基本养老保险费的支出。</w:t>
      </w:r>
    </w:p>
    <w:p>
      <w:pPr>
        <w:spacing w:line="560" w:lineRule="exact"/>
        <w:ind w:firstLine="639" w:firstLineChars="213"/>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（四）行政单位医疗：反映行政事业单位基本医疗保险缴费经费。</w:t>
      </w:r>
    </w:p>
    <w:p>
      <w:pPr>
        <w:spacing w:line="560" w:lineRule="exact"/>
        <w:ind w:firstLine="639" w:firstLineChars="213"/>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（五）事业单位医疗：反映财政部门集中安排的事业单位基本医疗保险缴费经费。</w:t>
      </w:r>
    </w:p>
    <w:p>
      <w:pPr>
        <w:spacing w:line="560" w:lineRule="exact"/>
        <w:ind w:firstLine="600" w:firstLineChars="200"/>
        <w:rPr>
          <w:rFonts w:hint="eastAsia" w:ascii="仿宋" w:hAnsi="仿宋" w:eastAsia="仿宋" w:cs="仿宋"/>
          <w:b/>
          <w:bCs/>
          <w:color w:val="000000" w:themeColor="text1"/>
          <w:sz w:val="30"/>
          <w:szCs w:val="30"/>
          <w:highlight w:val="none"/>
          <w14:textFill>
            <w14:solidFill>
              <w14:schemeClr w14:val="tx1"/>
            </w14:solidFill>
          </w14:textFill>
        </w:rPr>
      </w:pPr>
      <w:r>
        <w:rPr>
          <w:rFonts w:hint="eastAsia" w:ascii="仿宋" w:hAnsi="仿宋" w:eastAsia="仿宋" w:cs="仿宋"/>
          <w:sz w:val="30"/>
          <w:szCs w:val="30"/>
          <w:highlight w:val="none"/>
        </w:rPr>
        <w:t>（六）死亡抚恤：反映单位遗属人员生活补助。</w:t>
      </w:r>
    </w:p>
    <w:p>
      <w:pPr>
        <w:rPr>
          <w:rFonts w:hint="eastAsia" w:ascii="仿宋" w:hAnsi="仿宋" w:eastAsia="仿宋" w:cs="仿宋"/>
          <w:sz w:val="30"/>
          <w:szCs w:val="30"/>
          <w:highlight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1" w:fontKey="{D8CD3C8A-D789-473B-82EE-A11D7F075580}"/>
  </w:font>
  <w:font w:name="方正小标宋简体">
    <w:panose1 w:val="02000000000000000000"/>
    <w:charset w:val="86"/>
    <w:family w:val="auto"/>
    <w:pitch w:val="default"/>
    <w:sig w:usb0="00000001" w:usb1="08000000" w:usb2="00000000" w:usb3="00000000" w:csb0="00040000" w:csb1="00000000"/>
    <w:embedRegular r:id="rId2" w:fontKey="{AC3C6139-BD39-4B1D-89C6-B270335189A7}"/>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E8DF6"/>
    <w:multiLevelType w:val="singleLevel"/>
    <w:tmpl w:val="A28E8DF6"/>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06B41E70"/>
    <w:rsid w:val="09DA686E"/>
    <w:rsid w:val="1EEA4146"/>
    <w:rsid w:val="21A238A6"/>
    <w:rsid w:val="283823B6"/>
    <w:rsid w:val="2DAD3094"/>
    <w:rsid w:val="326D79FF"/>
    <w:rsid w:val="3A4013F4"/>
    <w:rsid w:val="3F5F2902"/>
    <w:rsid w:val="3FFE2FA6"/>
    <w:rsid w:val="445E02C8"/>
    <w:rsid w:val="4D1D0556"/>
    <w:rsid w:val="5CB52971"/>
    <w:rsid w:val="5DD117DF"/>
    <w:rsid w:val="62744A70"/>
    <w:rsid w:val="6F2D6854"/>
    <w:rsid w:val="6F7C018C"/>
    <w:rsid w:val="71724DA6"/>
    <w:rsid w:val="739F538A"/>
    <w:rsid w:val="74D14577"/>
    <w:rsid w:val="750D6FBE"/>
    <w:rsid w:val="7EF74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 w:type="paragraph" w:customStyle="1" w:styleId="9">
    <w:name w:val="Heading2"/>
    <w:basedOn w:val="1"/>
    <w:next w:val="1"/>
    <w:qFormat/>
    <w:uiPriority w:val="0"/>
    <w:pPr>
      <w:keepNext/>
      <w:keepLines/>
      <w:spacing w:line="600" w:lineRule="exact"/>
    </w:pPr>
    <w:rPr>
      <w:rFonts w:ascii="Arial" w:hAnsi="Arial"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4027</Words>
  <Characters>4348</Characters>
  <Lines>0</Lines>
  <Paragraphs>0</Paragraphs>
  <TotalTime>0</TotalTime>
  <ScaleCrop>false</ScaleCrop>
  <LinksUpToDate>false</LinksUpToDate>
  <CharactersWithSpaces>4359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2024-06-13T00:46:19Z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9654D135A07F47148F8AE9D91DEA01D0_13</vt:lpwstr>
  </property>
</Properties>
</file>