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2025年全县社会保险基金预算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结余表（草案）说明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全县社会保险基金2025年当年收支结余10603万元，年末滚存结余97219万元。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1.机关事业单位基本养老保险基金2025年本年收支结余372万元，年末滚存结余6251万元。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2.城乡居民基本养老保险基金2025年本年收支结余10231万元，年末滚存结余90968万元。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根据《赣州市医疗保障市级统筹改革实施方案》（赣市办字〔2020〕18号）精神，2021年起，医保基金实行市级统筹，2023年起医保基金预算由市级统一编制。根据赣财社〔2020〕1号通知要求，企业养老保险从2020年1月1日起，实行省级统收统支，2023年起企业养老保险基金预算由省级统一编制。按赣市人社字〔2020〕53号要求，工伤保险2020年5月实行市级统收统支，2023年起工伤保险基金预算由市级统一编制。根据赣人社发〔2021〕16号通知要求，2021年9月失业保险基金实行市级统收统支管理， 2023年起失业保险基金预算由市级统一编制。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AF1A39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2025-02-21T10:32:58Z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