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5232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color w:val="auto"/>
          <w:kern w:val="0"/>
          <w:sz w:val="44"/>
          <w:szCs w:val="44"/>
        </w:rPr>
      </w:pPr>
      <w:r>
        <w:rPr>
          <w:rFonts w:hint="eastAsia" w:ascii="方正公文小标宋" w:hAnsi="方正公文小标宋" w:eastAsia="方正公文小标宋" w:cs="方正公文小标宋"/>
          <w:color w:val="auto"/>
          <w:kern w:val="0"/>
          <w:sz w:val="44"/>
          <w:szCs w:val="44"/>
        </w:rPr>
        <w:t>关于兴国县</w:t>
      </w:r>
      <w:r>
        <w:rPr>
          <w:rFonts w:hint="eastAsia" w:ascii="方正公文小标宋" w:hAnsi="方正公文小标宋" w:eastAsia="方正公文小标宋" w:cs="方正公文小标宋"/>
          <w:color w:val="auto"/>
          <w:kern w:val="0"/>
          <w:sz w:val="44"/>
          <w:szCs w:val="44"/>
          <w:lang w:val="en-US" w:eastAsia="zh-CN"/>
        </w:rPr>
        <w:t>2024</w:t>
      </w:r>
      <w:r>
        <w:rPr>
          <w:rFonts w:hint="eastAsia" w:ascii="方正公文小标宋" w:hAnsi="方正公文小标宋" w:eastAsia="方正公文小标宋" w:cs="方正公文小标宋"/>
          <w:b/>
          <w:bCs/>
          <w:color w:val="auto"/>
          <w:kern w:val="0"/>
          <w:sz w:val="44"/>
          <w:szCs w:val="44"/>
          <w:lang w:eastAsia="zh-CN"/>
        </w:rPr>
        <w:t>年</w:t>
      </w:r>
      <w:r>
        <w:rPr>
          <w:rFonts w:hint="eastAsia" w:ascii="方正公文小标宋" w:hAnsi="方正公文小标宋" w:eastAsia="方正公文小标宋" w:cs="方正公文小标宋"/>
          <w:color w:val="auto"/>
          <w:kern w:val="0"/>
          <w:sz w:val="44"/>
          <w:szCs w:val="44"/>
        </w:rPr>
        <w:t>全县和县本级</w:t>
      </w:r>
    </w:p>
    <w:p w14:paraId="37074E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color w:val="auto"/>
          <w:kern w:val="0"/>
          <w:sz w:val="44"/>
          <w:szCs w:val="44"/>
        </w:rPr>
      </w:pPr>
      <w:r>
        <w:rPr>
          <w:rFonts w:hint="eastAsia" w:ascii="方正公文小标宋" w:hAnsi="方正公文小标宋" w:eastAsia="方正公文小标宋" w:cs="方正公文小标宋"/>
          <w:color w:val="auto"/>
          <w:kern w:val="0"/>
          <w:sz w:val="44"/>
          <w:szCs w:val="44"/>
        </w:rPr>
        <w:t>预算执行情况与</w:t>
      </w:r>
      <w:r>
        <w:rPr>
          <w:rFonts w:hint="eastAsia" w:ascii="方正公文小标宋" w:hAnsi="方正公文小标宋" w:eastAsia="方正公文小标宋" w:cs="方正公文小标宋"/>
          <w:b/>
          <w:bCs/>
          <w:color w:val="auto"/>
          <w:kern w:val="0"/>
          <w:sz w:val="44"/>
          <w:szCs w:val="44"/>
          <w:lang w:eastAsia="zh-CN"/>
        </w:rPr>
        <w:t>202</w:t>
      </w:r>
      <w:r>
        <w:rPr>
          <w:rFonts w:hint="eastAsia" w:ascii="方正公文小标宋" w:hAnsi="方正公文小标宋" w:eastAsia="方正公文小标宋" w:cs="方正公文小标宋"/>
          <w:b/>
          <w:bCs/>
          <w:color w:val="auto"/>
          <w:kern w:val="0"/>
          <w:sz w:val="44"/>
          <w:szCs w:val="44"/>
          <w:lang w:val="en-US" w:eastAsia="zh-CN"/>
        </w:rPr>
        <w:t>5</w:t>
      </w:r>
      <w:r>
        <w:rPr>
          <w:rFonts w:hint="eastAsia" w:ascii="方正公文小标宋" w:hAnsi="方正公文小标宋" w:eastAsia="方正公文小标宋" w:cs="方正公文小标宋"/>
          <w:b/>
          <w:bCs/>
          <w:color w:val="auto"/>
          <w:kern w:val="0"/>
          <w:sz w:val="44"/>
          <w:szCs w:val="44"/>
          <w:lang w:eastAsia="zh-CN"/>
        </w:rPr>
        <w:t>年</w:t>
      </w:r>
      <w:r>
        <w:rPr>
          <w:rFonts w:hint="eastAsia" w:ascii="方正公文小标宋" w:hAnsi="方正公文小标宋" w:eastAsia="方正公文小标宋" w:cs="方正公文小标宋"/>
          <w:color w:val="auto"/>
          <w:kern w:val="0"/>
          <w:sz w:val="44"/>
          <w:szCs w:val="44"/>
        </w:rPr>
        <w:t>全县和县本级预算草案的报告</w:t>
      </w:r>
    </w:p>
    <w:p w14:paraId="7BAB141F">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rPr>
      </w:pPr>
    </w:p>
    <w:p w14:paraId="68B02F76">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hint="eastAsia"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rPr>
        <w:t>——</w:t>
      </w:r>
      <w:r>
        <w:rPr>
          <w:rFonts w:hint="eastAsia" w:ascii="楷体" w:hAnsi="楷体" w:eastAsia="楷体" w:cs="楷体"/>
          <w:color w:val="auto"/>
          <w:kern w:val="0"/>
          <w:sz w:val="28"/>
          <w:szCs w:val="28"/>
          <w:highlight w:val="none"/>
          <w:lang w:val="en-US" w:eastAsia="zh-CN"/>
        </w:rPr>
        <w:t>2025</w:t>
      </w:r>
      <w:r>
        <w:rPr>
          <w:rFonts w:hint="eastAsia" w:ascii="楷体" w:hAnsi="楷体" w:eastAsia="楷体" w:cs="楷体"/>
          <w:color w:val="auto"/>
          <w:kern w:val="0"/>
          <w:sz w:val="28"/>
          <w:szCs w:val="28"/>
          <w:highlight w:val="none"/>
          <w:lang w:eastAsia="zh-CN"/>
        </w:rPr>
        <w:t>年</w:t>
      </w:r>
      <w:r>
        <w:rPr>
          <w:rFonts w:hint="eastAsia" w:ascii="楷体" w:hAnsi="楷体" w:eastAsia="楷体" w:cs="楷体"/>
          <w:color w:val="auto"/>
          <w:kern w:val="0"/>
          <w:sz w:val="28"/>
          <w:szCs w:val="28"/>
          <w:highlight w:val="none"/>
          <w:lang w:val="en-US" w:eastAsia="zh-CN"/>
        </w:rPr>
        <w:t>1</w:t>
      </w:r>
      <w:r>
        <w:rPr>
          <w:rFonts w:hint="eastAsia" w:ascii="楷体" w:hAnsi="楷体" w:eastAsia="楷体" w:cs="楷体"/>
          <w:color w:val="auto"/>
          <w:kern w:val="0"/>
          <w:sz w:val="28"/>
          <w:szCs w:val="28"/>
          <w:highlight w:val="none"/>
        </w:rPr>
        <w:t>月</w:t>
      </w:r>
      <w:r>
        <w:rPr>
          <w:rFonts w:hint="eastAsia" w:ascii="楷体" w:hAnsi="楷体" w:eastAsia="楷体" w:cs="楷体"/>
          <w:color w:val="auto"/>
          <w:kern w:val="0"/>
          <w:sz w:val="28"/>
          <w:szCs w:val="28"/>
          <w:highlight w:val="none"/>
          <w:lang w:val="en-US" w:eastAsia="zh-CN"/>
        </w:rPr>
        <w:t>6</w:t>
      </w:r>
      <w:r>
        <w:rPr>
          <w:rFonts w:hint="eastAsia" w:ascii="楷体" w:hAnsi="楷体" w:eastAsia="楷体" w:cs="楷体"/>
          <w:color w:val="auto"/>
          <w:kern w:val="0"/>
          <w:sz w:val="28"/>
          <w:szCs w:val="28"/>
          <w:highlight w:val="none"/>
        </w:rPr>
        <w:t>日在兴国县第十九届人民代表大会第</w:t>
      </w:r>
      <w:r>
        <w:rPr>
          <w:rFonts w:hint="eastAsia" w:ascii="楷体" w:hAnsi="楷体" w:eastAsia="楷体" w:cs="楷体"/>
          <w:color w:val="auto"/>
          <w:kern w:val="0"/>
          <w:sz w:val="28"/>
          <w:szCs w:val="28"/>
          <w:highlight w:val="none"/>
          <w:lang w:val="en-US" w:eastAsia="zh-CN"/>
        </w:rPr>
        <w:t>五</w:t>
      </w:r>
      <w:r>
        <w:rPr>
          <w:rFonts w:hint="eastAsia" w:ascii="楷体" w:hAnsi="楷体" w:eastAsia="楷体" w:cs="楷体"/>
          <w:color w:val="auto"/>
          <w:kern w:val="0"/>
          <w:sz w:val="28"/>
          <w:szCs w:val="28"/>
          <w:highlight w:val="none"/>
        </w:rPr>
        <w:t>次会议上</w:t>
      </w:r>
    </w:p>
    <w:p w14:paraId="1C06DAB1">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lang w:val="en-US" w:eastAsia="zh-CN"/>
        </w:rPr>
        <w:t>兴国</w:t>
      </w:r>
      <w:r>
        <w:rPr>
          <w:rFonts w:hint="eastAsia" w:ascii="楷体" w:hAnsi="楷体" w:eastAsia="楷体" w:cs="楷体"/>
          <w:color w:val="auto"/>
          <w:kern w:val="0"/>
          <w:sz w:val="28"/>
          <w:szCs w:val="28"/>
          <w:highlight w:val="none"/>
        </w:rPr>
        <w:t>县财政局局长  赖如钦</w:t>
      </w:r>
    </w:p>
    <w:p w14:paraId="365B0087">
      <w:pPr>
        <w:pStyle w:val="24"/>
        <w:keepNext w:val="0"/>
        <w:keepLines w:val="0"/>
        <w:pageBreakBefore w:val="0"/>
        <w:kinsoku/>
        <w:wordWrap/>
        <w:overflowPunct/>
        <w:topLinePunct w:val="0"/>
        <w:autoSpaceDE/>
        <w:autoSpaceDN/>
        <w:bidi w:val="0"/>
        <w:adjustRightInd/>
        <w:snapToGrid/>
        <w:spacing w:line="560" w:lineRule="exact"/>
        <w:textAlignment w:val="auto"/>
        <w:rPr>
          <w:rFonts w:hint="eastAsia"/>
          <w:color w:val="auto"/>
          <w:sz w:val="32"/>
          <w:szCs w:val="32"/>
        </w:rPr>
      </w:pPr>
    </w:p>
    <w:p w14:paraId="366B3FCB">
      <w:pPr>
        <w:keepNext w:val="0"/>
        <w:keepLines w:val="0"/>
        <w:pageBreakBefore w:val="0"/>
        <w:widowControl/>
        <w:shd w:val="clear" w:color="auto" w:fill="FFFFFF"/>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各位代表：</w:t>
      </w:r>
    </w:p>
    <w:p w14:paraId="5F5251E7">
      <w:pPr>
        <w:widowControl/>
        <w:shd w:val="clear" w:color="auto" w:fill="FFFFFF"/>
        <w:spacing w:line="560" w:lineRule="exact"/>
        <w:ind w:firstLine="64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受县人民政府委托，现向大会报告</w:t>
      </w:r>
      <w:r>
        <w:rPr>
          <w:rFonts w:hint="eastAsia" w:ascii="仿宋_GB2312" w:hAnsi="仿宋_GB2312" w:eastAsia="仿宋_GB2312" w:cs="仿宋_GB2312"/>
          <w:color w:val="auto"/>
          <w:kern w:val="0"/>
          <w:sz w:val="32"/>
          <w:szCs w:val="32"/>
          <w:lang w:eastAsia="zh-CN"/>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年全县和县本级预算执行情况与</w:t>
      </w:r>
      <w:r>
        <w:rPr>
          <w:rFonts w:hint="eastAsia" w:ascii="仿宋_GB2312" w:hAnsi="仿宋_GB2312" w:eastAsia="仿宋_GB2312" w:cs="仿宋_GB2312"/>
          <w:color w:val="auto"/>
          <w:kern w:val="0"/>
          <w:sz w:val="32"/>
          <w:szCs w:val="32"/>
          <w:lang w:eastAsia="zh-CN"/>
        </w:rPr>
        <w:t>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rPr>
        <w:t>全县和县本级预算草案</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请予审议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并请县政协委员和其他列席同志提出意见</w:t>
      </w:r>
      <w:r>
        <w:rPr>
          <w:rFonts w:hint="eastAsia" w:ascii="仿宋_GB2312" w:hAnsi="仿宋_GB2312" w:eastAsia="仿宋_GB2312" w:cs="仿宋_GB2312"/>
          <w:color w:val="auto"/>
          <w:kern w:val="0"/>
          <w:sz w:val="32"/>
          <w:szCs w:val="32"/>
        </w:rPr>
        <w:t>。</w:t>
      </w:r>
    </w:p>
    <w:p w14:paraId="71D7001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textAlignment w:val="auto"/>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w:t>
      </w:r>
      <w:r>
        <w:rPr>
          <w:rFonts w:hint="eastAsia" w:ascii="黑体" w:hAnsi="黑体" w:eastAsia="黑体" w:cs="黑体"/>
          <w:color w:val="auto"/>
          <w:kern w:val="0"/>
          <w:sz w:val="32"/>
          <w:szCs w:val="32"/>
          <w:lang w:eastAsia="zh-CN"/>
        </w:rPr>
        <w:t>202</w:t>
      </w:r>
      <w:r>
        <w:rPr>
          <w:rFonts w:hint="eastAsia" w:ascii="黑体" w:hAnsi="黑体" w:eastAsia="黑体" w:cs="黑体"/>
          <w:color w:val="auto"/>
          <w:kern w:val="0"/>
          <w:sz w:val="32"/>
          <w:szCs w:val="32"/>
          <w:lang w:val="en-US" w:eastAsia="zh-CN"/>
        </w:rPr>
        <w:t>4</w:t>
      </w:r>
      <w:r>
        <w:rPr>
          <w:rFonts w:hint="eastAsia" w:ascii="黑体" w:hAnsi="黑体" w:eastAsia="黑体" w:cs="黑体"/>
          <w:color w:val="auto"/>
          <w:kern w:val="0"/>
          <w:sz w:val="32"/>
          <w:szCs w:val="32"/>
          <w:lang w:eastAsia="zh-CN"/>
        </w:rPr>
        <w:t>年</w:t>
      </w:r>
      <w:r>
        <w:rPr>
          <w:rFonts w:hint="eastAsia" w:ascii="黑体" w:hAnsi="黑体" w:eastAsia="黑体" w:cs="黑体"/>
          <w:color w:val="auto"/>
          <w:kern w:val="0"/>
          <w:sz w:val="32"/>
          <w:szCs w:val="32"/>
        </w:rPr>
        <w:t>全县预算执行情况</w:t>
      </w:r>
    </w:p>
    <w:p w14:paraId="2E3AC31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2024年，在县委、县政府的坚强领导下，在县人大的依法监督和县政协的民主监督下，全县上下坚持以习近平新时代中国特色社会主义思想为指导，坚持稳中求进、以进促稳、先立后破，</w:t>
      </w:r>
      <w:r>
        <w:rPr>
          <w:rFonts w:hint="eastAsia" w:ascii="仿宋_GB2312" w:hAnsi="仿宋_GB2312" w:eastAsia="仿宋_GB2312" w:cs="仿宋_GB2312"/>
          <w:color w:val="auto"/>
          <w:kern w:val="0"/>
          <w:sz w:val="32"/>
          <w:szCs w:val="32"/>
          <w:lang w:val="en-US" w:eastAsia="zh-CN"/>
        </w:rPr>
        <w:t>抢抓机遇、担当实干，全县财政运行总体良好。</w:t>
      </w:r>
    </w:p>
    <w:p w14:paraId="5055996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textAlignment w:val="auto"/>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lang w:eastAsia="zh-CN"/>
        </w:rPr>
        <w:t>（</w:t>
      </w:r>
      <w:r>
        <w:rPr>
          <w:rFonts w:hint="eastAsia" w:ascii="楷体" w:hAnsi="楷体" w:eastAsia="楷体" w:cs="楷体"/>
          <w:b/>
          <w:bCs/>
          <w:color w:val="auto"/>
          <w:kern w:val="0"/>
          <w:sz w:val="32"/>
          <w:szCs w:val="32"/>
        </w:rPr>
        <w:t>一</w:t>
      </w:r>
      <w:r>
        <w:rPr>
          <w:rFonts w:hint="eastAsia" w:ascii="楷体" w:hAnsi="楷体" w:eastAsia="楷体" w:cs="楷体"/>
          <w:b/>
          <w:bCs/>
          <w:color w:val="auto"/>
          <w:kern w:val="0"/>
          <w:sz w:val="32"/>
          <w:szCs w:val="32"/>
          <w:lang w:eastAsia="zh-CN"/>
        </w:rPr>
        <w:t>）</w:t>
      </w:r>
      <w:r>
        <w:rPr>
          <w:rFonts w:hint="eastAsia" w:ascii="楷体" w:hAnsi="楷体" w:eastAsia="楷体" w:cs="楷体"/>
          <w:b/>
          <w:bCs/>
          <w:color w:val="auto"/>
          <w:kern w:val="0"/>
          <w:sz w:val="32"/>
          <w:szCs w:val="32"/>
        </w:rPr>
        <w:t>一般公共预算执行情况</w:t>
      </w:r>
    </w:p>
    <w:p w14:paraId="5238044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lang w:eastAsia="zh-CN"/>
        </w:rPr>
        <w:t>202</w:t>
      </w:r>
      <w:r>
        <w:rPr>
          <w:rFonts w:hint="eastAsia" w:ascii="仿宋_GB2312" w:hAnsi="仿宋_GB2312" w:eastAsia="仿宋_GB2312" w:cs="仿宋_GB2312"/>
          <w:b/>
          <w:bCs/>
          <w:color w:val="auto"/>
          <w:kern w:val="0"/>
          <w:sz w:val="32"/>
          <w:szCs w:val="32"/>
          <w:highlight w:val="none"/>
          <w:lang w:val="en-US" w:eastAsia="zh-CN"/>
        </w:rPr>
        <w:t>4</w:t>
      </w:r>
      <w:r>
        <w:rPr>
          <w:rFonts w:hint="eastAsia" w:ascii="仿宋_GB2312" w:hAnsi="仿宋_GB2312" w:eastAsia="仿宋_GB2312" w:cs="仿宋_GB2312"/>
          <w:b/>
          <w:bCs/>
          <w:color w:val="auto"/>
          <w:kern w:val="0"/>
          <w:sz w:val="32"/>
          <w:szCs w:val="32"/>
          <w:highlight w:val="none"/>
          <w:lang w:eastAsia="zh-CN"/>
        </w:rPr>
        <w:t>年</w:t>
      </w:r>
      <w:r>
        <w:rPr>
          <w:rFonts w:hint="eastAsia" w:ascii="仿宋_GB2312" w:hAnsi="仿宋_GB2312" w:eastAsia="仿宋_GB2312" w:cs="仿宋_GB2312"/>
          <w:b/>
          <w:bCs/>
          <w:color w:val="auto"/>
          <w:kern w:val="0"/>
          <w:sz w:val="32"/>
          <w:szCs w:val="32"/>
          <w:highlight w:val="none"/>
        </w:rPr>
        <w:t>，全县一般公共预算收入完成1</w:t>
      </w:r>
      <w:r>
        <w:rPr>
          <w:rFonts w:hint="eastAsia" w:ascii="仿宋_GB2312" w:hAnsi="仿宋_GB2312" w:eastAsia="仿宋_GB2312" w:cs="仿宋_GB2312"/>
          <w:b/>
          <w:bCs/>
          <w:color w:val="auto"/>
          <w:kern w:val="0"/>
          <w:sz w:val="32"/>
          <w:szCs w:val="32"/>
          <w:highlight w:val="none"/>
          <w:lang w:val="en-US" w:eastAsia="zh-CN"/>
        </w:rPr>
        <w:t>12160</w:t>
      </w:r>
      <w:r>
        <w:rPr>
          <w:rFonts w:hint="eastAsia" w:ascii="仿宋_GB2312" w:hAnsi="仿宋_GB2312" w:eastAsia="仿宋_GB2312" w:cs="仿宋_GB2312"/>
          <w:b/>
          <w:bCs/>
          <w:color w:val="auto"/>
          <w:kern w:val="0"/>
          <w:sz w:val="32"/>
          <w:szCs w:val="32"/>
          <w:highlight w:val="none"/>
        </w:rPr>
        <w:t>万元，完成</w:t>
      </w:r>
      <w:r>
        <w:rPr>
          <w:rFonts w:hint="eastAsia" w:ascii="仿宋_GB2312" w:hAnsi="仿宋_GB2312" w:eastAsia="仿宋_GB2312" w:cs="仿宋_GB2312"/>
          <w:b/>
          <w:bCs/>
          <w:color w:val="auto"/>
          <w:kern w:val="0"/>
          <w:sz w:val="32"/>
          <w:szCs w:val="32"/>
          <w:highlight w:val="none"/>
          <w:lang w:val="en-US" w:eastAsia="zh-CN"/>
        </w:rPr>
        <w:t>年初</w:t>
      </w:r>
      <w:r>
        <w:rPr>
          <w:rFonts w:hint="eastAsia" w:ascii="仿宋_GB2312" w:hAnsi="仿宋_GB2312" w:eastAsia="仿宋_GB2312" w:cs="仿宋_GB2312"/>
          <w:b/>
          <w:bCs/>
          <w:color w:val="auto"/>
          <w:kern w:val="0"/>
          <w:sz w:val="32"/>
          <w:szCs w:val="32"/>
          <w:highlight w:val="none"/>
        </w:rPr>
        <w:t>预算的</w:t>
      </w:r>
      <w:r>
        <w:rPr>
          <w:rFonts w:hint="eastAsia" w:ascii="仿宋_GB2312" w:hAnsi="仿宋_GB2312" w:eastAsia="仿宋_GB2312" w:cs="仿宋_GB2312"/>
          <w:b/>
          <w:bCs/>
          <w:color w:val="auto"/>
          <w:kern w:val="0"/>
          <w:sz w:val="32"/>
          <w:szCs w:val="32"/>
          <w:highlight w:val="none"/>
          <w:lang w:val="en-US" w:eastAsia="zh-CN"/>
        </w:rPr>
        <w:t>99.1%</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b/>
          <w:bCs/>
          <w:color w:val="auto"/>
          <w:kern w:val="0"/>
          <w:sz w:val="32"/>
          <w:szCs w:val="32"/>
          <w:highlight w:val="none"/>
          <w:lang w:val="en-US" w:eastAsia="zh-CN"/>
        </w:rPr>
        <w:t>同比</w:t>
      </w:r>
      <w:r>
        <w:rPr>
          <w:rFonts w:hint="eastAsia" w:ascii="仿宋_GB2312" w:hAnsi="仿宋_GB2312" w:eastAsia="仿宋_GB2312" w:cs="仿宋_GB2312"/>
          <w:b/>
          <w:bCs/>
          <w:color w:val="auto"/>
          <w:kern w:val="0"/>
          <w:sz w:val="32"/>
          <w:szCs w:val="32"/>
          <w:highlight w:val="none"/>
        </w:rPr>
        <w:t>增长</w:t>
      </w:r>
      <w:r>
        <w:rPr>
          <w:rFonts w:hint="eastAsia" w:ascii="仿宋_GB2312" w:hAnsi="仿宋_GB2312" w:eastAsia="仿宋_GB2312" w:cs="仿宋_GB2312"/>
          <w:b/>
          <w:bCs/>
          <w:color w:val="auto"/>
          <w:kern w:val="0"/>
          <w:sz w:val="32"/>
          <w:szCs w:val="32"/>
          <w:highlight w:val="none"/>
          <w:lang w:val="en-US" w:eastAsia="zh-CN"/>
        </w:rPr>
        <w:t>3.5</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分项目执行情况是：增值税35%部分</w:t>
      </w:r>
      <w:r>
        <w:rPr>
          <w:rFonts w:hint="eastAsia" w:ascii="仿宋_GB2312" w:hAnsi="仿宋_GB2312" w:eastAsia="仿宋_GB2312" w:cs="仿宋_GB2312"/>
          <w:color w:val="auto"/>
          <w:kern w:val="0"/>
          <w:sz w:val="32"/>
          <w:szCs w:val="32"/>
          <w:highlight w:val="none"/>
          <w:lang w:val="en-US" w:eastAsia="zh-CN"/>
        </w:rPr>
        <w:t>21968</w:t>
      </w:r>
      <w:r>
        <w:rPr>
          <w:rFonts w:hint="eastAsia" w:ascii="仿宋_GB2312" w:hAnsi="仿宋_GB2312" w:eastAsia="仿宋_GB2312" w:cs="仿宋_GB2312"/>
          <w:color w:val="auto"/>
          <w:kern w:val="0"/>
          <w:sz w:val="32"/>
          <w:szCs w:val="32"/>
          <w:highlight w:val="none"/>
        </w:rPr>
        <w:t>万元，企业所得税28%部分</w:t>
      </w:r>
      <w:r>
        <w:rPr>
          <w:rFonts w:hint="eastAsia" w:ascii="仿宋_GB2312" w:hAnsi="仿宋_GB2312" w:eastAsia="仿宋_GB2312" w:cs="仿宋_GB2312"/>
          <w:color w:val="auto"/>
          <w:kern w:val="0"/>
          <w:sz w:val="32"/>
          <w:szCs w:val="32"/>
          <w:highlight w:val="none"/>
          <w:lang w:val="en-US" w:eastAsia="zh-CN"/>
        </w:rPr>
        <w:t>7361</w:t>
      </w:r>
      <w:r>
        <w:rPr>
          <w:rFonts w:hint="eastAsia" w:ascii="仿宋_GB2312" w:hAnsi="仿宋_GB2312" w:eastAsia="仿宋_GB2312" w:cs="仿宋_GB2312"/>
          <w:color w:val="auto"/>
          <w:kern w:val="0"/>
          <w:sz w:val="32"/>
          <w:szCs w:val="32"/>
          <w:highlight w:val="none"/>
        </w:rPr>
        <w:t>万元，五小税</w:t>
      </w:r>
      <w:r>
        <w:rPr>
          <w:rFonts w:hint="eastAsia" w:ascii="仿宋_GB2312" w:hAnsi="仿宋_GB2312" w:eastAsia="仿宋_GB2312" w:cs="仿宋_GB2312"/>
          <w:color w:val="auto"/>
          <w:kern w:val="0"/>
          <w:sz w:val="32"/>
          <w:szCs w:val="32"/>
          <w:highlight w:val="none"/>
          <w:lang w:val="en-US" w:eastAsia="zh-CN"/>
        </w:rPr>
        <w:t>12633</w:t>
      </w:r>
      <w:r>
        <w:rPr>
          <w:rFonts w:hint="eastAsia" w:ascii="仿宋_GB2312" w:hAnsi="仿宋_GB2312" w:eastAsia="仿宋_GB2312" w:cs="仿宋_GB2312"/>
          <w:color w:val="auto"/>
          <w:kern w:val="0"/>
          <w:sz w:val="32"/>
          <w:szCs w:val="32"/>
          <w:highlight w:val="none"/>
        </w:rPr>
        <w:t>万元，个人所得税28%部分</w:t>
      </w:r>
      <w:r>
        <w:rPr>
          <w:rFonts w:hint="eastAsia" w:ascii="仿宋_GB2312" w:hAnsi="仿宋_GB2312" w:eastAsia="仿宋_GB2312" w:cs="仿宋_GB2312"/>
          <w:color w:val="auto"/>
          <w:kern w:val="0"/>
          <w:sz w:val="32"/>
          <w:szCs w:val="32"/>
          <w:highlight w:val="none"/>
          <w:lang w:val="en-US" w:eastAsia="zh-CN"/>
        </w:rPr>
        <w:t>1304</w:t>
      </w:r>
      <w:r>
        <w:rPr>
          <w:rFonts w:hint="eastAsia" w:ascii="仿宋_GB2312" w:hAnsi="仿宋_GB2312" w:eastAsia="仿宋_GB2312" w:cs="仿宋_GB2312"/>
          <w:color w:val="auto"/>
          <w:kern w:val="0"/>
          <w:sz w:val="32"/>
          <w:szCs w:val="32"/>
          <w:highlight w:val="none"/>
        </w:rPr>
        <w:t>万元，城市维护建设税</w:t>
      </w:r>
      <w:r>
        <w:rPr>
          <w:rFonts w:hint="eastAsia" w:ascii="仿宋_GB2312" w:hAnsi="仿宋_GB2312" w:eastAsia="仿宋_GB2312" w:cs="仿宋_GB2312"/>
          <w:color w:val="auto"/>
          <w:kern w:val="0"/>
          <w:sz w:val="32"/>
          <w:szCs w:val="32"/>
          <w:highlight w:val="none"/>
          <w:lang w:val="en-US" w:eastAsia="zh-CN"/>
        </w:rPr>
        <w:t>8450</w:t>
      </w:r>
      <w:r>
        <w:rPr>
          <w:rFonts w:hint="eastAsia" w:ascii="仿宋_GB2312" w:hAnsi="仿宋_GB2312" w:eastAsia="仿宋_GB2312" w:cs="仿宋_GB2312"/>
          <w:color w:val="auto"/>
          <w:kern w:val="0"/>
          <w:sz w:val="32"/>
          <w:szCs w:val="32"/>
          <w:highlight w:val="none"/>
        </w:rPr>
        <w:t>万元，车船税</w:t>
      </w:r>
      <w:r>
        <w:rPr>
          <w:rFonts w:hint="eastAsia" w:ascii="仿宋_GB2312" w:hAnsi="仿宋_GB2312" w:eastAsia="仿宋_GB2312" w:cs="仿宋_GB2312"/>
          <w:color w:val="auto"/>
          <w:kern w:val="0"/>
          <w:sz w:val="32"/>
          <w:szCs w:val="32"/>
          <w:highlight w:val="none"/>
          <w:lang w:val="en-US" w:eastAsia="zh-CN"/>
        </w:rPr>
        <w:t>2972</w:t>
      </w:r>
      <w:r>
        <w:rPr>
          <w:rFonts w:hint="eastAsia" w:ascii="仿宋_GB2312" w:hAnsi="仿宋_GB2312" w:eastAsia="仿宋_GB2312" w:cs="仿宋_GB2312"/>
          <w:color w:val="auto"/>
          <w:kern w:val="0"/>
          <w:sz w:val="32"/>
          <w:szCs w:val="32"/>
          <w:highlight w:val="none"/>
        </w:rPr>
        <w:t>万元，烟叶税</w:t>
      </w:r>
      <w:r>
        <w:rPr>
          <w:rFonts w:hint="eastAsia" w:ascii="仿宋_GB2312" w:hAnsi="仿宋_GB2312" w:eastAsia="仿宋_GB2312" w:cs="仿宋_GB2312"/>
          <w:color w:val="auto"/>
          <w:kern w:val="0"/>
          <w:sz w:val="32"/>
          <w:szCs w:val="32"/>
          <w:highlight w:val="none"/>
          <w:lang w:val="en-US" w:eastAsia="zh-CN"/>
        </w:rPr>
        <w:t>1109</w:t>
      </w:r>
      <w:r>
        <w:rPr>
          <w:rFonts w:hint="eastAsia" w:ascii="仿宋_GB2312" w:hAnsi="仿宋_GB2312" w:eastAsia="仿宋_GB2312" w:cs="仿宋_GB2312"/>
          <w:color w:val="auto"/>
          <w:kern w:val="0"/>
          <w:sz w:val="32"/>
          <w:szCs w:val="32"/>
          <w:highlight w:val="none"/>
        </w:rPr>
        <w:t>万元，耕地占用税</w:t>
      </w:r>
      <w:r>
        <w:rPr>
          <w:rFonts w:hint="eastAsia" w:ascii="仿宋_GB2312" w:hAnsi="仿宋_GB2312" w:eastAsia="仿宋_GB2312" w:cs="仿宋_GB2312"/>
          <w:color w:val="auto"/>
          <w:kern w:val="0"/>
          <w:sz w:val="32"/>
          <w:szCs w:val="32"/>
          <w:highlight w:val="none"/>
          <w:lang w:val="en-US" w:eastAsia="zh-CN"/>
        </w:rPr>
        <w:t>2888</w:t>
      </w:r>
      <w:r>
        <w:rPr>
          <w:rFonts w:hint="eastAsia" w:ascii="仿宋_GB2312" w:hAnsi="仿宋_GB2312" w:eastAsia="仿宋_GB2312" w:cs="仿宋_GB2312"/>
          <w:color w:val="auto"/>
          <w:kern w:val="0"/>
          <w:sz w:val="32"/>
          <w:szCs w:val="32"/>
          <w:highlight w:val="none"/>
        </w:rPr>
        <w:t>万元，契税</w:t>
      </w:r>
      <w:r>
        <w:rPr>
          <w:rFonts w:hint="eastAsia" w:ascii="仿宋_GB2312" w:hAnsi="仿宋_GB2312" w:eastAsia="仿宋_GB2312" w:cs="仿宋_GB2312"/>
          <w:color w:val="auto"/>
          <w:kern w:val="0"/>
          <w:sz w:val="32"/>
          <w:szCs w:val="32"/>
          <w:highlight w:val="none"/>
          <w:lang w:val="en-US" w:eastAsia="zh-CN"/>
        </w:rPr>
        <w:t>7856</w:t>
      </w:r>
      <w:r>
        <w:rPr>
          <w:rFonts w:hint="eastAsia" w:ascii="仿宋_GB2312" w:hAnsi="仿宋_GB2312" w:eastAsia="仿宋_GB2312" w:cs="仿宋_GB2312"/>
          <w:color w:val="auto"/>
          <w:kern w:val="0"/>
          <w:sz w:val="32"/>
          <w:szCs w:val="32"/>
          <w:highlight w:val="none"/>
        </w:rPr>
        <w:t>万元，环境保护税</w:t>
      </w:r>
      <w:r>
        <w:rPr>
          <w:rFonts w:hint="eastAsia" w:ascii="仿宋_GB2312" w:hAnsi="仿宋_GB2312" w:eastAsia="仿宋_GB2312" w:cs="仿宋_GB2312"/>
          <w:color w:val="auto"/>
          <w:kern w:val="0"/>
          <w:sz w:val="32"/>
          <w:szCs w:val="32"/>
          <w:highlight w:val="none"/>
          <w:lang w:val="en-US" w:eastAsia="zh-CN"/>
        </w:rPr>
        <w:t>307</w:t>
      </w:r>
      <w:r>
        <w:rPr>
          <w:rFonts w:hint="eastAsia" w:ascii="仿宋_GB2312" w:hAnsi="仿宋_GB2312" w:eastAsia="仿宋_GB2312" w:cs="仿宋_GB2312"/>
          <w:color w:val="auto"/>
          <w:kern w:val="0"/>
          <w:sz w:val="32"/>
          <w:szCs w:val="32"/>
          <w:highlight w:val="none"/>
        </w:rPr>
        <w:t>万元，其他税收收入</w:t>
      </w:r>
      <w:r>
        <w:rPr>
          <w:rFonts w:hint="eastAsia" w:ascii="仿宋_GB2312" w:hAnsi="仿宋_GB2312" w:eastAsia="仿宋_GB2312" w:cs="仿宋_GB2312"/>
          <w:color w:val="auto"/>
          <w:kern w:val="0"/>
          <w:sz w:val="32"/>
          <w:szCs w:val="32"/>
          <w:highlight w:val="none"/>
          <w:lang w:val="en-US" w:eastAsia="zh-CN"/>
        </w:rPr>
        <w:t>58</w:t>
      </w:r>
      <w:r>
        <w:rPr>
          <w:rFonts w:hint="eastAsia" w:ascii="仿宋_GB2312" w:hAnsi="仿宋_GB2312" w:eastAsia="仿宋_GB2312" w:cs="仿宋_GB2312"/>
          <w:color w:val="auto"/>
          <w:kern w:val="0"/>
          <w:sz w:val="32"/>
          <w:szCs w:val="32"/>
          <w:highlight w:val="none"/>
        </w:rPr>
        <w:t>万元，罚没收入</w:t>
      </w:r>
      <w:r>
        <w:rPr>
          <w:rFonts w:hint="eastAsia" w:ascii="仿宋_GB2312" w:hAnsi="仿宋_GB2312" w:eastAsia="仿宋_GB2312" w:cs="仿宋_GB2312"/>
          <w:color w:val="auto"/>
          <w:kern w:val="0"/>
          <w:sz w:val="32"/>
          <w:szCs w:val="32"/>
          <w:highlight w:val="none"/>
          <w:lang w:val="en-US" w:eastAsia="zh-CN"/>
        </w:rPr>
        <w:t>12504</w:t>
      </w:r>
      <w:r>
        <w:rPr>
          <w:rFonts w:hint="eastAsia" w:ascii="仿宋_GB2312" w:hAnsi="仿宋_GB2312" w:eastAsia="仿宋_GB2312" w:cs="仿宋_GB2312"/>
          <w:color w:val="auto"/>
          <w:kern w:val="0"/>
          <w:sz w:val="32"/>
          <w:szCs w:val="32"/>
          <w:highlight w:val="none"/>
        </w:rPr>
        <w:t>万元，行政事业性收费收入</w:t>
      </w:r>
      <w:r>
        <w:rPr>
          <w:rFonts w:hint="eastAsia" w:ascii="仿宋_GB2312" w:hAnsi="仿宋_GB2312" w:eastAsia="仿宋_GB2312" w:cs="仿宋_GB2312"/>
          <w:color w:val="auto"/>
          <w:kern w:val="0"/>
          <w:sz w:val="32"/>
          <w:szCs w:val="32"/>
          <w:highlight w:val="none"/>
          <w:lang w:val="en-US" w:eastAsia="zh-CN"/>
        </w:rPr>
        <w:t>7311</w:t>
      </w:r>
      <w:r>
        <w:rPr>
          <w:rFonts w:hint="eastAsia" w:ascii="仿宋_GB2312" w:hAnsi="仿宋_GB2312" w:eastAsia="仿宋_GB2312" w:cs="仿宋_GB2312"/>
          <w:color w:val="auto"/>
          <w:kern w:val="0"/>
          <w:sz w:val="32"/>
          <w:szCs w:val="32"/>
          <w:highlight w:val="none"/>
        </w:rPr>
        <w:t>万元，专项收入</w:t>
      </w:r>
      <w:r>
        <w:rPr>
          <w:rFonts w:hint="eastAsia" w:ascii="仿宋_GB2312" w:hAnsi="仿宋_GB2312" w:eastAsia="仿宋_GB2312" w:cs="仿宋_GB2312"/>
          <w:color w:val="auto"/>
          <w:kern w:val="0"/>
          <w:sz w:val="32"/>
          <w:szCs w:val="32"/>
          <w:highlight w:val="none"/>
          <w:lang w:val="en-US" w:eastAsia="zh-CN"/>
        </w:rPr>
        <w:t>4931</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val="en-US" w:eastAsia="zh-CN"/>
        </w:rPr>
        <w:t>政府住房基金收入4260万元，</w:t>
      </w:r>
      <w:r>
        <w:rPr>
          <w:rFonts w:hint="eastAsia" w:ascii="仿宋_GB2312" w:hAnsi="仿宋_GB2312" w:eastAsia="仿宋_GB2312" w:cs="仿宋_GB2312"/>
          <w:color w:val="auto"/>
          <w:kern w:val="0"/>
          <w:sz w:val="32"/>
          <w:szCs w:val="32"/>
          <w:highlight w:val="none"/>
        </w:rPr>
        <w:t>国有资源</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资产</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有偿使用收入</w:t>
      </w:r>
      <w:r>
        <w:rPr>
          <w:rFonts w:hint="eastAsia" w:ascii="仿宋_GB2312" w:hAnsi="仿宋_GB2312" w:eastAsia="仿宋_GB2312" w:cs="仿宋_GB2312"/>
          <w:color w:val="auto"/>
          <w:kern w:val="0"/>
          <w:sz w:val="32"/>
          <w:szCs w:val="32"/>
          <w:highlight w:val="none"/>
          <w:lang w:val="en-US" w:eastAsia="zh-CN"/>
        </w:rPr>
        <w:t>16248</w:t>
      </w:r>
      <w:r>
        <w:rPr>
          <w:rFonts w:hint="eastAsia" w:ascii="仿宋_GB2312" w:hAnsi="仿宋_GB2312" w:eastAsia="仿宋_GB2312" w:cs="仿宋_GB2312"/>
          <w:color w:val="auto"/>
          <w:kern w:val="0"/>
          <w:sz w:val="32"/>
          <w:szCs w:val="32"/>
          <w:highlight w:val="none"/>
        </w:rPr>
        <w:t>万元。</w:t>
      </w:r>
    </w:p>
    <w:p w14:paraId="79B26F2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lang w:eastAsia="zh-CN"/>
        </w:rPr>
        <w:t>202</w:t>
      </w:r>
      <w:r>
        <w:rPr>
          <w:rFonts w:hint="eastAsia" w:ascii="仿宋_GB2312" w:hAnsi="仿宋_GB2312" w:eastAsia="仿宋_GB2312" w:cs="仿宋_GB2312"/>
          <w:b/>
          <w:bCs/>
          <w:color w:val="auto"/>
          <w:kern w:val="0"/>
          <w:sz w:val="32"/>
          <w:szCs w:val="32"/>
          <w:highlight w:val="none"/>
          <w:lang w:val="en-US" w:eastAsia="zh-CN"/>
        </w:rPr>
        <w:t>4</w:t>
      </w:r>
      <w:r>
        <w:rPr>
          <w:rFonts w:hint="eastAsia" w:ascii="仿宋_GB2312" w:hAnsi="仿宋_GB2312" w:eastAsia="仿宋_GB2312" w:cs="仿宋_GB2312"/>
          <w:b/>
          <w:bCs/>
          <w:color w:val="auto"/>
          <w:kern w:val="0"/>
          <w:sz w:val="32"/>
          <w:szCs w:val="32"/>
          <w:highlight w:val="none"/>
          <w:lang w:eastAsia="zh-CN"/>
        </w:rPr>
        <w:t>年</w:t>
      </w:r>
      <w:r>
        <w:rPr>
          <w:rFonts w:hint="eastAsia" w:ascii="仿宋_GB2312" w:hAnsi="仿宋_GB2312" w:eastAsia="仿宋_GB2312" w:cs="仿宋_GB2312"/>
          <w:b/>
          <w:bCs/>
          <w:color w:val="auto"/>
          <w:kern w:val="0"/>
          <w:sz w:val="32"/>
          <w:szCs w:val="32"/>
          <w:highlight w:val="none"/>
        </w:rPr>
        <w:t>，全县一般公共预算支出完成</w:t>
      </w:r>
      <w:r>
        <w:rPr>
          <w:rFonts w:hint="eastAsia" w:ascii="仿宋_GB2312" w:hAnsi="仿宋_GB2312" w:eastAsia="仿宋_GB2312" w:cs="仿宋_GB2312"/>
          <w:b/>
          <w:bCs/>
          <w:color w:val="auto"/>
          <w:kern w:val="0"/>
          <w:sz w:val="32"/>
          <w:szCs w:val="32"/>
          <w:highlight w:val="none"/>
          <w:lang w:val="en-US" w:eastAsia="zh-CN"/>
        </w:rPr>
        <w:t>741777</w:t>
      </w:r>
      <w:r>
        <w:rPr>
          <w:rFonts w:hint="eastAsia" w:ascii="仿宋_GB2312" w:hAnsi="仿宋_GB2312" w:eastAsia="仿宋_GB2312" w:cs="仿宋_GB2312"/>
          <w:b/>
          <w:bCs/>
          <w:color w:val="auto"/>
          <w:kern w:val="0"/>
          <w:sz w:val="32"/>
          <w:szCs w:val="32"/>
          <w:highlight w:val="none"/>
        </w:rPr>
        <w:t>万元</w:t>
      </w:r>
      <w:r>
        <w:rPr>
          <w:rFonts w:hint="eastAsia" w:ascii="楷体" w:hAnsi="楷体" w:eastAsia="楷体" w:cs="楷体"/>
          <w:color w:val="auto"/>
          <w:kern w:val="0"/>
          <w:sz w:val="30"/>
          <w:szCs w:val="30"/>
          <w:highlight w:val="none"/>
          <w:lang w:eastAsia="zh-CN"/>
        </w:rPr>
        <w:t>（</w:t>
      </w:r>
      <w:r>
        <w:rPr>
          <w:rFonts w:hint="eastAsia" w:ascii="楷体" w:hAnsi="楷体" w:eastAsia="楷体" w:cs="楷体"/>
          <w:color w:val="auto"/>
          <w:kern w:val="0"/>
          <w:sz w:val="30"/>
          <w:szCs w:val="30"/>
          <w:highlight w:val="none"/>
          <w:lang w:val="en-US" w:eastAsia="zh-CN"/>
        </w:rPr>
        <w:t>其中：</w:t>
      </w:r>
      <w:r>
        <w:rPr>
          <w:rFonts w:hint="eastAsia" w:ascii="楷体" w:hAnsi="楷体" w:eastAsia="楷体" w:cs="楷体"/>
          <w:color w:val="auto"/>
          <w:kern w:val="0"/>
          <w:sz w:val="30"/>
          <w:szCs w:val="30"/>
          <w:highlight w:val="none"/>
        </w:rPr>
        <w:t>县本级支出</w:t>
      </w:r>
      <w:r>
        <w:rPr>
          <w:rFonts w:hint="eastAsia" w:ascii="宋体" w:hAnsi="宋体" w:eastAsia="楷体" w:cs="楷体"/>
          <w:color w:val="auto"/>
          <w:kern w:val="0"/>
          <w:sz w:val="30"/>
          <w:szCs w:val="30"/>
          <w:highlight w:val="none"/>
          <w:lang w:val="en-US" w:eastAsia="zh-CN"/>
        </w:rPr>
        <w:t>709777</w:t>
      </w:r>
      <w:r>
        <w:rPr>
          <w:rFonts w:hint="eastAsia" w:ascii="楷体" w:hAnsi="楷体" w:eastAsia="楷体" w:cs="楷体"/>
          <w:color w:val="auto"/>
          <w:kern w:val="0"/>
          <w:sz w:val="30"/>
          <w:szCs w:val="30"/>
          <w:highlight w:val="none"/>
        </w:rPr>
        <w:t>万元，乡镇支出</w:t>
      </w:r>
      <w:r>
        <w:rPr>
          <w:rFonts w:hint="eastAsia" w:ascii="宋体" w:hAnsi="宋体" w:eastAsia="楷体" w:cs="楷体"/>
          <w:color w:val="auto"/>
          <w:kern w:val="0"/>
          <w:sz w:val="30"/>
          <w:szCs w:val="30"/>
          <w:highlight w:val="none"/>
          <w:lang w:val="en-US" w:eastAsia="zh-CN"/>
        </w:rPr>
        <w:t>32000</w:t>
      </w:r>
      <w:r>
        <w:rPr>
          <w:rFonts w:hint="eastAsia" w:ascii="楷体" w:hAnsi="楷体" w:eastAsia="楷体" w:cs="楷体"/>
          <w:color w:val="auto"/>
          <w:kern w:val="0"/>
          <w:sz w:val="30"/>
          <w:szCs w:val="30"/>
          <w:highlight w:val="none"/>
        </w:rPr>
        <w:t>万元</w:t>
      </w:r>
      <w:r>
        <w:rPr>
          <w:rFonts w:hint="eastAsia" w:ascii="楷体" w:hAnsi="楷体" w:eastAsia="楷体" w:cs="楷体"/>
          <w:color w:val="auto"/>
          <w:kern w:val="0"/>
          <w:sz w:val="30"/>
          <w:szCs w:val="30"/>
          <w:highlight w:val="none"/>
          <w:lang w:eastAsia="zh-CN"/>
        </w:rPr>
        <w:t>）</w:t>
      </w:r>
      <w:r>
        <w:rPr>
          <w:rFonts w:hint="eastAsia" w:ascii="仿宋_GB2312" w:hAnsi="仿宋_GB2312" w:eastAsia="仿宋_GB2312" w:cs="仿宋_GB2312"/>
          <w:b/>
          <w:bCs/>
          <w:color w:val="auto"/>
          <w:kern w:val="0"/>
          <w:sz w:val="32"/>
          <w:szCs w:val="32"/>
          <w:highlight w:val="none"/>
        </w:rPr>
        <w:t>，完成</w:t>
      </w:r>
      <w:r>
        <w:rPr>
          <w:rFonts w:hint="eastAsia" w:ascii="仿宋_GB2312" w:hAnsi="仿宋_GB2312" w:eastAsia="仿宋_GB2312" w:cs="仿宋_GB2312"/>
          <w:b/>
          <w:bCs/>
          <w:color w:val="auto"/>
          <w:kern w:val="0"/>
          <w:sz w:val="32"/>
          <w:szCs w:val="32"/>
          <w:highlight w:val="none"/>
          <w:lang w:val="en-US" w:eastAsia="zh-CN"/>
        </w:rPr>
        <w:t>年初</w:t>
      </w:r>
      <w:r>
        <w:rPr>
          <w:rFonts w:hint="eastAsia" w:ascii="仿宋_GB2312" w:hAnsi="仿宋_GB2312" w:eastAsia="仿宋_GB2312" w:cs="仿宋_GB2312"/>
          <w:b/>
          <w:bCs/>
          <w:color w:val="auto"/>
          <w:kern w:val="0"/>
          <w:sz w:val="32"/>
          <w:szCs w:val="32"/>
          <w:highlight w:val="none"/>
        </w:rPr>
        <w:t>预算的</w:t>
      </w:r>
      <w:r>
        <w:rPr>
          <w:rFonts w:hint="eastAsia" w:ascii="仿宋_GB2312" w:hAnsi="仿宋_GB2312" w:eastAsia="仿宋_GB2312" w:cs="仿宋_GB2312"/>
          <w:b/>
          <w:bCs/>
          <w:color w:val="auto"/>
          <w:kern w:val="0"/>
          <w:sz w:val="32"/>
          <w:szCs w:val="32"/>
          <w:highlight w:val="none"/>
          <w:lang w:val="en-US" w:eastAsia="zh-CN"/>
        </w:rPr>
        <w:t>123.5</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rPr>
        <w:t>其中</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一般公共服务支出</w:t>
      </w:r>
      <w:r>
        <w:rPr>
          <w:rFonts w:hint="eastAsia" w:ascii="仿宋_GB2312" w:hAnsi="仿宋_GB2312" w:eastAsia="仿宋_GB2312" w:cs="仿宋_GB2312"/>
          <w:color w:val="auto"/>
          <w:kern w:val="0"/>
          <w:sz w:val="32"/>
          <w:szCs w:val="32"/>
          <w:highlight w:val="none"/>
          <w:lang w:val="en-US" w:eastAsia="zh-CN"/>
        </w:rPr>
        <w:t>58230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国防支出</w:t>
      </w:r>
      <w:r>
        <w:rPr>
          <w:rFonts w:hint="eastAsia" w:ascii="仿宋_GB2312" w:hAnsi="仿宋_GB2312" w:eastAsia="仿宋_GB2312" w:cs="仿宋_GB2312"/>
          <w:color w:val="auto"/>
          <w:kern w:val="0"/>
          <w:sz w:val="32"/>
          <w:szCs w:val="32"/>
          <w:highlight w:val="none"/>
          <w:lang w:val="en-US" w:eastAsia="zh-CN"/>
        </w:rPr>
        <w:t>795</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公共安全支出</w:t>
      </w:r>
      <w:r>
        <w:rPr>
          <w:rFonts w:hint="eastAsia" w:ascii="仿宋_GB2312" w:hAnsi="仿宋_GB2312" w:eastAsia="仿宋_GB2312" w:cs="仿宋_GB2312"/>
          <w:color w:val="auto"/>
          <w:kern w:val="0"/>
          <w:sz w:val="32"/>
          <w:szCs w:val="32"/>
          <w:highlight w:val="none"/>
          <w:lang w:val="en-US" w:eastAsia="zh-CN"/>
        </w:rPr>
        <w:t>15588</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教育支出</w:t>
      </w:r>
      <w:r>
        <w:rPr>
          <w:rFonts w:hint="eastAsia" w:ascii="仿宋_GB2312" w:hAnsi="仿宋_GB2312" w:eastAsia="仿宋_GB2312" w:cs="仿宋_GB2312"/>
          <w:color w:val="auto"/>
          <w:kern w:val="0"/>
          <w:sz w:val="32"/>
          <w:szCs w:val="32"/>
          <w:highlight w:val="none"/>
          <w:lang w:val="en-US" w:eastAsia="zh-CN"/>
        </w:rPr>
        <w:t>182105</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科学技术支出</w:t>
      </w:r>
      <w:r>
        <w:rPr>
          <w:rFonts w:hint="eastAsia" w:ascii="仿宋_GB2312" w:hAnsi="仿宋_GB2312" w:eastAsia="仿宋_GB2312" w:cs="仿宋_GB2312"/>
          <w:color w:val="auto"/>
          <w:kern w:val="0"/>
          <w:sz w:val="32"/>
          <w:szCs w:val="32"/>
          <w:highlight w:val="none"/>
          <w:lang w:val="en-US" w:eastAsia="zh-CN"/>
        </w:rPr>
        <w:t>26764</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文化旅游体育与传媒支出</w:t>
      </w:r>
      <w:r>
        <w:rPr>
          <w:rFonts w:hint="eastAsia" w:ascii="仿宋_GB2312" w:hAnsi="仿宋_GB2312" w:eastAsia="仿宋_GB2312" w:cs="仿宋_GB2312"/>
          <w:color w:val="auto"/>
          <w:kern w:val="0"/>
          <w:sz w:val="32"/>
          <w:szCs w:val="32"/>
          <w:highlight w:val="none"/>
          <w:lang w:val="en-US" w:eastAsia="zh-CN"/>
        </w:rPr>
        <w:t>7341</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社会保障和就业支出</w:t>
      </w:r>
      <w:r>
        <w:rPr>
          <w:rFonts w:hint="eastAsia" w:ascii="仿宋_GB2312" w:hAnsi="仿宋_GB2312" w:eastAsia="仿宋_GB2312" w:cs="仿宋_GB2312"/>
          <w:color w:val="auto"/>
          <w:kern w:val="0"/>
          <w:sz w:val="32"/>
          <w:szCs w:val="32"/>
          <w:highlight w:val="none"/>
          <w:lang w:val="en-US" w:eastAsia="zh-CN"/>
        </w:rPr>
        <w:t>124589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卫生健康支出</w:t>
      </w:r>
      <w:r>
        <w:rPr>
          <w:rFonts w:hint="eastAsia" w:ascii="仿宋_GB2312" w:hAnsi="仿宋_GB2312" w:eastAsia="仿宋_GB2312" w:cs="仿宋_GB2312"/>
          <w:color w:val="auto"/>
          <w:kern w:val="0"/>
          <w:sz w:val="32"/>
          <w:szCs w:val="32"/>
          <w:highlight w:val="none"/>
          <w:lang w:val="en-US" w:eastAsia="zh-CN"/>
        </w:rPr>
        <w:t>45141</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节能</w:t>
      </w:r>
      <w:bookmarkStart w:id="0" w:name="_GoBack"/>
      <w:bookmarkEnd w:id="0"/>
      <w:r>
        <w:rPr>
          <w:rFonts w:hint="eastAsia" w:ascii="仿宋_GB2312" w:hAnsi="仿宋_GB2312" w:eastAsia="仿宋_GB2312" w:cs="仿宋_GB2312"/>
          <w:color w:val="auto"/>
          <w:kern w:val="0"/>
          <w:sz w:val="32"/>
          <w:szCs w:val="32"/>
          <w:highlight w:val="none"/>
        </w:rPr>
        <w:t>环保支出</w:t>
      </w:r>
      <w:r>
        <w:rPr>
          <w:rFonts w:hint="eastAsia" w:ascii="仿宋_GB2312" w:hAnsi="仿宋_GB2312" w:eastAsia="仿宋_GB2312" w:cs="仿宋_GB2312"/>
          <w:color w:val="auto"/>
          <w:kern w:val="0"/>
          <w:sz w:val="32"/>
          <w:szCs w:val="32"/>
          <w:highlight w:val="none"/>
          <w:lang w:val="en-US" w:eastAsia="zh-CN"/>
        </w:rPr>
        <w:t>12674</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城乡社区支出</w:t>
      </w:r>
      <w:r>
        <w:rPr>
          <w:rFonts w:hint="eastAsia" w:ascii="仿宋_GB2312" w:hAnsi="仿宋_GB2312" w:eastAsia="仿宋_GB2312" w:cs="仿宋_GB2312"/>
          <w:color w:val="auto"/>
          <w:kern w:val="0"/>
          <w:sz w:val="32"/>
          <w:szCs w:val="32"/>
          <w:highlight w:val="none"/>
          <w:lang w:val="en-US" w:eastAsia="zh-CN"/>
        </w:rPr>
        <w:t>17429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农林水支出</w:t>
      </w:r>
      <w:r>
        <w:rPr>
          <w:rFonts w:hint="eastAsia" w:ascii="仿宋_GB2312" w:hAnsi="仿宋_GB2312" w:eastAsia="仿宋_GB2312" w:cs="仿宋_GB2312"/>
          <w:color w:val="auto"/>
          <w:kern w:val="0"/>
          <w:sz w:val="32"/>
          <w:szCs w:val="32"/>
          <w:highlight w:val="none"/>
          <w:lang w:val="en-US" w:eastAsia="zh-CN"/>
        </w:rPr>
        <w:t>142578</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楷体" w:hAnsi="楷体" w:eastAsia="楷体" w:cs="楷体"/>
          <w:color w:val="auto"/>
          <w:kern w:val="0"/>
          <w:sz w:val="30"/>
          <w:szCs w:val="30"/>
          <w:highlight w:val="none"/>
        </w:rPr>
        <w:t>其中</w:t>
      </w:r>
      <w:r>
        <w:rPr>
          <w:rFonts w:hint="eastAsia" w:ascii="楷体" w:hAnsi="楷体" w:eastAsia="楷体" w:cs="楷体"/>
          <w:color w:val="auto"/>
          <w:kern w:val="0"/>
          <w:sz w:val="30"/>
          <w:szCs w:val="30"/>
          <w:highlight w:val="none"/>
          <w:lang w:eastAsia="zh-CN"/>
        </w:rPr>
        <w:t>：</w:t>
      </w:r>
      <w:r>
        <w:rPr>
          <w:rFonts w:hint="eastAsia" w:ascii="楷体" w:hAnsi="楷体" w:eastAsia="楷体" w:cs="楷体"/>
          <w:color w:val="auto"/>
          <w:kern w:val="0"/>
          <w:sz w:val="30"/>
          <w:szCs w:val="30"/>
          <w:highlight w:val="none"/>
        </w:rPr>
        <w:t>县本级支出</w:t>
      </w:r>
      <w:r>
        <w:rPr>
          <w:rFonts w:hint="eastAsia" w:ascii="楷体" w:hAnsi="楷体" w:eastAsia="楷体" w:cs="楷体"/>
          <w:color w:val="auto"/>
          <w:kern w:val="0"/>
          <w:sz w:val="30"/>
          <w:szCs w:val="30"/>
          <w:highlight w:val="none"/>
          <w:lang w:val="en-US" w:eastAsia="zh-CN"/>
        </w:rPr>
        <w:t>110578</w:t>
      </w:r>
      <w:r>
        <w:rPr>
          <w:rFonts w:hint="eastAsia" w:ascii="楷体" w:hAnsi="楷体" w:eastAsia="楷体" w:cs="楷体"/>
          <w:color w:val="auto"/>
          <w:kern w:val="0"/>
          <w:sz w:val="30"/>
          <w:szCs w:val="30"/>
          <w:highlight w:val="none"/>
        </w:rPr>
        <w:t>万元，乡镇支出</w:t>
      </w:r>
      <w:r>
        <w:rPr>
          <w:rFonts w:hint="eastAsia" w:ascii="楷体" w:hAnsi="楷体" w:eastAsia="楷体" w:cs="楷体"/>
          <w:color w:val="auto"/>
          <w:kern w:val="0"/>
          <w:sz w:val="30"/>
          <w:szCs w:val="30"/>
          <w:highlight w:val="none"/>
          <w:lang w:val="en-US" w:eastAsia="zh-CN"/>
        </w:rPr>
        <w:t>32000</w:t>
      </w:r>
      <w:r>
        <w:rPr>
          <w:rFonts w:hint="eastAsia" w:ascii="楷体" w:hAnsi="楷体" w:eastAsia="楷体" w:cs="楷体"/>
          <w:color w:val="auto"/>
          <w:kern w:val="0"/>
          <w:sz w:val="30"/>
          <w:szCs w:val="30"/>
          <w:highlight w:val="none"/>
        </w:rPr>
        <w:t>万元</w:t>
      </w:r>
      <w:r>
        <w:rPr>
          <w:rFonts w:hint="eastAsia" w:ascii="楷体" w:hAnsi="楷体" w:eastAsia="楷体" w:cs="楷体"/>
          <w:color w:val="auto"/>
          <w:kern w:val="0"/>
          <w:sz w:val="30"/>
          <w:szCs w:val="30"/>
          <w:highlight w:val="none"/>
          <w:lang w:eastAsia="zh-CN"/>
        </w:rPr>
        <w:t>）</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交通运输支出</w:t>
      </w:r>
      <w:r>
        <w:rPr>
          <w:rFonts w:hint="eastAsia" w:ascii="仿宋_GB2312" w:hAnsi="仿宋_GB2312" w:eastAsia="仿宋_GB2312" w:cs="仿宋_GB2312"/>
          <w:color w:val="auto"/>
          <w:kern w:val="0"/>
          <w:sz w:val="32"/>
          <w:szCs w:val="32"/>
          <w:highlight w:val="none"/>
          <w:lang w:val="en-US" w:eastAsia="zh-CN"/>
        </w:rPr>
        <w:t>61059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资源勘探工业信息等支出</w:t>
      </w:r>
      <w:r>
        <w:rPr>
          <w:rFonts w:hint="eastAsia" w:ascii="仿宋_GB2312" w:hAnsi="仿宋_GB2312" w:eastAsia="仿宋_GB2312" w:cs="仿宋_GB2312"/>
          <w:color w:val="auto"/>
          <w:kern w:val="0"/>
          <w:sz w:val="32"/>
          <w:szCs w:val="32"/>
          <w:highlight w:val="none"/>
          <w:lang w:val="en-US" w:eastAsia="zh-CN"/>
        </w:rPr>
        <w:t>2599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商业服务业等支出</w:t>
      </w:r>
      <w:r>
        <w:rPr>
          <w:rFonts w:hint="eastAsia" w:ascii="仿宋_GB2312" w:hAnsi="仿宋_GB2312" w:eastAsia="仿宋_GB2312" w:cs="仿宋_GB2312"/>
          <w:color w:val="auto"/>
          <w:kern w:val="0"/>
          <w:sz w:val="32"/>
          <w:szCs w:val="32"/>
          <w:highlight w:val="none"/>
          <w:lang w:val="en-US" w:eastAsia="zh-CN"/>
        </w:rPr>
        <w:t>780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金融支出</w:t>
      </w:r>
      <w:r>
        <w:rPr>
          <w:rFonts w:hint="eastAsia" w:ascii="仿宋_GB2312" w:hAnsi="仿宋_GB2312" w:eastAsia="仿宋_GB2312" w:cs="仿宋_GB2312"/>
          <w:color w:val="auto"/>
          <w:kern w:val="0"/>
          <w:sz w:val="32"/>
          <w:szCs w:val="32"/>
          <w:highlight w:val="none"/>
          <w:lang w:val="en-US" w:eastAsia="zh-CN"/>
        </w:rPr>
        <w:t>2197</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自然资源海洋气象等支出</w:t>
      </w:r>
      <w:r>
        <w:rPr>
          <w:rFonts w:hint="eastAsia" w:ascii="仿宋_GB2312" w:hAnsi="仿宋_GB2312" w:eastAsia="仿宋_GB2312" w:cs="仿宋_GB2312"/>
          <w:color w:val="auto"/>
          <w:kern w:val="0"/>
          <w:sz w:val="32"/>
          <w:szCs w:val="32"/>
          <w:highlight w:val="none"/>
          <w:lang w:val="en-US" w:eastAsia="zh-CN"/>
        </w:rPr>
        <w:t>7365</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住房保障支出</w:t>
      </w:r>
      <w:r>
        <w:rPr>
          <w:rFonts w:hint="eastAsia" w:ascii="仿宋_GB2312" w:hAnsi="仿宋_GB2312" w:eastAsia="仿宋_GB2312" w:cs="仿宋_GB2312"/>
          <w:color w:val="auto"/>
          <w:kern w:val="0"/>
          <w:sz w:val="32"/>
          <w:szCs w:val="32"/>
          <w:highlight w:val="none"/>
          <w:lang w:val="en-US" w:eastAsia="zh-CN"/>
        </w:rPr>
        <w:t>16140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粮油物资储备支出</w:t>
      </w:r>
      <w:r>
        <w:rPr>
          <w:rFonts w:hint="eastAsia" w:ascii="仿宋_GB2312" w:hAnsi="仿宋_GB2312" w:eastAsia="仿宋_GB2312" w:cs="仿宋_GB2312"/>
          <w:color w:val="auto"/>
          <w:kern w:val="0"/>
          <w:sz w:val="32"/>
          <w:szCs w:val="32"/>
          <w:highlight w:val="none"/>
          <w:lang w:val="en-US" w:eastAsia="zh-CN"/>
        </w:rPr>
        <w:t>136</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灾害防治及应急管理支出</w:t>
      </w:r>
      <w:r>
        <w:rPr>
          <w:rFonts w:hint="eastAsia" w:ascii="仿宋_GB2312" w:hAnsi="仿宋_GB2312" w:eastAsia="仿宋_GB2312" w:cs="仿宋_GB2312"/>
          <w:color w:val="auto"/>
          <w:kern w:val="0"/>
          <w:sz w:val="32"/>
          <w:szCs w:val="32"/>
          <w:highlight w:val="none"/>
          <w:lang w:val="en-US" w:eastAsia="zh-CN"/>
        </w:rPr>
        <w:t>8338</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债务付息支出</w:t>
      </w:r>
      <w:r>
        <w:rPr>
          <w:rFonts w:hint="eastAsia" w:ascii="仿宋_GB2312" w:hAnsi="仿宋_GB2312" w:eastAsia="仿宋_GB2312" w:cs="仿宋_GB2312"/>
          <w:color w:val="auto"/>
          <w:kern w:val="0"/>
          <w:sz w:val="32"/>
          <w:szCs w:val="32"/>
          <w:highlight w:val="none"/>
          <w:lang w:val="en-US" w:eastAsia="zh-CN"/>
        </w:rPr>
        <w:t>8509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其他支出1390万元，债务发行费用支出30万元</w:t>
      </w:r>
      <w:r>
        <w:rPr>
          <w:rFonts w:hint="eastAsia" w:ascii="仿宋_GB2312" w:hAnsi="仿宋_GB2312" w:eastAsia="仿宋_GB2312" w:cs="仿宋_GB2312"/>
          <w:color w:val="auto"/>
          <w:kern w:val="0"/>
          <w:sz w:val="32"/>
          <w:szCs w:val="32"/>
          <w:highlight w:val="none"/>
        </w:rPr>
        <w:t>。</w:t>
      </w:r>
    </w:p>
    <w:p w14:paraId="0F648BF8">
      <w:pPr>
        <w:keepNext w:val="0"/>
        <w:keepLines w:val="0"/>
        <w:pageBreakBefore w:val="0"/>
        <w:kinsoku/>
        <w:wordWrap/>
        <w:overflowPunct/>
        <w:topLinePunct w:val="0"/>
        <w:autoSpaceDE/>
        <w:autoSpaceDN/>
        <w:bidi w:val="0"/>
        <w:adjustRightInd/>
        <w:snapToGrid/>
        <w:spacing w:line="560" w:lineRule="exact"/>
        <w:ind w:firstLine="643" w:firstLineChars="200"/>
        <w:rPr>
          <w:rFonts w:ascii="仿宋_GB2312" w:hAnsi="仿宋_GB2312" w:eastAsia="仿宋_GB2312" w:cs="仿宋_GB2312"/>
          <w:color w:val="auto"/>
          <w:kern w:val="0"/>
          <w:sz w:val="32"/>
          <w:szCs w:val="32"/>
          <w:highlight w:val="yellow"/>
        </w:rPr>
      </w:pPr>
      <w:r>
        <w:rPr>
          <w:rFonts w:hint="eastAsia" w:ascii="仿宋_GB2312" w:hAnsi="仿宋_GB2312" w:eastAsia="仿宋_GB2312" w:cs="仿宋_GB2312"/>
          <w:b/>
          <w:bCs/>
          <w:color w:val="auto"/>
          <w:kern w:val="0"/>
          <w:sz w:val="32"/>
          <w:szCs w:val="32"/>
          <w:highlight w:val="none"/>
        </w:rPr>
        <w:t>收支平衡情况：</w:t>
      </w:r>
      <w:r>
        <w:rPr>
          <w:rFonts w:hint="eastAsia" w:ascii="仿宋_GB2312" w:hAnsi="仿宋_GB2312" w:eastAsia="仿宋_GB2312" w:cs="仿宋_GB2312"/>
          <w:color w:val="auto"/>
          <w:kern w:val="0"/>
          <w:sz w:val="32"/>
          <w:szCs w:val="32"/>
          <w:highlight w:val="none"/>
          <w:lang w:eastAsia="zh-CN"/>
        </w:rPr>
        <w:t>202</w:t>
      </w:r>
      <w:r>
        <w:rPr>
          <w:rFonts w:hint="eastAsia" w:ascii="仿宋_GB2312" w:hAnsi="仿宋_GB2312" w:eastAsia="仿宋_GB2312" w:cs="仿宋_GB2312"/>
          <w:color w:val="auto"/>
          <w:kern w:val="0"/>
          <w:sz w:val="32"/>
          <w:szCs w:val="32"/>
          <w:highlight w:val="none"/>
          <w:lang w:val="en-US" w:eastAsia="zh-CN"/>
        </w:rPr>
        <w:t>4</w:t>
      </w:r>
      <w:r>
        <w:rPr>
          <w:rFonts w:hint="eastAsia" w:ascii="仿宋_GB2312" w:hAnsi="仿宋_GB2312" w:eastAsia="仿宋_GB2312" w:cs="仿宋_GB2312"/>
          <w:color w:val="auto"/>
          <w:kern w:val="0"/>
          <w:sz w:val="32"/>
          <w:szCs w:val="32"/>
          <w:highlight w:val="none"/>
          <w:lang w:eastAsia="zh-CN"/>
        </w:rPr>
        <w:t>年，</w:t>
      </w:r>
      <w:r>
        <w:rPr>
          <w:rFonts w:hint="eastAsia" w:ascii="仿宋_GB2312" w:hAnsi="仿宋_GB2312" w:eastAsia="仿宋_GB2312" w:cs="仿宋_GB2312"/>
          <w:color w:val="auto"/>
          <w:kern w:val="0"/>
          <w:sz w:val="32"/>
          <w:szCs w:val="32"/>
          <w:highlight w:val="none"/>
        </w:rPr>
        <w:t>全县一般公共预算收入</w:t>
      </w:r>
      <w:r>
        <w:rPr>
          <w:rFonts w:hint="eastAsia" w:ascii="仿宋_GB2312" w:hAnsi="仿宋_GB2312" w:eastAsia="仿宋_GB2312" w:cs="仿宋_GB2312"/>
          <w:color w:val="auto"/>
          <w:kern w:val="0"/>
          <w:sz w:val="32"/>
          <w:szCs w:val="32"/>
          <w:highlight w:val="none"/>
          <w:lang w:val="en-US" w:eastAsia="zh-CN"/>
        </w:rPr>
        <w:t>112160</w:t>
      </w:r>
      <w:r>
        <w:rPr>
          <w:rFonts w:hint="eastAsia" w:ascii="仿宋_GB2312" w:hAnsi="仿宋_GB2312" w:eastAsia="仿宋_GB2312" w:cs="仿宋_GB2312"/>
          <w:color w:val="auto"/>
          <w:kern w:val="0"/>
          <w:sz w:val="32"/>
          <w:szCs w:val="32"/>
          <w:highlight w:val="none"/>
        </w:rPr>
        <w:t>万元，加上上级补助收入</w:t>
      </w:r>
      <w:r>
        <w:rPr>
          <w:rFonts w:hint="eastAsia" w:ascii="仿宋_GB2312" w:hAnsi="仿宋_GB2312" w:eastAsia="仿宋_GB2312" w:cs="仿宋_GB2312"/>
          <w:color w:val="auto"/>
          <w:kern w:val="0"/>
          <w:sz w:val="32"/>
          <w:szCs w:val="32"/>
          <w:highlight w:val="none"/>
          <w:lang w:val="en-US" w:eastAsia="zh-CN"/>
        </w:rPr>
        <w:t>604162</w:t>
      </w:r>
      <w:r>
        <w:rPr>
          <w:rFonts w:hint="eastAsia" w:ascii="仿宋_GB2312" w:hAnsi="仿宋_GB2312" w:eastAsia="仿宋_GB2312" w:cs="仿宋_GB2312"/>
          <w:color w:val="auto"/>
          <w:kern w:val="0"/>
          <w:sz w:val="32"/>
          <w:szCs w:val="32"/>
          <w:highlight w:val="none"/>
        </w:rPr>
        <w:t>万元、地方政府</w:t>
      </w:r>
      <w:r>
        <w:rPr>
          <w:rFonts w:hint="eastAsia" w:ascii="仿宋_GB2312" w:hAnsi="仿宋_GB2312" w:eastAsia="仿宋_GB2312" w:cs="仿宋_GB2312"/>
          <w:color w:val="auto"/>
          <w:kern w:val="0"/>
          <w:sz w:val="32"/>
          <w:szCs w:val="32"/>
          <w:highlight w:val="none"/>
          <w:lang w:val="en-US" w:eastAsia="zh-CN"/>
        </w:rPr>
        <w:t>一般</w:t>
      </w:r>
      <w:r>
        <w:rPr>
          <w:rFonts w:hint="eastAsia" w:ascii="仿宋_GB2312" w:hAnsi="仿宋_GB2312" w:eastAsia="仿宋_GB2312" w:cs="仿宋_GB2312"/>
          <w:color w:val="auto"/>
          <w:kern w:val="0"/>
          <w:sz w:val="32"/>
          <w:szCs w:val="32"/>
          <w:highlight w:val="none"/>
        </w:rPr>
        <w:t>债券</w:t>
      </w:r>
      <w:r>
        <w:rPr>
          <w:rFonts w:hint="eastAsia" w:ascii="仿宋_GB2312" w:hAnsi="仿宋_GB2312" w:eastAsia="仿宋_GB2312" w:cs="仿宋_GB2312"/>
          <w:color w:val="auto"/>
          <w:kern w:val="0"/>
          <w:sz w:val="32"/>
          <w:szCs w:val="32"/>
          <w:highlight w:val="none"/>
          <w:lang w:val="en-US" w:eastAsia="zh-CN"/>
        </w:rPr>
        <w:t>转贷</w:t>
      </w:r>
      <w:r>
        <w:rPr>
          <w:rFonts w:hint="eastAsia" w:ascii="仿宋_GB2312" w:hAnsi="仿宋_GB2312" w:eastAsia="仿宋_GB2312" w:cs="仿宋_GB2312"/>
          <w:color w:val="auto"/>
          <w:kern w:val="0"/>
          <w:sz w:val="32"/>
          <w:szCs w:val="32"/>
          <w:highlight w:val="none"/>
        </w:rPr>
        <w:t>收入</w:t>
      </w:r>
      <w:r>
        <w:rPr>
          <w:rFonts w:hint="eastAsia" w:ascii="仿宋_GB2312" w:hAnsi="仿宋_GB2312" w:eastAsia="仿宋_GB2312" w:cs="仿宋_GB2312"/>
          <w:color w:val="auto"/>
          <w:kern w:val="0"/>
          <w:sz w:val="32"/>
          <w:szCs w:val="32"/>
          <w:highlight w:val="none"/>
          <w:lang w:val="en-US" w:eastAsia="zh-CN"/>
        </w:rPr>
        <w:t>33932</w:t>
      </w:r>
      <w:r>
        <w:rPr>
          <w:rFonts w:hint="eastAsia" w:ascii="仿宋_GB2312" w:hAnsi="仿宋_GB2312" w:eastAsia="仿宋_GB2312" w:cs="仿宋_GB2312"/>
          <w:color w:val="auto"/>
          <w:kern w:val="0"/>
          <w:sz w:val="32"/>
          <w:szCs w:val="32"/>
          <w:highlight w:val="none"/>
        </w:rPr>
        <w:t>万元、上年结余</w:t>
      </w:r>
      <w:r>
        <w:rPr>
          <w:rFonts w:hint="eastAsia" w:ascii="仿宋_GB2312" w:hAnsi="仿宋_GB2312" w:eastAsia="仿宋_GB2312" w:cs="仿宋_GB2312"/>
          <w:color w:val="auto"/>
          <w:kern w:val="0"/>
          <w:sz w:val="32"/>
          <w:szCs w:val="32"/>
          <w:highlight w:val="none"/>
          <w:lang w:val="en-US" w:eastAsia="zh-CN"/>
        </w:rPr>
        <w:t>3153</w:t>
      </w:r>
      <w:r>
        <w:rPr>
          <w:rFonts w:hint="eastAsia" w:ascii="仿宋_GB2312" w:hAnsi="仿宋_GB2312" w:eastAsia="仿宋_GB2312" w:cs="仿宋_GB2312"/>
          <w:color w:val="auto"/>
          <w:kern w:val="0"/>
          <w:sz w:val="32"/>
          <w:szCs w:val="32"/>
          <w:highlight w:val="none"/>
        </w:rPr>
        <w:t>万元、调入国有资本经营</w:t>
      </w:r>
      <w:r>
        <w:rPr>
          <w:rFonts w:hint="eastAsia" w:ascii="仿宋_GB2312" w:hAnsi="仿宋_GB2312" w:eastAsia="仿宋_GB2312" w:cs="仿宋_GB2312"/>
          <w:color w:val="auto"/>
          <w:kern w:val="0"/>
          <w:sz w:val="32"/>
          <w:szCs w:val="32"/>
          <w:highlight w:val="none"/>
          <w:lang w:val="en-US" w:eastAsia="zh-CN"/>
        </w:rPr>
        <w:t>预算资金8514</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调入存量资金18101万元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一般公共预算收入总计</w:t>
      </w:r>
      <w:r>
        <w:rPr>
          <w:rFonts w:hint="eastAsia" w:ascii="仿宋_GB2312" w:hAnsi="仿宋_GB2312" w:eastAsia="仿宋_GB2312" w:cs="仿宋_GB2312"/>
          <w:color w:val="auto"/>
          <w:kern w:val="0"/>
          <w:sz w:val="32"/>
          <w:szCs w:val="32"/>
          <w:highlight w:val="none"/>
          <w:lang w:val="en-US" w:eastAsia="zh-CN"/>
        </w:rPr>
        <w:t>780022</w:t>
      </w:r>
      <w:r>
        <w:rPr>
          <w:rFonts w:hint="eastAsia" w:ascii="仿宋_GB2312" w:hAnsi="仿宋_GB2312" w:eastAsia="仿宋_GB2312" w:cs="仿宋_GB2312"/>
          <w:color w:val="auto"/>
          <w:kern w:val="0"/>
          <w:sz w:val="32"/>
          <w:szCs w:val="32"/>
          <w:highlight w:val="none"/>
        </w:rPr>
        <w:t>万元。</w:t>
      </w:r>
    </w:p>
    <w:p w14:paraId="068998E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20</w:t>
      </w:r>
      <w:r>
        <w:rPr>
          <w:rFonts w:hint="eastAsia" w:ascii="仿宋_GB2312" w:hAnsi="仿宋_GB2312" w:eastAsia="仿宋_GB2312" w:cs="仿宋_GB2312"/>
          <w:color w:val="auto"/>
          <w:kern w:val="0"/>
          <w:sz w:val="32"/>
          <w:szCs w:val="32"/>
          <w:highlight w:val="none"/>
          <w:lang w:val="en-US" w:eastAsia="zh-CN"/>
        </w:rPr>
        <w:t>24</w:t>
      </w:r>
      <w:r>
        <w:rPr>
          <w:rFonts w:hint="eastAsia" w:ascii="仿宋_GB2312" w:hAnsi="仿宋_GB2312" w:eastAsia="仿宋_GB2312" w:cs="仿宋_GB2312"/>
          <w:color w:val="auto"/>
          <w:kern w:val="0"/>
          <w:sz w:val="32"/>
          <w:szCs w:val="32"/>
          <w:highlight w:val="none"/>
          <w:lang w:eastAsia="zh-CN"/>
        </w:rPr>
        <w:t>年</w:t>
      </w:r>
      <w:r>
        <w:rPr>
          <w:rFonts w:hint="eastAsia" w:ascii="仿宋_GB2312" w:hAnsi="仿宋_GB2312" w:eastAsia="仿宋_GB2312" w:cs="仿宋_GB2312"/>
          <w:color w:val="auto"/>
          <w:kern w:val="0"/>
          <w:sz w:val="32"/>
          <w:szCs w:val="32"/>
          <w:highlight w:val="none"/>
        </w:rPr>
        <w:t>，全县一般公共预算支出</w:t>
      </w:r>
      <w:r>
        <w:rPr>
          <w:rFonts w:hint="eastAsia" w:ascii="仿宋_GB2312" w:hAnsi="仿宋_GB2312" w:eastAsia="仿宋_GB2312" w:cs="仿宋_GB2312"/>
          <w:color w:val="auto"/>
          <w:kern w:val="0"/>
          <w:sz w:val="32"/>
          <w:szCs w:val="32"/>
          <w:highlight w:val="none"/>
          <w:lang w:val="en-US" w:eastAsia="zh-CN"/>
        </w:rPr>
        <w:t>741777</w:t>
      </w:r>
      <w:r>
        <w:rPr>
          <w:rFonts w:hint="eastAsia" w:ascii="仿宋_GB2312" w:hAnsi="仿宋_GB2312" w:eastAsia="仿宋_GB2312" w:cs="仿宋_GB2312"/>
          <w:color w:val="auto"/>
          <w:kern w:val="0"/>
          <w:sz w:val="32"/>
          <w:szCs w:val="32"/>
          <w:highlight w:val="none"/>
        </w:rPr>
        <w:t>万元，加上上解支出</w:t>
      </w:r>
      <w:r>
        <w:rPr>
          <w:rFonts w:hint="eastAsia" w:ascii="仿宋_GB2312" w:hAnsi="仿宋_GB2312" w:eastAsia="仿宋_GB2312" w:cs="仿宋_GB2312"/>
          <w:color w:val="auto"/>
          <w:kern w:val="0"/>
          <w:sz w:val="32"/>
          <w:szCs w:val="32"/>
          <w:highlight w:val="none"/>
          <w:lang w:val="en-US" w:eastAsia="zh-CN"/>
        </w:rPr>
        <w:t>15000</w:t>
      </w:r>
      <w:r>
        <w:rPr>
          <w:rFonts w:hint="eastAsia" w:ascii="仿宋_GB2312" w:hAnsi="仿宋_GB2312" w:eastAsia="仿宋_GB2312" w:cs="仿宋_GB2312"/>
          <w:color w:val="auto"/>
          <w:kern w:val="0"/>
          <w:sz w:val="32"/>
          <w:szCs w:val="32"/>
          <w:highlight w:val="none"/>
        </w:rPr>
        <w:t>万元、债务还本支出1</w:t>
      </w:r>
      <w:r>
        <w:rPr>
          <w:rFonts w:hint="eastAsia" w:ascii="仿宋_GB2312" w:hAnsi="仿宋_GB2312" w:eastAsia="仿宋_GB2312" w:cs="仿宋_GB2312"/>
          <w:color w:val="auto"/>
          <w:kern w:val="0"/>
          <w:sz w:val="32"/>
          <w:szCs w:val="32"/>
          <w:highlight w:val="none"/>
          <w:lang w:val="en-US" w:eastAsia="zh-CN"/>
        </w:rPr>
        <w:t>7543</w:t>
      </w:r>
      <w:r>
        <w:rPr>
          <w:rFonts w:hint="eastAsia" w:ascii="仿宋_GB2312" w:hAnsi="仿宋_GB2312" w:eastAsia="仿宋_GB2312" w:cs="仿宋_GB2312"/>
          <w:color w:val="auto"/>
          <w:kern w:val="0"/>
          <w:sz w:val="32"/>
          <w:szCs w:val="32"/>
          <w:highlight w:val="none"/>
        </w:rPr>
        <w:t>万元，一般公共预算支出总计</w:t>
      </w:r>
      <w:r>
        <w:rPr>
          <w:rFonts w:hint="eastAsia" w:ascii="仿宋_GB2312" w:hAnsi="仿宋_GB2312" w:eastAsia="仿宋_GB2312" w:cs="仿宋_GB2312"/>
          <w:color w:val="auto"/>
          <w:kern w:val="0"/>
          <w:sz w:val="32"/>
          <w:szCs w:val="32"/>
          <w:highlight w:val="none"/>
          <w:lang w:val="en-US" w:eastAsia="zh-CN"/>
        </w:rPr>
        <w:t>774320</w:t>
      </w:r>
      <w:r>
        <w:rPr>
          <w:rFonts w:hint="eastAsia" w:ascii="仿宋_GB2312" w:hAnsi="仿宋_GB2312" w:eastAsia="仿宋_GB2312" w:cs="仿宋_GB2312"/>
          <w:color w:val="auto"/>
          <w:kern w:val="0"/>
          <w:sz w:val="32"/>
          <w:szCs w:val="32"/>
          <w:highlight w:val="none"/>
        </w:rPr>
        <w:t>万元。年终滚存结余</w:t>
      </w:r>
      <w:r>
        <w:rPr>
          <w:rFonts w:hint="eastAsia" w:ascii="仿宋_GB2312" w:hAnsi="仿宋_GB2312" w:eastAsia="仿宋_GB2312" w:cs="仿宋_GB2312"/>
          <w:color w:val="auto"/>
          <w:kern w:val="0"/>
          <w:sz w:val="32"/>
          <w:szCs w:val="32"/>
          <w:highlight w:val="none"/>
          <w:lang w:val="en-US" w:eastAsia="zh-CN"/>
        </w:rPr>
        <w:t>5702</w:t>
      </w:r>
      <w:r>
        <w:rPr>
          <w:rFonts w:hint="eastAsia" w:ascii="仿宋_GB2312" w:hAnsi="仿宋_GB2312" w:eastAsia="仿宋_GB2312" w:cs="仿宋_GB2312"/>
          <w:color w:val="auto"/>
          <w:kern w:val="0"/>
          <w:sz w:val="32"/>
          <w:szCs w:val="32"/>
          <w:highlight w:val="none"/>
        </w:rPr>
        <w:t>万元</w:t>
      </w:r>
      <w:r>
        <w:rPr>
          <w:rFonts w:hint="eastAsia" w:ascii="楷体" w:hAnsi="楷体" w:eastAsia="楷体" w:cs="楷体"/>
          <w:color w:val="auto"/>
          <w:kern w:val="0"/>
          <w:sz w:val="30"/>
          <w:szCs w:val="30"/>
          <w:highlight w:val="none"/>
        </w:rPr>
        <w:t>（全部为结转下年支出）</w:t>
      </w:r>
      <w:r>
        <w:rPr>
          <w:rFonts w:hint="eastAsia" w:ascii="仿宋_GB2312" w:hAnsi="仿宋_GB2312" w:eastAsia="仿宋_GB2312" w:cs="仿宋_GB2312"/>
          <w:color w:val="auto"/>
          <w:kern w:val="0"/>
          <w:sz w:val="32"/>
          <w:szCs w:val="32"/>
          <w:highlight w:val="none"/>
        </w:rPr>
        <w:t>。</w:t>
      </w:r>
    </w:p>
    <w:p w14:paraId="7D9FB14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（二）政府性基金预算执行情况</w:t>
      </w:r>
    </w:p>
    <w:p w14:paraId="6FDD408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lang w:eastAsia="zh-CN"/>
        </w:rPr>
        <w:t>202</w:t>
      </w:r>
      <w:r>
        <w:rPr>
          <w:rFonts w:hint="eastAsia" w:ascii="仿宋_GB2312" w:hAnsi="仿宋_GB2312" w:eastAsia="仿宋_GB2312" w:cs="仿宋_GB2312"/>
          <w:b/>
          <w:bCs/>
          <w:color w:val="auto"/>
          <w:kern w:val="0"/>
          <w:sz w:val="32"/>
          <w:szCs w:val="32"/>
          <w:lang w:val="en-US" w:eastAsia="zh-CN"/>
        </w:rPr>
        <w:t>4</w:t>
      </w:r>
      <w:r>
        <w:rPr>
          <w:rFonts w:hint="eastAsia" w:ascii="仿宋_GB2312" w:hAnsi="仿宋_GB2312" w:eastAsia="仿宋_GB2312" w:cs="仿宋_GB2312"/>
          <w:b/>
          <w:bCs/>
          <w:color w:val="auto"/>
          <w:kern w:val="0"/>
          <w:sz w:val="32"/>
          <w:szCs w:val="32"/>
          <w:lang w:eastAsia="zh-CN"/>
        </w:rPr>
        <w:t>年</w:t>
      </w:r>
      <w:r>
        <w:rPr>
          <w:rFonts w:hint="eastAsia" w:ascii="仿宋_GB2312" w:hAnsi="仿宋_GB2312" w:eastAsia="仿宋_GB2312" w:cs="仿宋_GB2312"/>
          <w:b/>
          <w:bCs/>
          <w:color w:val="auto"/>
          <w:kern w:val="0"/>
          <w:sz w:val="32"/>
          <w:szCs w:val="32"/>
        </w:rPr>
        <w:t>，政府性基金收入完成</w:t>
      </w:r>
      <w:r>
        <w:rPr>
          <w:rFonts w:hint="eastAsia" w:ascii="仿宋_GB2312" w:hAnsi="仿宋_GB2312" w:eastAsia="仿宋_GB2312" w:cs="仿宋_GB2312"/>
          <w:b/>
          <w:bCs/>
          <w:color w:val="auto"/>
          <w:kern w:val="0"/>
          <w:sz w:val="32"/>
          <w:szCs w:val="32"/>
          <w:lang w:val="en-US" w:eastAsia="zh-CN"/>
        </w:rPr>
        <w:t>76478</w:t>
      </w:r>
      <w:r>
        <w:rPr>
          <w:rFonts w:hint="eastAsia" w:ascii="仿宋_GB2312" w:hAnsi="仿宋_GB2312" w:eastAsia="仿宋_GB2312" w:cs="仿宋_GB2312"/>
          <w:b/>
          <w:bCs/>
          <w:color w:val="auto"/>
          <w:kern w:val="0"/>
          <w:sz w:val="32"/>
          <w:szCs w:val="32"/>
        </w:rPr>
        <w:t>万元，</w:t>
      </w:r>
      <w:r>
        <w:rPr>
          <w:rFonts w:hint="eastAsia" w:ascii="仿宋_GB2312" w:hAnsi="仿宋_GB2312" w:eastAsia="仿宋_GB2312" w:cs="仿宋_GB2312"/>
          <w:b/>
          <w:bCs/>
          <w:color w:val="auto"/>
          <w:kern w:val="0"/>
          <w:sz w:val="32"/>
          <w:szCs w:val="32"/>
          <w:lang w:val="en-US" w:eastAsia="zh-CN"/>
        </w:rPr>
        <w:t>完成</w:t>
      </w:r>
      <w:r>
        <w:rPr>
          <w:rFonts w:hint="eastAsia" w:ascii="仿宋_GB2312" w:hAnsi="仿宋_GB2312" w:eastAsia="仿宋_GB2312" w:cs="仿宋_GB2312"/>
          <w:b/>
          <w:bCs/>
          <w:color w:val="auto"/>
          <w:kern w:val="0"/>
          <w:sz w:val="32"/>
          <w:szCs w:val="32"/>
        </w:rPr>
        <w:t>年初预算的</w:t>
      </w:r>
      <w:r>
        <w:rPr>
          <w:rFonts w:hint="eastAsia" w:ascii="仿宋_GB2312" w:hAnsi="仿宋_GB2312" w:eastAsia="仿宋_GB2312" w:cs="仿宋_GB2312"/>
          <w:b/>
          <w:bCs/>
          <w:color w:val="auto"/>
          <w:kern w:val="0"/>
          <w:sz w:val="32"/>
          <w:szCs w:val="32"/>
          <w:lang w:val="en-US" w:eastAsia="zh-CN"/>
        </w:rPr>
        <w:t>104.3</w:t>
      </w:r>
      <w:r>
        <w:rPr>
          <w:rFonts w:hint="eastAsia" w:ascii="仿宋_GB2312" w:hAnsi="仿宋_GB2312" w:eastAsia="仿宋_GB2312" w:cs="仿宋_GB2312"/>
          <w:b/>
          <w:bCs/>
          <w:color w:val="auto"/>
          <w:kern w:val="0"/>
          <w:sz w:val="32"/>
          <w:szCs w:val="32"/>
        </w:rPr>
        <w:t>%，同比</w:t>
      </w:r>
      <w:r>
        <w:rPr>
          <w:rFonts w:hint="eastAsia" w:ascii="仿宋_GB2312" w:hAnsi="仿宋_GB2312" w:eastAsia="仿宋_GB2312" w:cs="仿宋_GB2312"/>
          <w:b/>
          <w:bCs/>
          <w:color w:val="auto"/>
          <w:kern w:val="0"/>
          <w:sz w:val="32"/>
          <w:szCs w:val="32"/>
          <w:lang w:val="en-US" w:eastAsia="zh-CN"/>
        </w:rPr>
        <w:t>下降28.8</w:t>
      </w:r>
      <w:r>
        <w:rPr>
          <w:rFonts w:hint="eastAsia" w:ascii="仿宋_GB2312" w:hAnsi="仿宋_GB2312" w:eastAsia="仿宋_GB2312" w:cs="仿宋_GB2312"/>
          <w:b/>
          <w:bCs/>
          <w:color w:val="auto"/>
          <w:kern w:val="0"/>
          <w:sz w:val="32"/>
          <w:szCs w:val="32"/>
        </w:rPr>
        <w:t>%。</w:t>
      </w:r>
      <w:r>
        <w:rPr>
          <w:rFonts w:hint="eastAsia" w:ascii="仿宋_GB2312" w:hAnsi="仿宋_GB2312" w:eastAsia="仿宋_GB2312" w:cs="仿宋_GB2312"/>
          <w:color w:val="auto"/>
          <w:kern w:val="0"/>
          <w:sz w:val="32"/>
          <w:szCs w:val="32"/>
          <w:highlight w:val="none"/>
        </w:rPr>
        <w:t>其中：国有土地使用权出让收入完成</w:t>
      </w:r>
      <w:r>
        <w:rPr>
          <w:rFonts w:hint="eastAsia" w:ascii="仿宋_GB2312" w:hAnsi="仿宋_GB2312" w:eastAsia="仿宋_GB2312" w:cs="仿宋_GB2312"/>
          <w:color w:val="auto"/>
          <w:kern w:val="0"/>
          <w:sz w:val="32"/>
          <w:szCs w:val="32"/>
          <w:highlight w:val="none"/>
          <w:lang w:val="en-US" w:eastAsia="zh-CN"/>
        </w:rPr>
        <w:t>61338</w:t>
      </w:r>
      <w:r>
        <w:rPr>
          <w:rFonts w:hint="eastAsia" w:ascii="仿宋_GB2312" w:hAnsi="仿宋_GB2312" w:eastAsia="仿宋_GB2312" w:cs="仿宋_GB2312"/>
          <w:color w:val="auto"/>
          <w:kern w:val="0"/>
          <w:sz w:val="32"/>
          <w:szCs w:val="32"/>
          <w:highlight w:val="none"/>
        </w:rPr>
        <w:t>万元，彩票公益金收入完成</w:t>
      </w:r>
      <w:r>
        <w:rPr>
          <w:rFonts w:hint="eastAsia" w:ascii="仿宋_GB2312" w:hAnsi="仿宋_GB2312" w:eastAsia="仿宋_GB2312" w:cs="仿宋_GB2312"/>
          <w:color w:val="auto"/>
          <w:kern w:val="0"/>
          <w:sz w:val="32"/>
          <w:szCs w:val="32"/>
          <w:highlight w:val="none"/>
          <w:lang w:val="en-US" w:eastAsia="zh-CN"/>
        </w:rPr>
        <w:t>1314</w:t>
      </w:r>
      <w:r>
        <w:rPr>
          <w:rFonts w:hint="eastAsia" w:ascii="仿宋_GB2312" w:hAnsi="仿宋_GB2312" w:eastAsia="仿宋_GB2312" w:cs="仿宋_GB2312"/>
          <w:color w:val="auto"/>
          <w:kern w:val="0"/>
          <w:sz w:val="32"/>
          <w:szCs w:val="32"/>
          <w:highlight w:val="none"/>
        </w:rPr>
        <w:t>万元，城市基础设施配套费收入完成</w:t>
      </w:r>
      <w:r>
        <w:rPr>
          <w:rFonts w:hint="eastAsia" w:ascii="仿宋_GB2312" w:hAnsi="仿宋_GB2312" w:eastAsia="仿宋_GB2312" w:cs="仿宋_GB2312"/>
          <w:color w:val="auto"/>
          <w:kern w:val="0"/>
          <w:sz w:val="32"/>
          <w:szCs w:val="32"/>
          <w:highlight w:val="none"/>
          <w:lang w:val="en-US" w:eastAsia="zh-CN"/>
        </w:rPr>
        <w:t>663</w:t>
      </w:r>
      <w:r>
        <w:rPr>
          <w:rFonts w:hint="eastAsia" w:ascii="仿宋_GB2312" w:hAnsi="仿宋_GB2312" w:eastAsia="仿宋_GB2312" w:cs="仿宋_GB2312"/>
          <w:color w:val="auto"/>
          <w:kern w:val="0"/>
          <w:sz w:val="32"/>
          <w:szCs w:val="32"/>
          <w:highlight w:val="none"/>
        </w:rPr>
        <w:t>万元，污水处理费收入完成</w:t>
      </w:r>
      <w:r>
        <w:rPr>
          <w:rFonts w:hint="eastAsia" w:ascii="仿宋_GB2312" w:hAnsi="仿宋_GB2312" w:eastAsia="仿宋_GB2312" w:cs="仿宋_GB2312"/>
          <w:color w:val="auto"/>
          <w:kern w:val="0"/>
          <w:sz w:val="32"/>
          <w:szCs w:val="32"/>
          <w:highlight w:val="none"/>
          <w:lang w:val="en-US" w:eastAsia="zh-CN"/>
        </w:rPr>
        <w:t>1363</w:t>
      </w:r>
      <w:r>
        <w:rPr>
          <w:rFonts w:hint="eastAsia" w:ascii="仿宋_GB2312" w:hAnsi="仿宋_GB2312" w:eastAsia="仿宋_GB2312" w:cs="仿宋_GB2312"/>
          <w:color w:val="auto"/>
          <w:kern w:val="0"/>
          <w:sz w:val="32"/>
          <w:szCs w:val="32"/>
          <w:highlight w:val="none"/>
        </w:rPr>
        <w:t>万元，专项债务对应项目专项收入</w:t>
      </w:r>
      <w:r>
        <w:rPr>
          <w:rFonts w:hint="eastAsia" w:ascii="仿宋_GB2312" w:hAnsi="仿宋_GB2312" w:eastAsia="仿宋_GB2312" w:cs="仿宋_GB2312"/>
          <w:color w:val="auto"/>
          <w:kern w:val="0"/>
          <w:sz w:val="32"/>
          <w:szCs w:val="32"/>
          <w:highlight w:val="none"/>
          <w:lang w:val="en-US" w:eastAsia="zh-CN"/>
        </w:rPr>
        <w:t>11800</w:t>
      </w:r>
      <w:r>
        <w:rPr>
          <w:rFonts w:hint="eastAsia" w:ascii="仿宋_GB2312" w:hAnsi="仿宋_GB2312" w:eastAsia="仿宋_GB2312" w:cs="仿宋_GB2312"/>
          <w:color w:val="auto"/>
          <w:kern w:val="0"/>
          <w:sz w:val="32"/>
          <w:szCs w:val="32"/>
          <w:highlight w:val="none"/>
        </w:rPr>
        <w:t>万元。</w:t>
      </w:r>
    </w:p>
    <w:p w14:paraId="12E54685">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kern w:val="0"/>
          <w:sz w:val="32"/>
          <w:szCs w:val="32"/>
          <w:highlight w:val="yellow"/>
        </w:rPr>
      </w:pPr>
      <w:r>
        <w:rPr>
          <w:rFonts w:hint="eastAsia" w:ascii="仿宋_GB2312" w:hAnsi="仿宋_GB2312" w:eastAsia="仿宋_GB2312" w:cs="仿宋_GB2312"/>
          <w:b/>
          <w:bCs/>
          <w:color w:val="auto"/>
          <w:kern w:val="0"/>
          <w:sz w:val="32"/>
          <w:szCs w:val="32"/>
          <w:highlight w:val="none"/>
          <w:lang w:eastAsia="zh-CN"/>
        </w:rPr>
        <w:t>202</w:t>
      </w:r>
      <w:r>
        <w:rPr>
          <w:rFonts w:hint="eastAsia" w:ascii="仿宋_GB2312" w:hAnsi="仿宋_GB2312" w:eastAsia="仿宋_GB2312" w:cs="仿宋_GB2312"/>
          <w:b/>
          <w:bCs/>
          <w:color w:val="auto"/>
          <w:kern w:val="0"/>
          <w:sz w:val="32"/>
          <w:szCs w:val="32"/>
          <w:highlight w:val="none"/>
          <w:lang w:val="en-US" w:eastAsia="zh-CN"/>
        </w:rPr>
        <w:t>4</w:t>
      </w:r>
      <w:r>
        <w:rPr>
          <w:rFonts w:hint="eastAsia" w:ascii="仿宋_GB2312" w:hAnsi="仿宋_GB2312" w:eastAsia="仿宋_GB2312" w:cs="仿宋_GB2312"/>
          <w:b/>
          <w:bCs/>
          <w:color w:val="auto"/>
          <w:kern w:val="0"/>
          <w:sz w:val="32"/>
          <w:szCs w:val="32"/>
          <w:highlight w:val="none"/>
          <w:lang w:eastAsia="zh-CN"/>
        </w:rPr>
        <w:t>年</w:t>
      </w:r>
      <w:r>
        <w:rPr>
          <w:rFonts w:hint="eastAsia" w:ascii="仿宋_GB2312" w:hAnsi="仿宋_GB2312" w:eastAsia="仿宋_GB2312" w:cs="仿宋_GB2312"/>
          <w:b/>
          <w:bCs/>
          <w:color w:val="auto"/>
          <w:kern w:val="0"/>
          <w:sz w:val="32"/>
          <w:szCs w:val="32"/>
          <w:highlight w:val="none"/>
        </w:rPr>
        <w:t>，政府性基金支出完成</w:t>
      </w:r>
      <w:r>
        <w:rPr>
          <w:rFonts w:hint="eastAsia" w:ascii="仿宋_GB2312" w:hAnsi="仿宋_GB2312" w:eastAsia="仿宋_GB2312" w:cs="仿宋_GB2312"/>
          <w:b/>
          <w:bCs/>
          <w:color w:val="auto"/>
          <w:kern w:val="0"/>
          <w:sz w:val="32"/>
          <w:szCs w:val="32"/>
          <w:highlight w:val="none"/>
          <w:lang w:val="en-US" w:eastAsia="zh-CN"/>
        </w:rPr>
        <w:t>194460</w:t>
      </w:r>
      <w:r>
        <w:rPr>
          <w:rFonts w:hint="eastAsia" w:ascii="仿宋_GB2312" w:hAnsi="仿宋_GB2312" w:eastAsia="仿宋_GB2312" w:cs="仿宋_GB2312"/>
          <w:b/>
          <w:bCs/>
          <w:color w:val="auto"/>
          <w:kern w:val="0"/>
          <w:sz w:val="32"/>
          <w:szCs w:val="32"/>
          <w:highlight w:val="none"/>
        </w:rPr>
        <w:t>万元，</w:t>
      </w:r>
      <w:r>
        <w:rPr>
          <w:rFonts w:hint="eastAsia" w:ascii="仿宋_GB2312" w:hAnsi="仿宋_GB2312" w:eastAsia="仿宋_GB2312" w:cs="仿宋_GB2312"/>
          <w:b/>
          <w:bCs/>
          <w:color w:val="auto"/>
          <w:kern w:val="0"/>
          <w:sz w:val="32"/>
          <w:szCs w:val="32"/>
          <w:highlight w:val="none"/>
          <w:lang w:val="en-US" w:eastAsia="zh-CN"/>
        </w:rPr>
        <w:t>完成</w:t>
      </w:r>
      <w:r>
        <w:rPr>
          <w:rFonts w:hint="eastAsia" w:ascii="仿宋_GB2312" w:hAnsi="仿宋_GB2312" w:eastAsia="仿宋_GB2312" w:cs="仿宋_GB2312"/>
          <w:b/>
          <w:bCs/>
          <w:color w:val="auto"/>
          <w:kern w:val="0"/>
          <w:sz w:val="32"/>
          <w:szCs w:val="32"/>
          <w:highlight w:val="none"/>
        </w:rPr>
        <w:t>年初预算的</w:t>
      </w:r>
      <w:r>
        <w:rPr>
          <w:rFonts w:hint="eastAsia" w:ascii="仿宋_GB2312" w:hAnsi="仿宋_GB2312" w:eastAsia="仿宋_GB2312" w:cs="仿宋_GB2312"/>
          <w:b/>
          <w:bCs/>
          <w:color w:val="auto"/>
          <w:kern w:val="0"/>
          <w:sz w:val="32"/>
          <w:szCs w:val="32"/>
          <w:highlight w:val="none"/>
          <w:lang w:val="en-US" w:eastAsia="zh-CN"/>
        </w:rPr>
        <w:t>110.8</w:t>
      </w:r>
      <w:r>
        <w:rPr>
          <w:rFonts w:hint="eastAsia" w:ascii="仿宋_GB2312" w:hAnsi="仿宋_GB2312" w:eastAsia="仿宋_GB2312" w:cs="仿宋_GB2312"/>
          <w:b/>
          <w:bCs/>
          <w:color w:val="auto"/>
          <w:kern w:val="0"/>
          <w:sz w:val="32"/>
          <w:szCs w:val="32"/>
          <w:highlight w:val="none"/>
        </w:rPr>
        <w:t>%，同比</w:t>
      </w:r>
      <w:r>
        <w:rPr>
          <w:rFonts w:hint="eastAsia" w:ascii="仿宋_GB2312" w:hAnsi="仿宋_GB2312" w:eastAsia="仿宋_GB2312" w:cs="仿宋_GB2312"/>
          <w:b/>
          <w:bCs/>
          <w:color w:val="auto"/>
          <w:kern w:val="0"/>
          <w:sz w:val="32"/>
          <w:szCs w:val="32"/>
          <w:highlight w:val="none"/>
          <w:lang w:val="en-US" w:eastAsia="zh-CN"/>
        </w:rPr>
        <w:t>下降0.3</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rPr>
        <w:t>其中：文化体育与传媒支出</w:t>
      </w:r>
      <w:r>
        <w:rPr>
          <w:rFonts w:hint="eastAsia" w:ascii="仿宋_GB2312" w:hAnsi="仿宋_GB2312" w:eastAsia="仿宋_GB2312" w:cs="仿宋_GB2312"/>
          <w:color w:val="auto"/>
          <w:kern w:val="0"/>
          <w:sz w:val="32"/>
          <w:szCs w:val="32"/>
          <w:highlight w:val="none"/>
          <w:lang w:val="en-US" w:eastAsia="zh-CN"/>
        </w:rPr>
        <w:t>63万元，节能环保支出19万元，农林水</w:t>
      </w:r>
      <w:r>
        <w:rPr>
          <w:rFonts w:hint="eastAsia" w:ascii="仿宋_GB2312" w:hAnsi="仿宋_GB2312" w:eastAsia="仿宋_GB2312" w:cs="仿宋_GB2312"/>
          <w:color w:val="auto"/>
          <w:kern w:val="0"/>
          <w:sz w:val="32"/>
          <w:szCs w:val="32"/>
          <w:highlight w:val="none"/>
        </w:rPr>
        <w:t>支出</w:t>
      </w:r>
      <w:r>
        <w:rPr>
          <w:rFonts w:hint="eastAsia" w:ascii="仿宋_GB2312" w:hAnsi="仿宋_GB2312" w:eastAsia="仿宋_GB2312" w:cs="仿宋_GB2312"/>
          <w:color w:val="auto"/>
          <w:kern w:val="0"/>
          <w:sz w:val="32"/>
          <w:szCs w:val="32"/>
          <w:highlight w:val="none"/>
          <w:lang w:val="en-US" w:eastAsia="zh-CN"/>
        </w:rPr>
        <w:t>2902</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城乡社区支出</w:t>
      </w:r>
      <w:r>
        <w:rPr>
          <w:rFonts w:hint="eastAsia" w:ascii="仿宋_GB2312" w:hAnsi="仿宋_GB2312" w:eastAsia="仿宋_GB2312" w:cs="仿宋_GB2312"/>
          <w:color w:val="auto"/>
          <w:kern w:val="0"/>
          <w:sz w:val="32"/>
          <w:szCs w:val="32"/>
          <w:highlight w:val="none"/>
          <w:lang w:val="en-US" w:eastAsia="zh-CN"/>
        </w:rPr>
        <w:t>60043</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交通运输支出4070万元，资源勘探工业信息等支出516万元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其他支出</w:t>
      </w:r>
      <w:r>
        <w:rPr>
          <w:rFonts w:hint="eastAsia" w:ascii="仿宋_GB2312" w:hAnsi="仿宋_GB2312" w:eastAsia="仿宋_GB2312" w:cs="仿宋_GB2312"/>
          <w:color w:val="auto"/>
          <w:kern w:val="0"/>
          <w:sz w:val="32"/>
          <w:szCs w:val="32"/>
          <w:highlight w:val="none"/>
          <w:lang w:val="en-US" w:eastAsia="zh-CN"/>
        </w:rPr>
        <w:t>107593</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债务付息支出</w:t>
      </w:r>
      <w:r>
        <w:rPr>
          <w:rFonts w:hint="eastAsia" w:ascii="仿宋_GB2312" w:hAnsi="仿宋_GB2312" w:eastAsia="仿宋_GB2312" w:cs="仿宋_GB2312"/>
          <w:color w:val="auto"/>
          <w:kern w:val="0"/>
          <w:sz w:val="32"/>
          <w:szCs w:val="32"/>
          <w:highlight w:val="none"/>
          <w:lang w:val="en-US" w:eastAsia="zh-CN"/>
        </w:rPr>
        <w:t>19109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债务发行费用支出145万元</w:t>
      </w:r>
      <w:r>
        <w:rPr>
          <w:rFonts w:hint="eastAsia" w:ascii="仿宋_GB2312" w:hAnsi="仿宋_GB2312" w:eastAsia="仿宋_GB2312" w:cs="仿宋_GB2312"/>
          <w:color w:val="auto"/>
          <w:kern w:val="0"/>
          <w:sz w:val="32"/>
          <w:szCs w:val="32"/>
          <w:highlight w:val="none"/>
        </w:rPr>
        <w:t>。</w:t>
      </w:r>
    </w:p>
    <w:p w14:paraId="1054A11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lang w:val="en-US" w:eastAsia="zh-CN"/>
        </w:rPr>
        <w:t>政府性</w:t>
      </w:r>
      <w:r>
        <w:rPr>
          <w:rFonts w:hint="eastAsia" w:ascii="仿宋_GB2312" w:hAnsi="仿宋_GB2312" w:eastAsia="仿宋_GB2312" w:cs="仿宋_GB2312"/>
          <w:b/>
          <w:bCs/>
          <w:color w:val="auto"/>
          <w:sz w:val="32"/>
          <w:szCs w:val="32"/>
        </w:rPr>
        <w:t>基金收支平衡情况</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rPr>
        <w:t>政府性基金收入</w:t>
      </w:r>
      <w:r>
        <w:rPr>
          <w:rFonts w:hint="eastAsia" w:ascii="仿宋_GB2312" w:hAnsi="仿宋_GB2312" w:eastAsia="仿宋_GB2312" w:cs="仿宋_GB2312"/>
          <w:color w:val="auto"/>
          <w:sz w:val="32"/>
          <w:szCs w:val="32"/>
          <w:lang w:val="en-US" w:eastAsia="zh-CN"/>
        </w:rPr>
        <w:t>76478</w:t>
      </w:r>
      <w:r>
        <w:rPr>
          <w:rFonts w:hint="eastAsia" w:ascii="仿宋_GB2312" w:hAnsi="仿宋_GB2312" w:eastAsia="仿宋_GB2312" w:cs="仿宋_GB2312"/>
          <w:color w:val="auto"/>
          <w:sz w:val="32"/>
          <w:szCs w:val="32"/>
        </w:rPr>
        <w:t>万元，加上上年结余</w:t>
      </w:r>
      <w:r>
        <w:rPr>
          <w:rFonts w:hint="eastAsia" w:ascii="仿宋_GB2312" w:hAnsi="仿宋_GB2312" w:eastAsia="仿宋_GB2312" w:cs="仿宋_GB2312"/>
          <w:color w:val="auto"/>
          <w:sz w:val="32"/>
          <w:szCs w:val="32"/>
          <w:lang w:val="en-US" w:eastAsia="zh-CN"/>
        </w:rPr>
        <w:t>20537</w:t>
      </w:r>
      <w:r>
        <w:rPr>
          <w:rFonts w:hint="eastAsia" w:ascii="仿宋_GB2312" w:hAnsi="仿宋_GB2312" w:eastAsia="仿宋_GB2312" w:cs="仿宋_GB2312"/>
          <w:color w:val="auto"/>
          <w:sz w:val="32"/>
          <w:szCs w:val="32"/>
        </w:rPr>
        <w:t>万元、上级补助收入</w:t>
      </w:r>
      <w:r>
        <w:rPr>
          <w:rFonts w:hint="eastAsia" w:ascii="仿宋_GB2312" w:hAnsi="仿宋_GB2312" w:eastAsia="仿宋_GB2312" w:cs="仿宋_GB2312"/>
          <w:color w:val="auto"/>
          <w:sz w:val="32"/>
          <w:szCs w:val="32"/>
          <w:lang w:val="en-US" w:eastAsia="zh-CN"/>
        </w:rPr>
        <w:t>41350</w:t>
      </w:r>
      <w:r>
        <w:rPr>
          <w:rFonts w:hint="eastAsia" w:ascii="仿宋_GB2312" w:hAnsi="仿宋_GB2312" w:eastAsia="仿宋_GB2312" w:cs="仿宋_GB2312"/>
          <w:color w:val="auto"/>
          <w:sz w:val="32"/>
          <w:szCs w:val="32"/>
        </w:rPr>
        <w:t>万元、地方政府专项债券</w:t>
      </w:r>
      <w:r>
        <w:rPr>
          <w:rFonts w:hint="eastAsia" w:ascii="仿宋_GB2312" w:hAnsi="仿宋_GB2312" w:eastAsia="仿宋_GB2312" w:cs="仿宋_GB2312"/>
          <w:color w:val="auto"/>
          <w:sz w:val="32"/>
          <w:szCs w:val="32"/>
          <w:lang w:val="en-US" w:eastAsia="zh-CN"/>
        </w:rPr>
        <w:t>转贷</w:t>
      </w:r>
      <w:r>
        <w:rPr>
          <w:rFonts w:hint="eastAsia" w:ascii="仿宋_GB2312" w:hAnsi="仿宋_GB2312" w:eastAsia="仿宋_GB2312" w:cs="仿宋_GB2312"/>
          <w:color w:val="auto"/>
          <w:sz w:val="32"/>
          <w:szCs w:val="32"/>
        </w:rPr>
        <w:t>收入</w:t>
      </w:r>
      <w:r>
        <w:rPr>
          <w:rFonts w:hint="eastAsia" w:ascii="仿宋_GB2312" w:hAnsi="仿宋_GB2312" w:eastAsia="仿宋_GB2312" w:cs="仿宋_GB2312"/>
          <w:color w:val="auto"/>
          <w:sz w:val="32"/>
          <w:szCs w:val="32"/>
          <w:lang w:val="en-US" w:eastAsia="zh-CN"/>
        </w:rPr>
        <w:t>170612</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政府性</w:t>
      </w:r>
      <w:r>
        <w:rPr>
          <w:rFonts w:hint="eastAsia" w:ascii="仿宋_GB2312" w:hAnsi="仿宋_GB2312" w:eastAsia="仿宋_GB2312" w:cs="仿宋_GB2312"/>
          <w:color w:val="auto"/>
          <w:sz w:val="32"/>
          <w:szCs w:val="32"/>
          <w:highlight w:val="none"/>
        </w:rPr>
        <w:t>基金收入合计</w:t>
      </w:r>
      <w:r>
        <w:rPr>
          <w:rFonts w:hint="eastAsia" w:ascii="仿宋_GB2312" w:hAnsi="仿宋_GB2312" w:eastAsia="仿宋_GB2312" w:cs="仿宋_GB2312"/>
          <w:color w:val="auto"/>
          <w:sz w:val="32"/>
          <w:szCs w:val="32"/>
          <w:highlight w:val="none"/>
          <w:lang w:val="en-US" w:eastAsia="zh-CN"/>
        </w:rPr>
        <w:t>308977</w:t>
      </w:r>
      <w:r>
        <w:rPr>
          <w:rFonts w:hint="eastAsia" w:ascii="仿宋_GB2312" w:hAnsi="仿宋_GB2312" w:eastAsia="仿宋_GB2312" w:cs="仿宋_GB2312"/>
          <w:color w:val="auto"/>
          <w:sz w:val="32"/>
          <w:szCs w:val="32"/>
          <w:highlight w:val="none"/>
        </w:rPr>
        <w:t>万元。</w:t>
      </w:r>
    </w:p>
    <w:p w14:paraId="77881AF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楷体" w:cs="仿宋_GB2312"/>
          <w:color w:val="auto"/>
          <w:sz w:val="30"/>
          <w:szCs w:val="30"/>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rPr>
        <w:t>政府性基金支出</w:t>
      </w:r>
      <w:r>
        <w:rPr>
          <w:rFonts w:hint="eastAsia" w:ascii="仿宋_GB2312" w:hAnsi="仿宋_GB2312" w:eastAsia="仿宋_GB2312" w:cs="仿宋_GB2312"/>
          <w:color w:val="auto"/>
          <w:sz w:val="32"/>
          <w:szCs w:val="32"/>
          <w:highlight w:val="none"/>
          <w:lang w:val="en-US" w:eastAsia="zh-CN"/>
        </w:rPr>
        <w:t>194460</w:t>
      </w:r>
      <w:r>
        <w:rPr>
          <w:rFonts w:hint="eastAsia" w:ascii="仿宋_GB2312" w:hAnsi="仿宋_GB2312" w:eastAsia="仿宋_GB2312" w:cs="仿宋_GB2312"/>
          <w:color w:val="auto"/>
          <w:sz w:val="32"/>
          <w:szCs w:val="32"/>
          <w:highlight w:val="none"/>
        </w:rPr>
        <w:t>万元，加</w:t>
      </w:r>
      <w:r>
        <w:rPr>
          <w:rFonts w:hint="eastAsia" w:ascii="仿宋_GB2312" w:hAnsi="仿宋_GB2312" w:eastAsia="仿宋_GB2312" w:cs="仿宋_GB2312"/>
          <w:color w:val="auto"/>
          <w:sz w:val="32"/>
          <w:szCs w:val="32"/>
        </w:rPr>
        <w:t>上上解支出</w:t>
      </w:r>
      <w:r>
        <w:rPr>
          <w:rFonts w:hint="eastAsia" w:ascii="仿宋_GB2312" w:hAnsi="仿宋_GB2312" w:eastAsia="仿宋_GB2312" w:cs="仿宋_GB2312"/>
          <w:color w:val="auto"/>
          <w:sz w:val="32"/>
          <w:szCs w:val="32"/>
          <w:lang w:val="en-US" w:eastAsia="zh-CN"/>
        </w:rPr>
        <w:t>1300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highlight w:val="none"/>
          <w:u w:val="none"/>
        </w:rPr>
        <w:t>债务还本支出</w:t>
      </w:r>
      <w:r>
        <w:rPr>
          <w:rFonts w:hint="eastAsia" w:ascii="仿宋_GB2312" w:hAnsi="仿宋_GB2312" w:eastAsia="仿宋_GB2312" w:cs="仿宋_GB2312"/>
          <w:color w:val="auto"/>
          <w:sz w:val="32"/>
          <w:szCs w:val="32"/>
          <w:highlight w:val="none"/>
          <w:u w:val="none"/>
          <w:lang w:val="en-US" w:eastAsia="zh-CN"/>
        </w:rPr>
        <w:t>82829</w:t>
      </w:r>
      <w:r>
        <w:rPr>
          <w:rFonts w:hint="eastAsia" w:ascii="仿宋_GB2312" w:hAnsi="仿宋_GB2312" w:eastAsia="仿宋_GB2312" w:cs="仿宋_GB2312"/>
          <w:color w:val="auto"/>
          <w:sz w:val="32"/>
          <w:szCs w:val="32"/>
          <w:highlight w:val="none"/>
          <w:u w:val="none"/>
        </w:rPr>
        <w:t>万元</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政府性</w:t>
      </w:r>
      <w:r>
        <w:rPr>
          <w:rFonts w:hint="eastAsia" w:ascii="仿宋_GB2312" w:hAnsi="仿宋_GB2312" w:eastAsia="仿宋_GB2312" w:cs="仿宋_GB2312"/>
          <w:color w:val="auto"/>
          <w:sz w:val="32"/>
          <w:szCs w:val="32"/>
          <w:highlight w:val="none"/>
        </w:rPr>
        <w:t>基金支出合计</w:t>
      </w:r>
      <w:r>
        <w:rPr>
          <w:rFonts w:hint="eastAsia" w:ascii="仿宋_GB2312" w:hAnsi="仿宋_GB2312" w:eastAsia="仿宋_GB2312" w:cs="仿宋_GB2312"/>
          <w:color w:val="auto"/>
          <w:sz w:val="32"/>
          <w:szCs w:val="32"/>
          <w:highlight w:val="none"/>
          <w:lang w:val="en-US" w:eastAsia="zh-CN"/>
        </w:rPr>
        <w:t>278589</w:t>
      </w:r>
      <w:r>
        <w:rPr>
          <w:rFonts w:hint="eastAsia" w:ascii="仿宋_GB2312" w:hAnsi="仿宋_GB2312" w:eastAsia="仿宋_GB2312" w:cs="仿宋_GB2312"/>
          <w:color w:val="auto"/>
          <w:sz w:val="32"/>
          <w:szCs w:val="32"/>
          <w:highlight w:val="none"/>
        </w:rPr>
        <w:t>万元。年终滚存结余</w:t>
      </w:r>
      <w:r>
        <w:rPr>
          <w:rFonts w:hint="eastAsia" w:ascii="仿宋_GB2312" w:hAnsi="仿宋_GB2312" w:eastAsia="仿宋_GB2312" w:cs="仿宋_GB2312"/>
          <w:color w:val="auto"/>
          <w:sz w:val="32"/>
          <w:szCs w:val="32"/>
          <w:highlight w:val="none"/>
          <w:lang w:val="en-US" w:eastAsia="zh-CN"/>
        </w:rPr>
        <w:t>30388</w:t>
      </w:r>
      <w:r>
        <w:rPr>
          <w:rFonts w:hint="eastAsia" w:ascii="仿宋_GB2312" w:hAnsi="仿宋_GB2312" w:eastAsia="仿宋_GB2312" w:cs="仿宋_GB2312"/>
          <w:color w:val="auto"/>
          <w:sz w:val="32"/>
          <w:szCs w:val="32"/>
          <w:highlight w:val="none"/>
        </w:rPr>
        <w:t>万元</w:t>
      </w:r>
      <w:r>
        <w:rPr>
          <w:rFonts w:hint="eastAsia" w:ascii="楷体" w:hAnsi="楷体" w:eastAsia="楷体" w:cs="楷体"/>
          <w:color w:val="auto"/>
          <w:sz w:val="30"/>
          <w:szCs w:val="30"/>
        </w:rPr>
        <w:t>（全部为结转下年支出）。</w:t>
      </w:r>
    </w:p>
    <w:p w14:paraId="30F1ABD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（三）国有资本经营预算情况</w:t>
      </w:r>
    </w:p>
    <w:p w14:paraId="0264697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2"/>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rPr>
        <w:t>，全县国有资本经营</w:t>
      </w:r>
      <w:r>
        <w:rPr>
          <w:rFonts w:hint="eastAsia" w:ascii="仿宋_GB2312" w:hAnsi="仿宋_GB2312" w:eastAsia="仿宋_GB2312" w:cs="仿宋_GB2312"/>
          <w:color w:val="auto"/>
          <w:sz w:val="32"/>
          <w:szCs w:val="32"/>
          <w:lang w:val="en-US" w:eastAsia="zh-CN"/>
        </w:rPr>
        <w:t>预算</w:t>
      </w:r>
      <w:r>
        <w:rPr>
          <w:rFonts w:hint="eastAsia" w:ascii="仿宋_GB2312" w:hAnsi="仿宋_GB2312" w:eastAsia="仿宋_GB2312" w:cs="仿宋_GB2312"/>
          <w:color w:val="auto"/>
          <w:sz w:val="32"/>
          <w:szCs w:val="32"/>
        </w:rPr>
        <w:t>收入完成</w:t>
      </w:r>
      <w:r>
        <w:rPr>
          <w:rFonts w:hint="eastAsia" w:ascii="仿宋_GB2312" w:hAnsi="仿宋_GB2312" w:eastAsia="仿宋_GB2312" w:cs="仿宋_GB2312"/>
          <w:color w:val="auto"/>
          <w:sz w:val="32"/>
          <w:szCs w:val="32"/>
          <w:lang w:val="en-US" w:eastAsia="zh-CN"/>
        </w:rPr>
        <w:t>14564</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2648</w:t>
      </w:r>
      <w:r>
        <w:rPr>
          <w:rFonts w:hint="eastAsia" w:ascii="仿宋_GB2312" w:hAnsi="仿宋_GB2312" w:eastAsia="仿宋_GB2312" w:cs="仿宋_GB2312"/>
          <w:color w:val="auto"/>
          <w:sz w:val="32"/>
          <w:szCs w:val="32"/>
        </w:rPr>
        <w:t>%。其中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股利、股息收入26万元，产权转让收入13900万元，</w:t>
      </w:r>
      <w:r>
        <w:rPr>
          <w:rFonts w:hint="eastAsia" w:ascii="仿宋_GB2312" w:hAnsi="仿宋_GB2312" w:eastAsia="仿宋_GB2312" w:cs="仿宋_GB2312"/>
          <w:color w:val="auto"/>
          <w:sz w:val="32"/>
          <w:szCs w:val="32"/>
        </w:rPr>
        <w:t>其他国有资本经营预算收入</w:t>
      </w:r>
      <w:r>
        <w:rPr>
          <w:rFonts w:hint="eastAsia" w:ascii="仿宋_GB2312" w:hAnsi="仿宋_GB2312" w:eastAsia="仿宋_GB2312" w:cs="仿宋_GB2312"/>
          <w:color w:val="auto"/>
          <w:sz w:val="32"/>
          <w:szCs w:val="32"/>
          <w:lang w:val="en-US" w:eastAsia="zh-CN"/>
        </w:rPr>
        <w:t>588</w:t>
      </w:r>
      <w:r>
        <w:rPr>
          <w:rFonts w:hint="eastAsia" w:ascii="仿宋_GB2312" w:hAnsi="仿宋_GB2312" w:eastAsia="仿宋_GB2312" w:cs="仿宋_GB2312"/>
          <w:color w:val="auto"/>
          <w:sz w:val="32"/>
          <w:szCs w:val="32"/>
        </w:rPr>
        <w:t>万元，国有资本经营预算转移支付收入</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rPr>
        <w:t>万元。</w:t>
      </w:r>
    </w:p>
    <w:p w14:paraId="5188802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2"/>
        <w:rPr>
          <w:rFonts w:hint="eastAsia"/>
          <w:color w:val="auto"/>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rPr>
        <w:t>，全县国有资本经营</w:t>
      </w:r>
      <w:r>
        <w:rPr>
          <w:rFonts w:hint="eastAsia" w:ascii="仿宋_GB2312" w:hAnsi="仿宋_GB2312" w:eastAsia="仿宋_GB2312" w:cs="仿宋_GB2312"/>
          <w:color w:val="auto"/>
          <w:sz w:val="32"/>
          <w:szCs w:val="32"/>
          <w:lang w:val="en-US" w:eastAsia="zh-CN"/>
        </w:rPr>
        <w:t>预算</w:t>
      </w:r>
      <w:r>
        <w:rPr>
          <w:rFonts w:hint="eastAsia" w:ascii="仿宋_GB2312" w:hAnsi="仿宋_GB2312" w:eastAsia="仿宋_GB2312" w:cs="仿宋_GB2312"/>
          <w:color w:val="auto"/>
          <w:sz w:val="32"/>
          <w:szCs w:val="32"/>
        </w:rPr>
        <w:t>支出完成</w:t>
      </w:r>
      <w:r>
        <w:rPr>
          <w:rFonts w:hint="eastAsia" w:ascii="仿宋_GB2312" w:hAnsi="仿宋_GB2312" w:eastAsia="仿宋_GB2312" w:cs="仿宋_GB2312"/>
          <w:snapToGrid w:val="0"/>
          <w:color w:val="auto"/>
          <w:kern w:val="0"/>
          <w:sz w:val="32"/>
          <w:szCs w:val="32"/>
          <w:lang w:val="en-US" w:eastAsia="zh-CN"/>
        </w:rPr>
        <w:t>14564</w:t>
      </w:r>
      <w:r>
        <w:rPr>
          <w:rFonts w:hint="eastAsia" w:ascii="仿宋_GB2312" w:hAnsi="仿宋_GB2312" w:eastAsia="仿宋_GB2312" w:cs="仿宋_GB2312"/>
          <w:snapToGrid w:val="0"/>
          <w:color w:val="auto"/>
          <w:kern w:val="0"/>
          <w:sz w:val="32"/>
          <w:szCs w:val="32"/>
        </w:rPr>
        <w:t>万元，</w:t>
      </w:r>
      <w:r>
        <w:rPr>
          <w:rFonts w:hint="eastAsia" w:ascii="仿宋_GB2312" w:hAnsi="仿宋_GB2312" w:eastAsia="仿宋_GB2312" w:cs="仿宋_GB2312"/>
          <w:color w:val="auto"/>
          <w:sz w:val="32"/>
          <w:szCs w:val="32"/>
        </w:rPr>
        <w:t>完成年初预算的</w:t>
      </w:r>
      <w:r>
        <w:rPr>
          <w:rFonts w:hint="eastAsia" w:ascii="仿宋_GB2312" w:hAnsi="仿宋_GB2312" w:eastAsia="仿宋_GB2312" w:cs="仿宋_GB2312"/>
          <w:color w:val="auto"/>
          <w:sz w:val="32"/>
          <w:szCs w:val="32"/>
          <w:lang w:val="en-US" w:eastAsia="zh-CN"/>
        </w:rPr>
        <w:t>2648%</w:t>
      </w:r>
      <w:r>
        <w:rPr>
          <w:rFonts w:hint="eastAsia" w:ascii="仿宋_GB2312" w:hAnsi="仿宋_GB2312" w:eastAsia="仿宋_GB2312" w:cs="仿宋_GB2312"/>
          <w:color w:val="auto"/>
          <w:sz w:val="32"/>
          <w:szCs w:val="32"/>
        </w:rPr>
        <w:t>。其中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解决历史遗留问题及改革成本支出</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val="en-US" w:eastAsia="zh-CN"/>
        </w:rPr>
        <w:t>国有企业资本金注入6000万元，</w:t>
      </w:r>
      <w:r>
        <w:rPr>
          <w:rFonts w:hint="eastAsia" w:ascii="仿宋_GB2312" w:hAnsi="仿宋_GB2312" w:eastAsia="仿宋_GB2312" w:cs="仿宋_GB2312"/>
          <w:color w:val="auto"/>
          <w:sz w:val="32"/>
          <w:szCs w:val="32"/>
        </w:rPr>
        <w:t>调</w:t>
      </w:r>
      <w:r>
        <w:rPr>
          <w:rFonts w:hint="eastAsia" w:ascii="仿宋_GB2312" w:hAnsi="仿宋_GB2312" w:eastAsia="仿宋_GB2312" w:cs="仿宋_GB2312"/>
          <w:color w:val="auto"/>
          <w:sz w:val="32"/>
          <w:szCs w:val="32"/>
          <w:lang w:val="en-US" w:eastAsia="zh-CN"/>
        </w:rPr>
        <w:t>出至</w:t>
      </w:r>
      <w:r>
        <w:rPr>
          <w:rFonts w:hint="eastAsia" w:ascii="仿宋_GB2312" w:hAnsi="仿宋_GB2312" w:eastAsia="仿宋_GB2312" w:cs="仿宋_GB2312"/>
          <w:color w:val="auto"/>
          <w:sz w:val="32"/>
          <w:szCs w:val="32"/>
        </w:rPr>
        <w:t>一般公共预算</w:t>
      </w:r>
      <w:r>
        <w:rPr>
          <w:rFonts w:hint="eastAsia" w:ascii="仿宋_GB2312" w:hAnsi="仿宋_GB2312" w:eastAsia="仿宋_GB2312" w:cs="仿宋_GB2312"/>
          <w:color w:val="auto"/>
          <w:sz w:val="32"/>
          <w:szCs w:val="32"/>
          <w:lang w:val="en-US" w:eastAsia="zh-CN"/>
        </w:rPr>
        <w:t>8514</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snapToGrid w:val="0"/>
          <w:color w:val="auto"/>
          <w:kern w:val="0"/>
          <w:sz w:val="32"/>
          <w:szCs w:val="32"/>
        </w:rPr>
        <w:t>收支平衡。</w:t>
      </w:r>
    </w:p>
    <w:p w14:paraId="32B4E97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（四）社保基金预算执行情况</w:t>
      </w:r>
    </w:p>
    <w:p w14:paraId="34C12FC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eastAsia="zh-CN"/>
        </w:rPr>
        <w:t>202</w:t>
      </w: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lang w:eastAsia="zh-CN"/>
        </w:rPr>
        <w:t>年</w:t>
      </w:r>
      <w:r>
        <w:rPr>
          <w:rFonts w:hint="eastAsia" w:ascii="仿宋_GB2312" w:hAnsi="仿宋_GB2312" w:eastAsia="仿宋_GB2312" w:cs="仿宋_GB2312"/>
          <w:b/>
          <w:bCs/>
          <w:color w:val="auto"/>
          <w:sz w:val="32"/>
          <w:szCs w:val="32"/>
          <w:highlight w:val="none"/>
        </w:rPr>
        <w:t>，社会保险基金收入完成</w:t>
      </w:r>
      <w:r>
        <w:rPr>
          <w:rFonts w:hint="eastAsia" w:ascii="仿宋_GB2312" w:hAnsi="仿宋_GB2312" w:eastAsia="仿宋_GB2312" w:cs="仿宋_GB2312"/>
          <w:b/>
          <w:bCs/>
          <w:color w:val="auto"/>
          <w:sz w:val="32"/>
          <w:szCs w:val="32"/>
          <w:highlight w:val="none"/>
          <w:lang w:val="en-US" w:eastAsia="zh-CN"/>
        </w:rPr>
        <w:t>76666</w:t>
      </w:r>
      <w:r>
        <w:rPr>
          <w:rFonts w:hint="eastAsia" w:ascii="仿宋_GB2312" w:hAnsi="仿宋_GB2312" w:eastAsia="仿宋_GB2312" w:cs="仿宋_GB2312"/>
          <w:b/>
          <w:bCs/>
          <w:color w:val="auto"/>
          <w:sz w:val="32"/>
          <w:szCs w:val="32"/>
          <w:highlight w:val="none"/>
        </w:rPr>
        <w:t>万元，占年初预算的</w:t>
      </w:r>
      <w:r>
        <w:rPr>
          <w:rFonts w:hint="eastAsia" w:ascii="仿宋_GB2312" w:hAnsi="仿宋_GB2312" w:eastAsia="仿宋_GB2312" w:cs="仿宋_GB2312"/>
          <w:b/>
          <w:bCs/>
          <w:color w:val="auto"/>
          <w:sz w:val="32"/>
          <w:szCs w:val="32"/>
          <w:highlight w:val="none"/>
          <w:lang w:val="en-US" w:eastAsia="zh-CN"/>
        </w:rPr>
        <w:t>116.4</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rPr>
        <w:t>同比增</w:t>
      </w:r>
      <w:r>
        <w:rPr>
          <w:rFonts w:hint="eastAsia" w:ascii="仿宋_GB2312" w:hAnsi="仿宋_GB2312" w:eastAsia="仿宋_GB2312" w:cs="仿宋_GB2312"/>
          <w:b/>
          <w:bCs/>
          <w:color w:val="auto"/>
          <w:sz w:val="32"/>
          <w:szCs w:val="32"/>
          <w:highlight w:val="none"/>
          <w:lang w:val="en-US" w:eastAsia="zh-CN"/>
        </w:rPr>
        <w:t>长8.5</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其中：保险费收入完成</w:t>
      </w:r>
      <w:r>
        <w:rPr>
          <w:rFonts w:hint="eastAsia" w:ascii="仿宋_GB2312" w:hAnsi="仿宋_GB2312" w:eastAsia="仿宋_GB2312" w:cs="仿宋_GB2312"/>
          <w:color w:val="auto"/>
          <w:sz w:val="32"/>
          <w:szCs w:val="32"/>
          <w:highlight w:val="none"/>
          <w:lang w:val="en-US" w:eastAsia="zh-CN"/>
        </w:rPr>
        <w:t>37477</w:t>
      </w:r>
      <w:r>
        <w:rPr>
          <w:rFonts w:hint="eastAsia" w:ascii="仿宋_GB2312" w:hAnsi="仿宋_GB2312" w:eastAsia="仿宋_GB2312" w:cs="仿宋_GB2312"/>
          <w:color w:val="auto"/>
          <w:sz w:val="32"/>
          <w:szCs w:val="32"/>
          <w:highlight w:val="none"/>
        </w:rPr>
        <w:t>万元，占年初预算的</w:t>
      </w:r>
      <w:r>
        <w:rPr>
          <w:rFonts w:hint="eastAsia" w:ascii="仿宋_GB2312" w:hAnsi="仿宋_GB2312" w:eastAsia="仿宋_GB2312" w:cs="仿宋_GB2312"/>
          <w:color w:val="auto"/>
          <w:sz w:val="32"/>
          <w:szCs w:val="32"/>
          <w:highlight w:val="none"/>
          <w:lang w:val="en-US" w:eastAsia="zh-CN"/>
        </w:rPr>
        <w:t>105.6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6.6</w:t>
      </w:r>
      <w:r>
        <w:rPr>
          <w:rFonts w:hint="eastAsia" w:ascii="仿宋_GB2312" w:hAnsi="仿宋_GB2312" w:eastAsia="仿宋_GB2312" w:cs="仿宋_GB2312"/>
          <w:color w:val="auto"/>
          <w:sz w:val="32"/>
          <w:szCs w:val="32"/>
          <w:highlight w:val="none"/>
        </w:rPr>
        <w:t>%；财政补贴收入完成3</w:t>
      </w:r>
      <w:r>
        <w:rPr>
          <w:rFonts w:hint="eastAsia" w:ascii="仿宋_GB2312" w:hAnsi="仿宋_GB2312" w:eastAsia="仿宋_GB2312" w:cs="仿宋_GB2312"/>
          <w:color w:val="auto"/>
          <w:sz w:val="32"/>
          <w:szCs w:val="32"/>
          <w:highlight w:val="none"/>
          <w:lang w:val="en-US" w:eastAsia="zh-CN"/>
        </w:rPr>
        <w:t>6424</w:t>
      </w:r>
      <w:r>
        <w:rPr>
          <w:rFonts w:hint="eastAsia" w:ascii="仿宋_GB2312" w:hAnsi="仿宋_GB2312" w:eastAsia="仿宋_GB2312" w:cs="仿宋_GB2312"/>
          <w:color w:val="auto"/>
          <w:sz w:val="32"/>
          <w:szCs w:val="32"/>
          <w:highlight w:val="none"/>
        </w:rPr>
        <w:t>万元，占年初预算的1</w:t>
      </w:r>
      <w:r>
        <w:rPr>
          <w:rFonts w:hint="eastAsia" w:ascii="仿宋_GB2312" w:hAnsi="仿宋_GB2312" w:eastAsia="仿宋_GB2312" w:cs="仿宋_GB2312"/>
          <w:color w:val="auto"/>
          <w:sz w:val="32"/>
          <w:szCs w:val="32"/>
          <w:highlight w:val="none"/>
          <w:lang w:val="en-US" w:eastAsia="zh-CN"/>
        </w:rPr>
        <w:t>27.9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9.4</w:t>
      </w:r>
      <w:r>
        <w:rPr>
          <w:rFonts w:hint="eastAsia" w:ascii="仿宋_GB2312" w:hAnsi="仿宋_GB2312" w:eastAsia="仿宋_GB2312" w:cs="仿宋_GB2312"/>
          <w:color w:val="auto"/>
          <w:sz w:val="32"/>
          <w:szCs w:val="32"/>
          <w:highlight w:val="none"/>
        </w:rPr>
        <w:t>%；其他收入完成</w:t>
      </w:r>
      <w:r>
        <w:rPr>
          <w:rFonts w:hint="eastAsia" w:ascii="仿宋_GB2312" w:hAnsi="仿宋_GB2312" w:eastAsia="仿宋_GB2312" w:cs="仿宋_GB2312"/>
          <w:color w:val="auto"/>
          <w:sz w:val="32"/>
          <w:szCs w:val="32"/>
          <w:highlight w:val="none"/>
          <w:lang w:val="en-US" w:eastAsia="zh-CN"/>
        </w:rPr>
        <w:t>2765</w:t>
      </w:r>
      <w:r>
        <w:rPr>
          <w:rFonts w:hint="eastAsia" w:ascii="仿宋_GB2312" w:hAnsi="仿宋_GB2312" w:eastAsia="仿宋_GB2312" w:cs="仿宋_GB2312"/>
          <w:color w:val="auto"/>
          <w:sz w:val="32"/>
          <w:szCs w:val="32"/>
          <w:highlight w:val="none"/>
        </w:rPr>
        <w:t>万元，占年初预算的</w:t>
      </w:r>
      <w:r>
        <w:rPr>
          <w:rFonts w:hint="eastAsia" w:ascii="仿宋_GB2312" w:hAnsi="仿宋_GB2312" w:eastAsia="仿宋_GB2312" w:cs="仿宋_GB2312"/>
          <w:color w:val="auto"/>
          <w:sz w:val="32"/>
          <w:szCs w:val="32"/>
          <w:highlight w:val="none"/>
          <w:lang w:val="en-US" w:eastAsia="zh-CN"/>
        </w:rPr>
        <w:t>146.1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w:t>
      </w:r>
      <w:r>
        <w:rPr>
          <w:rFonts w:hint="eastAsia" w:ascii="仿宋_GB2312" w:hAnsi="仿宋_GB2312" w:eastAsia="仿宋_GB2312" w:cs="仿宋_GB2312"/>
          <w:color w:val="auto"/>
          <w:sz w:val="32"/>
          <w:szCs w:val="32"/>
          <w:highlight w:val="none"/>
          <w:lang w:val="en-US" w:eastAsia="zh-CN"/>
        </w:rPr>
        <w:t>增长23.6</w:t>
      </w:r>
      <w:r>
        <w:rPr>
          <w:rFonts w:hint="eastAsia" w:ascii="仿宋_GB2312" w:hAnsi="仿宋_GB2312" w:eastAsia="仿宋_GB2312" w:cs="仿宋_GB2312"/>
          <w:color w:val="auto"/>
          <w:sz w:val="32"/>
          <w:szCs w:val="32"/>
          <w:highlight w:val="none"/>
        </w:rPr>
        <w:t>%。</w:t>
      </w:r>
    </w:p>
    <w:p w14:paraId="36EA0BFC">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分各项基金情况看：</w:t>
      </w:r>
      <w:r>
        <w:rPr>
          <w:rFonts w:hint="eastAsia" w:ascii="仿宋_GB2312" w:hAnsi="仿宋_GB2312" w:eastAsia="仿宋_GB2312" w:cs="仿宋_GB2312"/>
          <w:color w:val="auto"/>
          <w:sz w:val="32"/>
          <w:szCs w:val="32"/>
          <w:highlight w:val="none"/>
        </w:rPr>
        <w:t>机关事业单位基本养老保险基金收入</w:t>
      </w:r>
      <w:r>
        <w:rPr>
          <w:rFonts w:hint="eastAsia" w:ascii="仿宋_GB2312" w:hAnsi="仿宋_GB2312" w:eastAsia="仿宋_GB2312" w:cs="仿宋_GB2312"/>
          <w:color w:val="auto"/>
          <w:sz w:val="32"/>
          <w:szCs w:val="32"/>
          <w:highlight w:val="none"/>
          <w:lang w:val="en-US" w:eastAsia="zh-CN"/>
        </w:rPr>
        <w:t>35103</w:t>
      </w:r>
      <w:r>
        <w:rPr>
          <w:rFonts w:hint="eastAsia" w:ascii="仿宋_GB2312" w:hAnsi="仿宋_GB2312" w:eastAsia="仿宋_GB2312" w:cs="仿宋_GB2312"/>
          <w:color w:val="auto"/>
          <w:sz w:val="32"/>
          <w:szCs w:val="32"/>
          <w:highlight w:val="none"/>
        </w:rPr>
        <w:t>万元，占年初预算的</w:t>
      </w:r>
      <w:r>
        <w:rPr>
          <w:rFonts w:hint="eastAsia" w:ascii="仿宋_GB2312" w:hAnsi="仿宋_GB2312" w:eastAsia="仿宋_GB2312" w:cs="仿宋_GB2312"/>
          <w:color w:val="auto"/>
          <w:sz w:val="32"/>
          <w:szCs w:val="32"/>
          <w:highlight w:val="none"/>
          <w:lang w:val="en-US" w:eastAsia="zh-CN"/>
        </w:rPr>
        <w:t>106.7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5.7</w:t>
      </w:r>
      <w:r>
        <w:rPr>
          <w:rFonts w:hint="eastAsia" w:ascii="仿宋_GB2312" w:hAnsi="仿宋_GB2312" w:eastAsia="仿宋_GB2312" w:cs="仿宋_GB2312"/>
          <w:color w:val="auto"/>
          <w:sz w:val="32"/>
          <w:szCs w:val="32"/>
          <w:highlight w:val="none"/>
        </w:rPr>
        <w:t>%；城乡居民基本养老保险基金收入完成</w:t>
      </w:r>
      <w:r>
        <w:rPr>
          <w:rFonts w:hint="eastAsia" w:ascii="仿宋_GB2312" w:hAnsi="仿宋_GB2312" w:eastAsia="仿宋_GB2312" w:cs="仿宋_GB2312"/>
          <w:color w:val="auto"/>
          <w:sz w:val="32"/>
          <w:szCs w:val="32"/>
          <w:highlight w:val="none"/>
          <w:lang w:val="en-US" w:eastAsia="zh-CN"/>
        </w:rPr>
        <w:t>41563</w:t>
      </w:r>
      <w:r>
        <w:rPr>
          <w:rFonts w:hint="eastAsia" w:ascii="仿宋_GB2312" w:hAnsi="仿宋_GB2312" w:eastAsia="仿宋_GB2312" w:cs="仿宋_GB2312"/>
          <w:color w:val="auto"/>
          <w:sz w:val="32"/>
          <w:szCs w:val="32"/>
          <w:highlight w:val="none"/>
        </w:rPr>
        <w:t>万元，占年初预算的1</w:t>
      </w:r>
      <w:r>
        <w:rPr>
          <w:rFonts w:hint="eastAsia" w:ascii="仿宋_GB2312" w:hAnsi="仿宋_GB2312" w:eastAsia="仿宋_GB2312" w:cs="仿宋_GB2312"/>
          <w:color w:val="auto"/>
          <w:sz w:val="32"/>
          <w:szCs w:val="32"/>
          <w:highlight w:val="none"/>
          <w:lang w:val="en-US" w:eastAsia="zh-CN"/>
        </w:rPr>
        <w:t>26.2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w:t>
      </w:r>
      <w:r>
        <w:rPr>
          <w:rFonts w:hint="eastAsia" w:ascii="仿宋_GB2312" w:hAnsi="仿宋_GB2312" w:eastAsia="仿宋_GB2312" w:cs="仿宋_GB2312"/>
          <w:color w:val="auto"/>
          <w:sz w:val="32"/>
          <w:szCs w:val="32"/>
          <w:highlight w:val="none"/>
          <w:lang w:val="en-US" w:eastAsia="zh-CN"/>
        </w:rPr>
        <w:t>增长11</w:t>
      </w:r>
      <w:r>
        <w:rPr>
          <w:rFonts w:hint="eastAsia" w:ascii="仿宋_GB2312" w:hAnsi="仿宋_GB2312" w:eastAsia="仿宋_GB2312" w:cs="仿宋_GB2312"/>
          <w:color w:val="auto"/>
          <w:sz w:val="32"/>
          <w:szCs w:val="32"/>
          <w:highlight w:val="none"/>
        </w:rPr>
        <w:t>%。</w:t>
      </w:r>
    </w:p>
    <w:p w14:paraId="1D548AAB">
      <w:pPr>
        <w:keepNext w:val="0"/>
        <w:keepLines w:val="0"/>
        <w:pageBreakBefore w:val="0"/>
        <w:kinsoku/>
        <w:wordWrap/>
        <w:overflowPunct/>
        <w:topLinePunct w:val="0"/>
        <w:autoSpaceDE/>
        <w:autoSpaceDN/>
        <w:bidi w:val="0"/>
        <w:adjustRightInd/>
        <w:snapToGrid/>
        <w:spacing w:line="560" w:lineRule="exact"/>
        <w:ind w:firstLine="57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eastAsia="zh-CN"/>
        </w:rPr>
        <w:t>202</w:t>
      </w: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lang w:eastAsia="zh-CN"/>
        </w:rPr>
        <w:t>年</w:t>
      </w:r>
      <w:r>
        <w:rPr>
          <w:rFonts w:hint="eastAsia" w:ascii="仿宋_GB2312" w:hAnsi="仿宋_GB2312" w:eastAsia="仿宋_GB2312" w:cs="仿宋_GB2312"/>
          <w:b/>
          <w:bCs/>
          <w:color w:val="auto"/>
          <w:sz w:val="32"/>
          <w:szCs w:val="32"/>
          <w:highlight w:val="none"/>
        </w:rPr>
        <w:t>，社会保险基金支出完成</w:t>
      </w:r>
      <w:r>
        <w:rPr>
          <w:rFonts w:hint="eastAsia" w:ascii="仿宋_GB2312" w:hAnsi="仿宋_GB2312" w:eastAsia="仿宋_GB2312" w:cs="仿宋_GB2312"/>
          <w:b/>
          <w:bCs/>
          <w:color w:val="auto"/>
          <w:sz w:val="32"/>
          <w:szCs w:val="32"/>
          <w:highlight w:val="none"/>
          <w:lang w:val="en-US" w:eastAsia="zh-CN"/>
        </w:rPr>
        <w:t>63603</w:t>
      </w:r>
      <w:r>
        <w:rPr>
          <w:rFonts w:hint="eastAsia" w:ascii="仿宋_GB2312" w:hAnsi="仿宋_GB2312" w:eastAsia="仿宋_GB2312" w:cs="仿宋_GB2312"/>
          <w:b/>
          <w:bCs/>
          <w:color w:val="auto"/>
          <w:sz w:val="32"/>
          <w:szCs w:val="32"/>
          <w:highlight w:val="none"/>
        </w:rPr>
        <w:t>万元，占年初预算的1</w:t>
      </w:r>
      <w:r>
        <w:rPr>
          <w:rFonts w:hint="eastAsia" w:ascii="仿宋_GB2312" w:hAnsi="仿宋_GB2312" w:eastAsia="仿宋_GB2312" w:cs="仿宋_GB2312"/>
          <w:b/>
          <w:bCs/>
          <w:color w:val="auto"/>
          <w:sz w:val="32"/>
          <w:szCs w:val="32"/>
          <w:highlight w:val="none"/>
          <w:lang w:val="en-US" w:eastAsia="zh-CN"/>
        </w:rPr>
        <w:t>03</w:t>
      </w:r>
      <w:r>
        <w:rPr>
          <w:rFonts w:hint="eastAsia" w:ascii="仿宋_GB2312" w:hAnsi="仿宋_GB2312" w:eastAsia="仿宋_GB2312" w:cs="仿宋_GB2312"/>
          <w:b/>
          <w:bCs/>
          <w:color w:val="auto"/>
          <w:sz w:val="32"/>
          <w:szCs w:val="32"/>
          <w:highlight w:val="none"/>
        </w:rPr>
        <w:t>%，同比增</w:t>
      </w:r>
      <w:r>
        <w:rPr>
          <w:rFonts w:hint="eastAsia" w:ascii="仿宋_GB2312" w:hAnsi="仿宋_GB2312" w:eastAsia="仿宋_GB2312" w:cs="仿宋_GB2312"/>
          <w:b/>
          <w:bCs/>
          <w:color w:val="auto"/>
          <w:sz w:val="32"/>
          <w:szCs w:val="32"/>
          <w:highlight w:val="none"/>
          <w:lang w:val="en-US" w:eastAsia="zh-CN"/>
        </w:rPr>
        <w:t>长10.2</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其中：机关事业单位基本养老保险基金支出</w:t>
      </w:r>
      <w:r>
        <w:rPr>
          <w:rFonts w:hint="eastAsia" w:ascii="仿宋_GB2312" w:hAnsi="仿宋_GB2312" w:eastAsia="仿宋_GB2312" w:cs="仿宋_GB2312"/>
          <w:color w:val="auto"/>
          <w:sz w:val="32"/>
          <w:szCs w:val="32"/>
          <w:highlight w:val="none"/>
          <w:lang w:val="en-US" w:eastAsia="zh-CN"/>
        </w:rPr>
        <w:t>35102</w:t>
      </w:r>
      <w:r>
        <w:rPr>
          <w:rFonts w:hint="eastAsia" w:ascii="仿宋_GB2312" w:hAnsi="仿宋_GB2312" w:eastAsia="仿宋_GB2312" w:cs="仿宋_GB2312"/>
          <w:color w:val="auto"/>
          <w:sz w:val="32"/>
          <w:szCs w:val="32"/>
          <w:highlight w:val="none"/>
        </w:rPr>
        <w:t>万元，占年初预算的</w:t>
      </w:r>
      <w:r>
        <w:rPr>
          <w:rFonts w:hint="eastAsia" w:ascii="仿宋_GB2312" w:hAnsi="仿宋_GB2312" w:eastAsia="仿宋_GB2312" w:cs="仿宋_GB2312"/>
          <w:color w:val="auto"/>
          <w:sz w:val="32"/>
          <w:szCs w:val="32"/>
          <w:highlight w:val="none"/>
          <w:lang w:val="en-US" w:eastAsia="zh-CN"/>
        </w:rPr>
        <w:t>103.1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8.4</w:t>
      </w:r>
      <w:r>
        <w:rPr>
          <w:rFonts w:hint="eastAsia" w:ascii="仿宋_GB2312" w:hAnsi="仿宋_GB2312" w:eastAsia="仿宋_GB2312" w:cs="仿宋_GB2312"/>
          <w:color w:val="auto"/>
          <w:sz w:val="32"/>
          <w:szCs w:val="32"/>
          <w:highlight w:val="none"/>
        </w:rPr>
        <w:t>%；城乡居民基本养老保险基金支出</w:t>
      </w:r>
      <w:r>
        <w:rPr>
          <w:rFonts w:hint="eastAsia" w:ascii="仿宋_GB2312" w:hAnsi="仿宋_GB2312" w:eastAsia="仿宋_GB2312" w:cs="仿宋_GB2312"/>
          <w:color w:val="auto"/>
          <w:sz w:val="32"/>
          <w:szCs w:val="32"/>
          <w:highlight w:val="none"/>
          <w:lang w:val="en-US" w:eastAsia="zh-CN"/>
        </w:rPr>
        <w:t>28501</w:t>
      </w:r>
      <w:r>
        <w:rPr>
          <w:rFonts w:hint="eastAsia" w:ascii="仿宋_GB2312" w:hAnsi="仿宋_GB2312" w:eastAsia="仿宋_GB2312" w:cs="仿宋_GB2312"/>
          <w:color w:val="auto"/>
          <w:sz w:val="32"/>
          <w:szCs w:val="32"/>
          <w:highlight w:val="none"/>
        </w:rPr>
        <w:t>万元，占年初预算的</w:t>
      </w:r>
      <w:r>
        <w:rPr>
          <w:rFonts w:hint="eastAsia" w:ascii="仿宋_GB2312" w:hAnsi="仿宋_GB2312" w:eastAsia="仿宋_GB2312" w:cs="仿宋_GB2312"/>
          <w:color w:val="auto"/>
          <w:sz w:val="32"/>
          <w:szCs w:val="32"/>
          <w:highlight w:val="none"/>
          <w:lang w:val="en-US" w:eastAsia="zh-CN"/>
        </w:rPr>
        <w:t>103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12.4</w:t>
      </w:r>
      <w:r>
        <w:rPr>
          <w:rFonts w:hint="eastAsia" w:ascii="仿宋_GB2312" w:hAnsi="仿宋_GB2312" w:eastAsia="仿宋_GB2312" w:cs="仿宋_GB2312"/>
          <w:color w:val="auto"/>
          <w:sz w:val="32"/>
          <w:szCs w:val="32"/>
          <w:highlight w:val="none"/>
        </w:rPr>
        <w:t>%。</w:t>
      </w:r>
    </w:p>
    <w:p w14:paraId="6541AAA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社保基金收支平衡情况</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rPr>
        <w:t>社会保险基金本年收支结余</w:t>
      </w:r>
      <w:r>
        <w:rPr>
          <w:rFonts w:hint="eastAsia" w:ascii="仿宋_GB2312" w:hAnsi="仿宋_GB2312" w:eastAsia="仿宋_GB2312" w:cs="仿宋_GB2312"/>
          <w:color w:val="auto"/>
          <w:sz w:val="32"/>
          <w:szCs w:val="32"/>
          <w:highlight w:val="none"/>
          <w:lang w:val="en-US" w:eastAsia="zh-CN"/>
        </w:rPr>
        <w:t>13063</w:t>
      </w:r>
      <w:r>
        <w:rPr>
          <w:rFonts w:hint="eastAsia" w:ascii="仿宋_GB2312" w:hAnsi="仿宋_GB2312" w:eastAsia="仿宋_GB2312" w:cs="仿宋_GB2312"/>
          <w:color w:val="auto"/>
          <w:sz w:val="32"/>
          <w:szCs w:val="32"/>
          <w:highlight w:val="none"/>
        </w:rPr>
        <w:t>万元，年末滚存结余</w:t>
      </w:r>
      <w:r>
        <w:rPr>
          <w:rFonts w:hint="eastAsia" w:ascii="仿宋_GB2312" w:hAnsi="仿宋_GB2312" w:eastAsia="仿宋_GB2312" w:cs="仿宋_GB2312"/>
          <w:color w:val="auto"/>
          <w:sz w:val="32"/>
          <w:szCs w:val="32"/>
          <w:highlight w:val="none"/>
          <w:lang w:val="en-US" w:eastAsia="zh-CN"/>
        </w:rPr>
        <w:t>86616</w:t>
      </w:r>
      <w:r>
        <w:rPr>
          <w:rFonts w:hint="eastAsia" w:ascii="仿宋_GB2312" w:hAnsi="仿宋_GB2312" w:eastAsia="仿宋_GB2312" w:cs="仿宋_GB2312"/>
          <w:color w:val="auto"/>
          <w:sz w:val="32"/>
          <w:szCs w:val="32"/>
          <w:highlight w:val="none"/>
        </w:rPr>
        <w:t>万元。</w:t>
      </w:r>
    </w:p>
    <w:p w14:paraId="382BEA3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w:t>
      </w:r>
      <w:r>
        <w:rPr>
          <w:rFonts w:hint="eastAsia" w:ascii="黑体" w:hAnsi="黑体" w:eastAsia="黑体" w:cs="黑体"/>
          <w:color w:val="auto"/>
          <w:kern w:val="0"/>
          <w:sz w:val="32"/>
          <w:szCs w:val="32"/>
          <w:lang w:eastAsia="zh-CN"/>
        </w:rPr>
        <w:t>202</w:t>
      </w:r>
      <w:r>
        <w:rPr>
          <w:rFonts w:hint="eastAsia" w:ascii="黑体" w:hAnsi="黑体" w:eastAsia="黑体" w:cs="黑体"/>
          <w:color w:val="auto"/>
          <w:kern w:val="0"/>
          <w:sz w:val="32"/>
          <w:szCs w:val="32"/>
          <w:lang w:val="en-US" w:eastAsia="zh-CN"/>
        </w:rPr>
        <w:t>4</w:t>
      </w:r>
      <w:r>
        <w:rPr>
          <w:rFonts w:hint="eastAsia" w:ascii="黑体" w:hAnsi="黑体" w:eastAsia="黑体" w:cs="黑体"/>
          <w:color w:val="auto"/>
          <w:kern w:val="0"/>
          <w:sz w:val="32"/>
          <w:szCs w:val="32"/>
          <w:lang w:eastAsia="zh-CN"/>
        </w:rPr>
        <w:t>年</w:t>
      </w:r>
      <w:r>
        <w:rPr>
          <w:rFonts w:hint="eastAsia" w:ascii="黑体" w:hAnsi="黑体" w:eastAsia="黑体" w:cs="黑体"/>
          <w:color w:val="auto"/>
          <w:kern w:val="0"/>
          <w:sz w:val="32"/>
          <w:szCs w:val="32"/>
        </w:rPr>
        <w:t>财政主要工作及成效</w:t>
      </w:r>
    </w:p>
    <w:p w14:paraId="5659A611">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2024年，按照县十九届人大四次会议有关决议，财政部门加力提效实施积极财政政策</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不断提升财政资源配置效率，集中财力保障重大战略落实，切实保障改善民生，</w:t>
      </w:r>
      <w:r>
        <w:rPr>
          <w:rFonts w:hint="eastAsia" w:ascii="仿宋_GB2312" w:hAnsi="仿宋_GB2312" w:eastAsia="仿宋_GB2312" w:cs="仿宋_GB2312"/>
          <w:color w:val="auto"/>
          <w:sz w:val="32"/>
          <w:szCs w:val="32"/>
        </w:rPr>
        <w:t>加强财会监督管理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积极防范风险隐患，全力保障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三大战略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八大行动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实施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服务全县高质量发展大局</w:t>
      </w:r>
      <w:r>
        <w:rPr>
          <w:rFonts w:hint="eastAsia" w:ascii="仿宋_GB2312" w:hAnsi="仿宋_GB2312" w:eastAsia="仿宋_GB2312" w:cs="仿宋_GB2312"/>
          <w:color w:val="auto"/>
          <w:sz w:val="32"/>
          <w:szCs w:val="32"/>
        </w:rPr>
        <w:t>。</w:t>
      </w:r>
    </w:p>
    <w:p w14:paraId="41C0EF8B">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bottom"/>
        <w:rPr>
          <w:rFonts w:hint="default" w:ascii="仿宋_GB2312" w:hAnsi="仿宋_GB2312" w:eastAsia="仿宋_GB2312" w:cs="仿宋_GB2312"/>
          <w:color w:val="auto"/>
          <w:kern w:val="0"/>
          <w:sz w:val="32"/>
          <w:szCs w:val="32"/>
          <w:lang w:val="en-US" w:eastAsia="zh-CN"/>
        </w:rPr>
      </w:pPr>
      <w:r>
        <w:rPr>
          <w:rFonts w:hint="eastAsia" w:ascii="楷体" w:hAnsi="楷体" w:eastAsia="楷体" w:cs="楷体"/>
          <w:b/>
          <w:bCs/>
          <w:kern w:val="0"/>
          <w:sz w:val="32"/>
          <w:szCs w:val="32"/>
          <w:highlight w:val="none"/>
          <w:lang w:eastAsia="zh-CN"/>
        </w:rPr>
        <w:t>（</w:t>
      </w:r>
      <w:r>
        <w:rPr>
          <w:rFonts w:hint="eastAsia" w:ascii="楷体" w:hAnsi="楷体" w:eastAsia="楷体" w:cs="楷体"/>
          <w:b/>
          <w:bCs/>
          <w:kern w:val="0"/>
          <w:sz w:val="32"/>
          <w:szCs w:val="32"/>
          <w:highlight w:val="none"/>
          <w:lang w:val="en-US" w:eastAsia="zh-CN"/>
        </w:rPr>
        <w:t>一</w:t>
      </w:r>
      <w:r>
        <w:rPr>
          <w:rFonts w:hint="eastAsia" w:ascii="楷体" w:hAnsi="楷体" w:eastAsia="楷体" w:cs="楷体"/>
          <w:b/>
          <w:bCs/>
          <w:kern w:val="0"/>
          <w:sz w:val="32"/>
          <w:szCs w:val="32"/>
          <w:highlight w:val="none"/>
          <w:lang w:eastAsia="zh-CN"/>
        </w:rPr>
        <w:t>）</w:t>
      </w:r>
      <w:r>
        <w:rPr>
          <w:rFonts w:hint="eastAsia" w:ascii="楷体" w:hAnsi="楷体" w:eastAsia="楷体" w:cs="楷体"/>
          <w:b/>
          <w:bCs/>
          <w:kern w:val="0"/>
          <w:sz w:val="32"/>
          <w:szCs w:val="32"/>
          <w:highlight w:val="none"/>
          <w:lang w:val="en-US" w:eastAsia="zh-CN"/>
        </w:rPr>
        <w:t>挖潜增收，财政收入保持平稳增长。</w:t>
      </w:r>
      <w:r>
        <w:rPr>
          <w:rFonts w:hint="eastAsia" w:ascii="仿宋_GB2312" w:hAnsi="仿宋_GB2312" w:eastAsia="仿宋_GB2312" w:cs="仿宋_GB2312"/>
          <w:b/>
          <w:bCs/>
          <w:kern w:val="0"/>
          <w:sz w:val="32"/>
          <w:szCs w:val="32"/>
          <w:highlight w:val="none"/>
          <w:lang w:val="en-US" w:eastAsia="zh-CN"/>
        </w:rPr>
        <w:t>一是提升税收征管质效。</w:t>
      </w:r>
      <w:r>
        <w:rPr>
          <w:rFonts w:hint="eastAsia" w:ascii="仿宋_GB2312" w:hAnsi="仿宋_GB2312" w:eastAsia="仿宋_GB2312" w:cs="仿宋_GB2312"/>
          <w:b w:val="0"/>
          <w:bCs w:val="0"/>
          <w:kern w:val="0"/>
          <w:sz w:val="32"/>
          <w:szCs w:val="32"/>
          <w:highlight w:val="none"/>
          <w:lang w:val="en-US" w:eastAsia="zh-CN"/>
        </w:rPr>
        <w:t>密切关注经济形势、企业运行情况、财税政策的调整变化，准确把握收入趋势，着力加强对重点行业、重点领域、重大项目和重点税种的分析和预判，加大对重点行业和重点税种的税收清理和风险排查力度，积极跟踪做好重点企业纳税指导，进一步细化管理，堵塞漏洞，确保应收尽收。全县一般公共预算收入完成11.22亿元，增长3.5%，税收占比59.6%。</w:t>
      </w:r>
      <w:r>
        <w:rPr>
          <w:rFonts w:hint="eastAsia" w:ascii="仿宋_GB2312" w:hAnsi="仿宋_GB2312" w:eastAsia="仿宋_GB2312" w:cs="仿宋_GB2312"/>
          <w:b/>
          <w:bCs/>
          <w:kern w:val="0"/>
          <w:sz w:val="32"/>
          <w:szCs w:val="32"/>
          <w:highlight w:val="none"/>
          <w:lang w:val="en-US" w:eastAsia="zh-CN"/>
        </w:rPr>
        <w:t>二是加强非税收入管理。</w:t>
      </w:r>
      <w:r>
        <w:rPr>
          <w:rFonts w:hint="eastAsia" w:ascii="仿宋_GB2312" w:hAnsi="仿宋_GB2312" w:eastAsia="仿宋_GB2312" w:cs="仿宋_GB2312"/>
          <w:b w:val="0"/>
          <w:bCs w:val="0"/>
          <w:kern w:val="0"/>
          <w:sz w:val="32"/>
          <w:szCs w:val="32"/>
          <w:highlight w:val="none"/>
          <w:lang w:val="en-US" w:eastAsia="zh-CN"/>
        </w:rPr>
        <w:t>严格落实非税收缴政策，加大非税收入征缴力度，确保非税收入及时、足额上缴国库，做到应收尽收，助力一般公共预算收入平稳增长。全县</w:t>
      </w:r>
      <w:r>
        <w:rPr>
          <w:rFonts w:hint="eastAsia" w:ascii="仿宋_GB2312" w:hAnsi="仿宋_GB2312" w:eastAsia="仿宋_GB2312" w:cs="仿宋_GB2312"/>
          <w:kern w:val="0"/>
          <w:sz w:val="32"/>
          <w:szCs w:val="32"/>
          <w:highlight w:val="none"/>
          <w:lang w:val="en-US" w:eastAsia="zh-CN"/>
        </w:rPr>
        <w:t>非税收入完成4.53亿元，同比增长17.2%</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b/>
          <w:bCs/>
          <w:kern w:val="0"/>
          <w:sz w:val="32"/>
          <w:szCs w:val="32"/>
          <w:highlight w:val="none"/>
          <w:lang w:val="en-US" w:eastAsia="zh-CN"/>
        </w:rPr>
        <w:t>三是多点发力向上争资。</w:t>
      </w:r>
      <w:r>
        <w:rPr>
          <w:rFonts w:hint="eastAsia" w:ascii="仿宋_GB2312" w:hAnsi="仿宋_GB2312" w:eastAsia="仿宋_GB2312" w:cs="仿宋_GB2312"/>
          <w:b w:val="0"/>
          <w:bCs w:val="0"/>
          <w:kern w:val="0"/>
          <w:sz w:val="32"/>
          <w:szCs w:val="32"/>
          <w:highlight w:val="none"/>
          <w:lang w:val="en-US" w:eastAsia="zh-CN"/>
        </w:rPr>
        <w:t>密切关注中央、省、市政策新动向，</w:t>
      </w:r>
      <w:r>
        <w:rPr>
          <w:rFonts w:hint="eastAsia" w:ascii="仿宋_GB2312" w:hAnsi="仿宋_GB2312" w:eastAsia="仿宋_GB2312" w:cs="仿宋_GB2312"/>
          <w:b w:val="0"/>
          <w:bCs w:val="0"/>
          <w:i w:val="0"/>
          <w:iCs w:val="0"/>
          <w:kern w:val="0"/>
          <w:sz w:val="32"/>
          <w:szCs w:val="32"/>
          <w:highlight w:val="none"/>
          <w:lang w:val="en-US" w:eastAsia="zh-CN"/>
        </w:rPr>
        <w:t>向上争取各类财政资金75.48亿元，同比增长20.8%，其中：新增一般债券1.64亿元、新增专项债券9.28亿元、增发国债9.39亿元、超长期特别国债2.47亿元，其他转移支付资金52.7亿元，有力支持县域重大项目建设。</w:t>
      </w:r>
    </w:p>
    <w:p w14:paraId="7B213F91">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rPr>
          <w:rFonts w:hint="eastAsia" w:ascii="仿宋_GB2312" w:hAnsi="仿宋_GB2312" w:eastAsia="仿宋_GB2312" w:cs="仿宋_GB2312"/>
          <w:kern w:val="0"/>
          <w:sz w:val="32"/>
          <w:szCs w:val="32"/>
          <w:highlight w:val="none"/>
          <w:lang w:val="en-US" w:eastAsia="zh-CN"/>
        </w:rPr>
      </w:pPr>
      <w:r>
        <w:rPr>
          <w:rFonts w:hint="eastAsia" w:ascii="楷体" w:hAnsi="楷体" w:eastAsia="楷体" w:cs="楷体"/>
          <w:b/>
          <w:bCs/>
          <w:kern w:val="0"/>
          <w:sz w:val="32"/>
          <w:szCs w:val="32"/>
          <w:highlight w:val="none"/>
          <w:lang w:val="en-US" w:eastAsia="zh-CN"/>
        </w:rPr>
        <w:t>（二）精准调度，积极财政政策落地见效。</w:t>
      </w:r>
      <w:r>
        <w:rPr>
          <w:rFonts w:hint="eastAsia" w:ascii="仿宋_GB2312" w:hAnsi="仿宋_GB2312" w:eastAsia="仿宋_GB2312" w:cs="仿宋_GB2312"/>
          <w:b w:val="0"/>
          <w:bCs w:val="0"/>
          <w:i w:val="0"/>
          <w:iCs w:val="0"/>
          <w:kern w:val="0"/>
          <w:sz w:val="32"/>
          <w:szCs w:val="32"/>
          <w:highlight w:val="none"/>
          <w:lang w:val="en-US" w:eastAsia="zh-CN" w:bidi="ar-SA"/>
        </w:rPr>
        <w:t>积极的财政政策协同发力，放大财政政策倍数效应。</w:t>
      </w:r>
      <w:r>
        <w:rPr>
          <w:rFonts w:hint="eastAsia" w:ascii="仿宋_GB2312" w:hAnsi="仿宋_GB2312" w:eastAsia="仿宋_GB2312" w:cs="仿宋_GB2312"/>
          <w:b/>
          <w:bCs/>
          <w:i w:val="0"/>
          <w:iCs w:val="0"/>
          <w:kern w:val="0"/>
          <w:sz w:val="32"/>
          <w:szCs w:val="32"/>
          <w:highlight w:val="none"/>
          <w:lang w:val="en-US" w:eastAsia="zh-CN"/>
        </w:rPr>
        <w:t>一是加强重点项目要素保障。</w:t>
      </w:r>
      <w:r>
        <w:rPr>
          <w:rFonts w:hint="eastAsia" w:ascii="仿宋_GB2312" w:hAnsi="仿宋_GB2312" w:eastAsia="仿宋_GB2312" w:cs="仿宋_GB2312"/>
          <w:b w:val="0"/>
          <w:bCs w:val="0"/>
          <w:i w:val="0"/>
          <w:iCs w:val="0"/>
          <w:kern w:val="0"/>
          <w:sz w:val="32"/>
          <w:szCs w:val="32"/>
          <w:highlight w:val="none"/>
          <w:lang w:val="en-US" w:eastAsia="zh-CN" w:bidi="ar-SA"/>
        </w:rPr>
        <w:t>2024年预算安排招商引资专项经费0.2亿元、八大行动发展基金0.1亿元、援企稳岗经费3.45亿元，安排专项债券资金2.28亿元用于经开区基础设施提升改造及矿产品加工、服装纺织产业园标准厂房建设，助力县域工业倍增升级。</w:t>
      </w:r>
      <w:r>
        <w:rPr>
          <w:rFonts w:hint="eastAsia" w:ascii="仿宋_GB2312" w:hAnsi="仿宋_GB2312" w:eastAsia="仿宋_GB2312" w:cs="仿宋_GB2312"/>
          <w:b/>
          <w:bCs/>
          <w:i w:val="0"/>
          <w:iCs w:val="0"/>
          <w:kern w:val="0"/>
          <w:sz w:val="32"/>
          <w:szCs w:val="32"/>
          <w:highlight w:val="none"/>
          <w:lang w:val="en-US" w:eastAsia="zh-CN"/>
        </w:rPr>
        <w:t>二是全力支持市场主体壮大</w:t>
      </w:r>
      <w:r>
        <w:rPr>
          <w:rFonts w:hint="eastAsia" w:ascii="仿宋_GB2312" w:hAnsi="仿宋_GB2312" w:eastAsia="仿宋_GB2312" w:cs="仿宋_GB2312"/>
          <w:b/>
          <w:bCs/>
          <w:kern w:val="0"/>
          <w:sz w:val="32"/>
          <w:szCs w:val="32"/>
          <w:highlight w:val="none"/>
          <w:lang w:val="en-US" w:eastAsia="zh-CN"/>
        </w:rPr>
        <w:t>。</w:t>
      </w:r>
      <w:r>
        <w:rPr>
          <w:rFonts w:hint="eastAsia" w:ascii="仿宋_GB2312" w:hAnsi="仿宋_GB2312" w:eastAsia="仿宋_GB2312" w:cs="仿宋_GB2312"/>
          <w:b w:val="0"/>
          <w:bCs w:val="0"/>
          <w:i w:val="0"/>
          <w:iCs w:val="0"/>
          <w:kern w:val="0"/>
          <w:sz w:val="32"/>
          <w:szCs w:val="32"/>
          <w:highlight w:val="none"/>
          <w:lang w:val="en-US" w:eastAsia="zh-CN" w:bidi="ar-SA"/>
        </w:rPr>
        <w:t>切实发挥财政资金“四两拨千斤”的杠杆作用，</w:t>
      </w:r>
      <w:r>
        <w:rPr>
          <w:rFonts w:hint="eastAsia" w:ascii="仿宋_GB2312" w:hAnsi="仿宋_GB2312" w:eastAsia="仿宋_GB2312" w:cs="仿宋_GB2312"/>
          <w:kern w:val="0"/>
          <w:sz w:val="32"/>
          <w:szCs w:val="32"/>
          <w:highlight w:val="none"/>
          <w:lang w:val="en-US" w:eastAsia="zh-CN"/>
        </w:rPr>
        <w:t>通过</w:t>
      </w:r>
      <w:r>
        <w:rPr>
          <w:rFonts w:hint="eastAsia" w:ascii="仿宋_GB2312" w:hAnsi="仿宋_GB2312" w:eastAsia="仿宋_GB2312" w:cs="仿宋_GB2312"/>
          <w:kern w:val="0"/>
          <w:sz w:val="32"/>
          <w:szCs w:val="32"/>
          <w:highlight w:val="none"/>
        </w:rPr>
        <w:t>“财园信贷通”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小微信贷通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创业担保贷款</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等金融工具，投入财政资金1.03亿元，为市场主体撬动银行贷款10.7亿元。通过</w:t>
      </w:r>
      <w:r>
        <w:rPr>
          <w:rFonts w:hint="eastAsia" w:ascii="仿宋_GB2312" w:hAnsi="仿宋_GB2312" w:eastAsia="仿宋_GB2312" w:cs="仿宋_GB2312"/>
          <w:kern w:val="0"/>
          <w:sz w:val="32"/>
          <w:szCs w:val="32"/>
          <w:highlight w:val="none"/>
        </w:rPr>
        <w:t>“惠企资金池”</w:t>
      </w:r>
      <w:r>
        <w:rPr>
          <w:rFonts w:hint="eastAsia" w:ascii="仿宋_GB2312" w:hAnsi="仿宋_GB2312" w:eastAsia="仿宋_GB2312" w:cs="仿宋_GB2312"/>
          <w:kern w:val="0"/>
          <w:sz w:val="32"/>
          <w:szCs w:val="32"/>
          <w:highlight w:val="none"/>
          <w:lang w:val="en-US" w:eastAsia="zh-CN"/>
        </w:rPr>
        <w:t>为3839户次企业及个人</w:t>
      </w:r>
      <w:r>
        <w:rPr>
          <w:rFonts w:hint="eastAsia" w:ascii="仿宋_GB2312" w:hAnsi="仿宋_GB2312" w:eastAsia="仿宋_GB2312" w:cs="仿宋_GB2312"/>
          <w:kern w:val="0"/>
          <w:sz w:val="32"/>
          <w:szCs w:val="32"/>
          <w:highlight w:val="none"/>
        </w:rPr>
        <w:t>兑现</w:t>
      </w:r>
      <w:r>
        <w:rPr>
          <w:rFonts w:hint="eastAsia" w:ascii="仿宋_GB2312" w:hAnsi="仿宋_GB2312" w:eastAsia="仿宋_GB2312" w:cs="仿宋_GB2312"/>
          <w:kern w:val="0"/>
          <w:sz w:val="32"/>
          <w:szCs w:val="32"/>
          <w:highlight w:val="none"/>
          <w:lang w:val="en-US" w:eastAsia="zh-CN"/>
        </w:rPr>
        <w:t>奖补资金3.3</w:t>
      </w:r>
      <w:r>
        <w:rPr>
          <w:rFonts w:hint="eastAsia" w:ascii="仿宋_GB2312" w:hAnsi="仿宋_GB2312" w:eastAsia="仿宋_GB2312" w:cs="仿宋_GB2312"/>
          <w:kern w:val="0"/>
          <w:sz w:val="32"/>
          <w:szCs w:val="32"/>
          <w:highlight w:val="none"/>
        </w:rPr>
        <w:t>亿元，</w:t>
      </w:r>
      <w:r>
        <w:rPr>
          <w:rFonts w:hint="eastAsia" w:ascii="仿宋_GB2312" w:hAnsi="仿宋_GB2312" w:eastAsia="仿宋_GB2312" w:cs="仿宋_GB2312"/>
          <w:kern w:val="0"/>
          <w:sz w:val="32"/>
          <w:szCs w:val="32"/>
          <w:highlight w:val="none"/>
          <w:lang w:val="en-US" w:eastAsia="zh-CN"/>
        </w:rPr>
        <w:t>为市场主体</w:t>
      </w:r>
      <w:r>
        <w:rPr>
          <w:rFonts w:hint="eastAsia" w:ascii="仿宋_GB2312" w:hAnsi="仿宋_GB2312" w:eastAsia="仿宋_GB2312" w:cs="仿宋_GB2312"/>
          <w:kern w:val="0"/>
          <w:sz w:val="32"/>
          <w:szCs w:val="32"/>
          <w:highlight w:val="none"/>
        </w:rPr>
        <w:t>增添发展动</w:t>
      </w:r>
      <w:r>
        <w:rPr>
          <w:rFonts w:hint="eastAsia" w:ascii="仿宋_GB2312" w:hAnsi="仿宋_GB2312" w:eastAsia="仿宋_GB2312" w:cs="仿宋_GB2312"/>
          <w:b w:val="0"/>
          <w:bCs w:val="0"/>
          <w:kern w:val="0"/>
          <w:sz w:val="32"/>
          <w:szCs w:val="32"/>
          <w:highlight w:val="none"/>
        </w:rPr>
        <w:t>力</w:t>
      </w:r>
      <w:r>
        <w:rPr>
          <w:rFonts w:hint="eastAsia" w:ascii="仿宋_GB2312" w:hAnsi="仿宋_GB2312" w:eastAsia="仿宋_GB2312" w:cs="仿宋_GB2312"/>
          <w:b w:val="0"/>
          <w:bCs w:val="0"/>
          <w:kern w:val="0"/>
          <w:sz w:val="32"/>
          <w:szCs w:val="32"/>
          <w:highlight w:val="none"/>
          <w:lang w:val="en-US" w:eastAsia="zh-CN"/>
        </w:rPr>
        <w:t>。</w:t>
      </w:r>
      <w:r>
        <w:rPr>
          <w:rFonts w:hint="eastAsia" w:ascii="仿宋_GB2312" w:hAnsi="仿宋_GB2312" w:eastAsia="仿宋_GB2312" w:cs="仿宋_GB2312"/>
          <w:b/>
          <w:bCs/>
          <w:kern w:val="0"/>
          <w:sz w:val="32"/>
          <w:szCs w:val="32"/>
          <w:highlight w:val="none"/>
          <w:lang w:val="en-US" w:eastAsia="zh-CN"/>
        </w:rPr>
        <w:t>三是加速推动商贸消费回暖</w:t>
      </w:r>
      <w:r>
        <w:rPr>
          <w:rFonts w:hint="eastAsia" w:ascii="仿宋_GB2312" w:hAnsi="仿宋_GB2312" w:eastAsia="仿宋_GB2312" w:cs="仿宋_GB2312"/>
          <w:b w:val="0"/>
          <w:bCs w:val="0"/>
          <w:kern w:val="0"/>
          <w:sz w:val="32"/>
          <w:szCs w:val="32"/>
          <w:highlight w:val="none"/>
          <w:lang w:val="en-US" w:eastAsia="zh-CN"/>
        </w:rPr>
        <w:t>。在春节、中秋等重要节假日</w:t>
      </w:r>
      <w:r>
        <w:rPr>
          <w:rFonts w:hint="eastAsia" w:ascii="仿宋_GB2312" w:hAnsi="仿宋_GB2312" w:eastAsia="仿宋_GB2312" w:cs="仿宋_GB2312"/>
          <w:color w:val="000000"/>
          <w:spacing w:val="6"/>
          <w:sz w:val="32"/>
          <w:szCs w:val="32"/>
          <w:highlight w:val="none"/>
          <w:lang w:val="en-US" w:eastAsia="zh-CN"/>
        </w:rPr>
        <w:t>安排</w:t>
      </w:r>
      <w:r>
        <w:rPr>
          <w:rFonts w:hint="eastAsia" w:ascii="仿宋_GB2312" w:hAnsi="仿宋_GB2312" w:eastAsia="仿宋_GB2312" w:cs="仿宋_GB2312"/>
          <w:kern w:val="0"/>
          <w:sz w:val="32"/>
          <w:szCs w:val="32"/>
          <w:highlight w:val="none"/>
          <w:lang w:val="en-US" w:eastAsia="zh-CN"/>
        </w:rPr>
        <w:t>消</w:t>
      </w:r>
      <w:r>
        <w:rPr>
          <w:rFonts w:hint="eastAsia" w:ascii="仿宋_GB2312" w:hAnsi="仿宋_GB2312" w:eastAsia="仿宋_GB2312" w:cs="仿宋_GB2312"/>
          <w:kern w:val="0"/>
          <w:sz w:val="32"/>
          <w:szCs w:val="32"/>
          <w:highlight w:val="none"/>
        </w:rPr>
        <w:t>费</w:t>
      </w:r>
      <w:r>
        <w:rPr>
          <w:rFonts w:hint="eastAsia" w:ascii="仿宋_GB2312" w:hAnsi="仿宋_GB2312" w:eastAsia="仿宋_GB2312" w:cs="仿宋_GB2312"/>
          <w:kern w:val="0"/>
          <w:sz w:val="32"/>
          <w:szCs w:val="32"/>
          <w:highlight w:val="none"/>
          <w:lang w:val="en-US" w:eastAsia="zh-CN"/>
        </w:rPr>
        <w:t>券600</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b w:val="0"/>
          <w:bCs w:val="0"/>
          <w:kern w:val="0"/>
          <w:sz w:val="32"/>
          <w:szCs w:val="32"/>
          <w:highlight w:val="none"/>
          <w:lang w:val="en-US" w:eastAsia="zh-CN"/>
        </w:rPr>
        <w:t>落实“两新”政策措施，</w:t>
      </w:r>
      <w:r>
        <w:rPr>
          <w:rFonts w:hint="eastAsia" w:ascii="仿宋_GB2312" w:hAnsi="仿宋_GB2312" w:eastAsia="仿宋_GB2312" w:cs="仿宋_GB2312"/>
          <w:kern w:val="0"/>
          <w:sz w:val="32"/>
          <w:szCs w:val="32"/>
          <w:highlight w:val="none"/>
          <w:lang w:val="en-US" w:eastAsia="zh-CN"/>
        </w:rPr>
        <w:t>举办“家居下乡”“大宗消费品以旧换新”“千万家装厨卫以旧换新”等促消费活动，发放汽车、摩托车、家装厨卫等消费品补贴3199万元，促进全县商贸消费提质扩容。</w:t>
      </w:r>
      <w:r>
        <w:rPr>
          <w:rFonts w:hint="eastAsia" w:ascii="仿宋_GB2312" w:hAnsi="仿宋_GB2312" w:eastAsia="仿宋_GB2312" w:cs="仿宋_GB2312"/>
          <w:b/>
          <w:bCs/>
          <w:kern w:val="0"/>
          <w:sz w:val="32"/>
          <w:szCs w:val="32"/>
          <w:highlight w:val="none"/>
          <w:lang w:val="en-US" w:eastAsia="zh-CN"/>
        </w:rPr>
        <w:t>四是助力推进营商环境优化</w:t>
      </w:r>
      <w:r>
        <w:rPr>
          <w:rFonts w:hint="eastAsia" w:ascii="仿宋_GB2312" w:hAnsi="仿宋_GB2312" w:eastAsia="仿宋_GB2312" w:cs="仿宋_GB2312"/>
          <w:b/>
          <w:bCs/>
          <w:kern w:val="0"/>
          <w:sz w:val="32"/>
          <w:szCs w:val="32"/>
          <w:highlight w:val="none"/>
          <w:lang w:eastAsia="zh-CN"/>
        </w:rPr>
        <w:t>。</w:t>
      </w:r>
      <w:r>
        <w:rPr>
          <w:rFonts w:hint="eastAsia" w:ascii="仿宋_GB2312" w:hAnsi="仿宋_GB2312" w:eastAsia="仿宋_GB2312" w:cs="仿宋_GB2312"/>
          <w:kern w:val="0"/>
          <w:sz w:val="32"/>
          <w:szCs w:val="32"/>
          <w:highlight w:val="none"/>
        </w:rPr>
        <w:t>推行“互联网+政府采购”，加强政府采购电子卖场建设，</w:t>
      </w:r>
      <w:r>
        <w:rPr>
          <w:rFonts w:hint="eastAsia" w:ascii="仿宋_GB2312" w:hAnsi="仿宋_GB2312" w:eastAsia="仿宋_GB2312" w:cs="仿宋_GB2312"/>
          <w:kern w:val="0"/>
          <w:sz w:val="32"/>
          <w:szCs w:val="32"/>
          <w:highlight w:val="yellow"/>
          <w:lang w:val="en-US" w:eastAsia="zh-CN"/>
        </w:rPr>
        <w:t>目前入驻电子卖场商家数量已达1061家，全年交易量1.2亿元，通过</w:t>
      </w:r>
      <w:r>
        <w:rPr>
          <w:rFonts w:hint="eastAsia" w:ascii="仿宋_GB2312" w:hAnsi="仿宋_GB2312" w:eastAsia="仿宋_GB2312" w:cs="仿宋_GB2312"/>
          <w:kern w:val="0"/>
          <w:sz w:val="32"/>
          <w:szCs w:val="32"/>
          <w:highlight w:val="yellow"/>
        </w:rPr>
        <w:t>“政采贷”</w:t>
      </w:r>
      <w:r>
        <w:rPr>
          <w:rFonts w:hint="eastAsia" w:ascii="仿宋_GB2312" w:hAnsi="仿宋_GB2312" w:eastAsia="仿宋_GB2312" w:cs="仿宋_GB2312"/>
          <w:kern w:val="0"/>
          <w:sz w:val="32"/>
          <w:szCs w:val="32"/>
          <w:highlight w:val="yellow"/>
          <w:lang w:val="en-US" w:eastAsia="zh-CN"/>
        </w:rPr>
        <w:t>向中小微企业提供贷款113万元。</w:t>
      </w:r>
    </w:p>
    <w:p w14:paraId="6480807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bottom"/>
        <w:rPr>
          <w:rFonts w:hint="default" w:ascii="仿宋_GB2312" w:hAnsi="仿宋_GB2312" w:eastAsia="仿宋_GB2312" w:cs="仿宋_GB2312"/>
          <w:bCs/>
          <w:sz w:val="32"/>
          <w:szCs w:val="32"/>
          <w:highlight w:val="none"/>
          <w:lang w:val="en-US" w:eastAsia="zh-CN"/>
        </w:rPr>
      </w:pPr>
      <w:r>
        <w:rPr>
          <w:rFonts w:hint="eastAsia" w:ascii="楷体" w:hAnsi="楷体" w:eastAsia="楷体" w:cs="楷体"/>
          <w:b/>
          <w:bCs/>
          <w:kern w:val="0"/>
          <w:sz w:val="32"/>
          <w:szCs w:val="32"/>
          <w:highlight w:val="none"/>
          <w:lang w:val="en-US" w:eastAsia="zh-CN"/>
        </w:rPr>
        <w:t>（三）聚焦重点，民生领域支出保障有力。</w:t>
      </w:r>
      <w:r>
        <w:rPr>
          <w:rFonts w:hint="eastAsia" w:ascii="仿宋_GB2312" w:hAnsi="仿宋_GB2312" w:eastAsia="仿宋_GB2312" w:cs="仿宋_GB2312"/>
          <w:bCs/>
          <w:sz w:val="32"/>
          <w:szCs w:val="32"/>
          <w:highlight w:val="none"/>
          <w:lang w:eastAsia="zh-CN"/>
        </w:rPr>
        <w:t>聚焦民心工程和民生实事，持续加大财政保障力度，擦亮民生底色，</w:t>
      </w:r>
      <w:r>
        <w:rPr>
          <w:rFonts w:hint="eastAsia" w:ascii="仿宋_GB2312" w:hAnsi="仿宋_GB2312" w:eastAsia="仿宋_GB2312" w:cs="仿宋_GB2312"/>
          <w:kern w:val="0"/>
          <w:sz w:val="32"/>
          <w:szCs w:val="32"/>
          <w:highlight w:val="none"/>
          <w:lang w:val="en-US" w:eastAsia="zh-CN"/>
        </w:rPr>
        <w:t>全年</w:t>
      </w:r>
      <w:r>
        <w:rPr>
          <w:rFonts w:hint="eastAsia" w:ascii="仿宋_GB2312" w:hAnsi="仿宋_GB2312" w:eastAsia="仿宋_GB2312" w:cs="仿宋_GB2312"/>
          <w:kern w:val="0"/>
          <w:sz w:val="32"/>
          <w:szCs w:val="32"/>
          <w:highlight w:val="none"/>
        </w:rPr>
        <w:t>民生</w:t>
      </w:r>
      <w:r>
        <w:rPr>
          <w:rFonts w:hint="eastAsia" w:ascii="仿宋_GB2312" w:hAnsi="仿宋_GB2312" w:eastAsia="仿宋_GB2312" w:cs="仿宋_GB2312"/>
          <w:kern w:val="0"/>
          <w:sz w:val="32"/>
          <w:szCs w:val="32"/>
          <w:highlight w:val="none"/>
          <w:lang w:val="en-US" w:eastAsia="zh-CN"/>
        </w:rPr>
        <w:t>领域</w:t>
      </w:r>
      <w:r>
        <w:rPr>
          <w:rFonts w:hint="eastAsia" w:ascii="仿宋_GB2312" w:hAnsi="仿宋_GB2312" w:eastAsia="仿宋_GB2312" w:cs="仿宋_GB2312"/>
          <w:kern w:val="0"/>
          <w:sz w:val="32"/>
          <w:szCs w:val="32"/>
          <w:highlight w:val="none"/>
        </w:rPr>
        <w:t>支出累计完成</w:t>
      </w:r>
      <w:r>
        <w:rPr>
          <w:rFonts w:hint="eastAsia" w:ascii="仿宋_GB2312" w:hAnsi="仿宋_GB2312" w:eastAsia="仿宋_GB2312" w:cs="仿宋_GB2312"/>
          <w:kern w:val="0"/>
          <w:sz w:val="32"/>
          <w:szCs w:val="32"/>
          <w:highlight w:val="none"/>
          <w:lang w:val="en-US" w:eastAsia="zh-CN"/>
        </w:rPr>
        <w:t>64.41</w:t>
      </w:r>
      <w:r>
        <w:rPr>
          <w:rFonts w:hint="eastAsia" w:ascii="仿宋_GB2312" w:hAnsi="仿宋_GB2312" w:eastAsia="仿宋_GB2312" w:cs="仿宋_GB2312"/>
          <w:kern w:val="0"/>
          <w:sz w:val="32"/>
          <w:szCs w:val="32"/>
          <w:highlight w:val="none"/>
        </w:rPr>
        <w:t>亿元，占一般公共预算支出的</w:t>
      </w:r>
      <w:r>
        <w:rPr>
          <w:rFonts w:hint="eastAsia" w:ascii="仿宋_GB2312" w:hAnsi="仿宋_GB2312" w:eastAsia="仿宋_GB2312" w:cs="仿宋_GB2312"/>
          <w:kern w:val="0"/>
          <w:sz w:val="32"/>
          <w:szCs w:val="32"/>
          <w:highlight w:val="none"/>
          <w:lang w:val="en-US" w:eastAsia="zh-CN"/>
        </w:rPr>
        <w:t>86.8%</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b/>
          <w:bCs/>
          <w:kern w:val="0"/>
          <w:sz w:val="32"/>
          <w:szCs w:val="32"/>
          <w:highlight w:val="none"/>
          <w:lang w:val="en-US" w:eastAsia="zh-CN"/>
        </w:rPr>
        <w:t>一是</w:t>
      </w:r>
      <w:r>
        <w:rPr>
          <w:rFonts w:hint="eastAsia" w:ascii="仿宋_GB2312" w:hAnsi="仿宋_GB2312" w:eastAsia="仿宋_GB2312" w:cs="仿宋_GB2312"/>
          <w:b/>
          <w:bCs w:val="0"/>
          <w:sz w:val="32"/>
          <w:szCs w:val="32"/>
          <w:highlight w:val="none"/>
          <w:lang w:val="en-US" w:eastAsia="zh-CN"/>
        </w:rPr>
        <w:t>加大教育投入</w:t>
      </w:r>
      <w:r>
        <w:rPr>
          <w:rFonts w:hint="eastAsia" w:ascii="仿宋_GB2312" w:hAnsi="仿宋_GB2312" w:eastAsia="仿宋_GB2312" w:cs="仿宋_GB2312"/>
          <w:bCs/>
          <w:sz w:val="32"/>
          <w:szCs w:val="32"/>
          <w:highlight w:val="none"/>
          <w:lang w:val="en-US" w:eastAsia="zh-CN"/>
        </w:rPr>
        <w:t>。完善义务教育经费保障机制，为学前教育、义务教育、普通高中、中职教育学生提供生活补助、免除学杂费0.59亿元，农村义务教育学生营养餐补助支出0.5亿元。</w:t>
      </w:r>
      <w:r>
        <w:rPr>
          <w:rFonts w:hint="eastAsia" w:ascii="仿宋_GB2312" w:hAnsi="仿宋_GB2312" w:eastAsia="仿宋_GB2312" w:cs="仿宋_GB2312"/>
          <w:b/>
          <w:bCs w:val="0"/>
          <w:sz w:val="32"/>
          <w:szCs w:val="32"/>
          <w:highlight w:val="none"/>
          <w:lang w:val="en-US" w:eastAsia="zh-CN"/>
        </w:rPr>
        <w:t>二是坚持就业优先。</w:t>
      </w:r>
      <w:r>
        <w:rPr>
          <w:rFonts w:hint="eastAsia" w:ascii="仿宋_GB2312" w:hAnsi="仿宋_GB2312" w:eastAsia="仿宋_GB2312" w:cs="仿宋_GB2312"/>
          <w:b w:val="0"/>
          <w:bCs/>
          <w:sz w:val="32"/>
          <w:szCs w:val="32"/>
          <w:highlight w:val="none"/>
          <w:lang w:val="en-US" w:eastAsia="zh-CN"/>
        </w:rPr>
        <w:t>锚定高质量充分就业目标，</w:t>
      </w:r>
      <w:r>
        <w:rPr>
          <w:rFonts w:hint="eastAsia" w:ascii="仿宋_GB2312" w:hAnsi="仿宋_GB2312" w:eastAsia="仿宋_GB2312" w:cs="仿宋_GB2312"/>
          <w:bCs/>
          <w:sz w:val="32"/>
          <w:szCs w:val="32"/>
          <w:highlight w:val="none"/>
          <w:lang w:val="en-US" w:eastAsia="zh-CN"/>
        </w:rPr>
        <w:t>落实落细稳就业政策措施，全年发放职业培训、社会保险、公益性岗位、就业见习、求职创业等就业资金0.46亿元。</w:t>
      </w:r>
      <w:r>
        <w:rPr>
          <w:rFonts w:hint="eastAsia" w:ascii="仿宋_GB2312" w:hAnsi="仿宋_GB2312" w:eastAsia="仿宋_GB2312" w:cs="仿宋_GB2312"/>
          <w:b/>
          <w:bCs w:val="0"/>
          <w:sz w:val="32"/>
          <w:szCs w:val="32"/>
          <w:highlight w:val="none"/>
          <w:lang w:val="en-US" w:eastAsia="zh-CN"/>
        </w:rPr>
        <w:t>三是</w:t>
      </w:r>
      <w:r>
        <w:rPr>
          <w:rFonts w:hint="eastAsia" w:ascii="仿宋_GB2312" w:hAnsi="仿宋_GB2312" w:eastAsia="仿宋_GB2312" w:cs="仿宋_GB2312"/>
          <w:b/>
          <w:bCs/>
          <w:kern w:val="0"/>
          <w:sz w:val="32"/>
          <w:szCs w:val="32"/>
          <w:highlight w:val="none"/>
          <w:lang w:val="en-US" w:eastAsia="zh-CN"/>
        </w:rPr>
        <w:t>夯实社会保障。</w:t>
      </w:r>
      <w:r>
        <w:rPr>
          <w:rFonts w:hint="eastAsia" w:ascii="仿宋_GB2312" w:hAnsi="仿宋_GB2312" w:eastAsia="仿宋_GB2312" w:cs="仿宋_GB2312"/>
          <w:kern w:val="0"/>
          <w:sz w:val="32"/>
          <w:szCs w:val="32"/>
          <w:highlight w:val="none"/>
          <w:lang w:val="en-US" w:eastAsia="zh-CN"/>
        </w:rPr>
        <w:t>城乡居民基础养老金总支出2.85亿元，</w:t>
      </w:r>
      <w:r>
        <w:rPr>
          <w:rFonts w:hint="eastAsia" w:ascii="仿宋_GB2312" w:hAnsi="仿宋_GB2312" w:eastAsia="仿宋_GB2312" w:cs="仿宋_GB2312"/>
          <w:sz w:val="32"/>
          <w:szCs w:val="32"/>
          <w:highlight w:val="none"/>
        </w:rPr>
        <w:t>拨付</w:t>
      </w:r>
      <w:r>
        <w:rPr>
          <w:rFonts w:hint="eastAsia" w:ascii="仿宋_GB2312" w:hAnsi="仿宋_GB2312" w:eastAsia="仿宋_GB2312" w:cs="仿宋_GB2312"/>
          <w:sz w:val="32"/>
          <w:szCs w:val="32"/>
          <w:highlight w:val="none"/>
          <w:lang w:val="en-US" w:eastAsia="zh-CN"/>
        </w:rPr>
        <w:t>城乡居民及特殊儿童群体最低生活保障资金2.1亿元、特困人员救助供养补助0.48亿元、残疾人补贴0.26亿元，</w:t>
      </w:r>
      <w:r>
        <w:rPr>
          <w:rFonts w:hint="eastAsia" w:ascii="仿宋_GB2312" w:hAnsi="仿宋_GB2312" w:eastAsia="仿宋_GB2312" w:cs="仿宋_GB2312"/>
          <w:bCs/>
          <w:sz w:val="32"/>
          <w:szCs w:val="32"/>
          <w:highlight w:val="none"/>
        </w:rPr>
        <w:t>安排优抚对象抚恤补助资金</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义务兵家庭优待金、退役安置支出等资金0.88亿元，</w:t>
      </w:r>
      <w:r>
        <w:rPr>
          <w:rFonts w:hint="eastAsia" w:ascii="仿宋_GB2312" w:hAnsi="仿宋_GB2312" w:eastAsia="仿宋_GB2312" w:cs="仿宋_GB2312"/>
          <w:kern w:val="0"/>
          <w:sz w:val="32"/>
          <w:szCs w:val="32"/>
          <w:highlight w:val="none"/>
          <w:lang w:val="en-US" w:eastAsia="zh-CN"/>
        </w:rPr>
        <w:t>发放高龄补贴及失能老年人护理补贴0.25亿元。</w:t>
      </w:r>
      <w:r>
        <w:rPr>
          <w:rFonts w:hint="eastAsia" w:ascii="仿宋_GB2312" w:hAnsi="仿宋_GB2312" w:eastAsia="仿宋_GB2312" w:cs="仿宋_GB2312"/>
          <w:b/>
          <w:bCs/>
          <w:kern w:val="0"/>
          <w:sz w:val="32"/>
          <w:szCs w:val="32"/>
          <w:highlight w:val="none"/>
          <w:lang w:val="en-US" w:eastAsia="zh-CN"/>
        </w:rPr>
        <w:t>四是助力乡村振兴。</w:t>
      </w:r>
      <w:r>
        <w:rPr>
          <w:rFonts w:hint="eastAsia" w:ascii="仿宋_GB2312" w:hAnsi="仿宋_GB2312" w:eastAsia="仿宋_GB2312" w:cs="仿宋_GB2312"/>
          <w:kern w:val="0"/>
          <w:sz w:val="32"/>
          <w:szCs w:val="32"/>
          <w:highlight w:val="none"/>
          <w:lang w:val="en-US" w:eastAsia="zh-CN"/>
        </w:rPr>
        <w:t>政府采购扶贫832平台销售额达1123万元，同比增长30%。巩固拓展脱贫攻坚成果衔接推进乡村振兴补助资金3.2亿元，投入农村人居环境提升资金0.6亿元、湿地保护修复等生态环境保护资金0.89亿元，助力建设宜居宜业和美乡村。</w:t>
      </w:r>
    </w:p>
    <w:p w14:paraId="0F77DA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bottom"/>
        <w:rPr>
          <w:rFonts w:hint="eastAsia" w:ascii="仿宋_GB2312" w:hAnsi="仿宋_GB2312" w:eastAsia="仿宋_GB2312" w:cs="仿宋_GB2312"/>
          <w:kern w:val="0"/>
          <w:sz w:val="32"/>
          <w:szCs w:val="32"/>
          <w:highlight w:val="none"/>
        </w:rPr>
      </w:pPr>
      <w:r>
        <w:rPr>
          <w:rFonts w:hint="eastAsia" w:ascii="楷体" w:hAnsi="楷体" w:eastAsia="楷体" w:cs="楷体"/>
          <w:b/>
          <w:bCs/>
          <w:kern w:val="0"/>
          <w:sz w:val="32"/>
          <w:szCs w:val="32"/>
          <w:highlight w:val="none"/>
          <w:lang w:val="en-US" w:eastAsia="zh-CN"/>
        </w:rPr>
        <w:t>（四）强化监管，财政运行更加科学规范。</w:t>
      </w:r>
      <w:r>
        <w:rPr>
          <w:rFonts w:hint="eastAsia" w:ascii="仿宋_GB2312" w:hAnsi="仿宋_GB2312" w:eastAsia="仿宋_GB2312" w:cs="仿宋_GB2312"/>
          <w:kern w:val="0"/>
          <w:sz w:val="32"/>
          <w:szCs w:val="32"/>
          <w:highlight w:val="none"/>
          <w:lang w:val="en-US" w:eastAsia="zh-CN"/>
        </w:rPr>
        <w:t>坚持习惯过紧日子，严把支出关口，做到“大钱大方、小钱小气”。</w:t>
      </w:r>
      <w:r>
        <w:rPr>
          <w:rFonts w:hint="eastAsia" w:ascii="仿宋_GB2312" w:hAnsi="仿宋_GB2312" w:eastAsia="仿宋_GB2312" w:cs="仿宋_GB2312"/>
          <w:b/>
          <w:bCs/>
          <w:kern w:val="0"/>
          <w:sz w:val="32"/>
          <w:szCs w:val="32"/>
          <w:highlight w:val="none"/>
          <w:lang w:val="en-US" w:eastAsia="zh-CN"/>
        </w:rPr>
        <w:t>一是</w:t>
      </w:r>
      <w:r>
        <w:rPr>
          <w:rFonts w:hint="eastAsia" w:ascii="仿宋_GB2312" w:hAnsi="仿宋_GB2312" w:eastAsia="仿宋_GB2312" w:cs="仿宋_GB2312"/>
          <w:b/>
          <w:bCs/>
          <w:kern w:val="0"/>
          <w:sz w:val="32"/>
          <w:szCs w:val="32"/>
          <w:lang w:val="en-US" w:eastAsia="zh-CN"/>
        </w:rPr>
        <w:t>兜实</w:t>
      </w:r>
      <w:r>
        <w:rPr>
          <w:rFonts w:hint="eastAsia" w:ascii="仿宋_GB2312" w:hAnsi="仿宋_GB2312" w:eastAsia="仿宋_GB2312" w:cs="仿宋_GB2312"/>
          <w:b/>
          <w:bCs/>
          <w:kern w:val="0"/>
          <w:sz w:val="32"/>
          <w:szCs w:val="32"/>
        </w:rPr>
        <w:t>“三保”</w:t>
      </w:r>
      <w:r>
        <w:rPr>
          <w:rFonts w:hint="eastAsia" w:ascii="仿宋_GB2312" w:hAnsi="仿宋_GB2312" w:eastAsia="仿宋_GB2312" w:cs="仿宋_GB2312"/>
          <w:b/>
          <w:bCs/>
          <w:kern w:val="0"/>
          <w:sz w:val="32"/>
          <w:szCs w:val="32"/>
          <w:lang w:eastAsia="zh-CN"/>
        </w:rPr>
        <w:t>底线。</w:t>
      </w:r>
      <w:r>
        <w:rPr>
          <w:rFonts w:hint="eastAsia" w:ascii="仿宋_GB2312" w:hAnsi="仿宋_GB2312" w:eastAsia="仿宋_GB2312" w:cs="仿宋_GB2312"/>
          <w:kern w:val="0"/>
          <w:sz w:val="32"/>
          <w:szCs w:val="32"/>
          <w:highlight w:val="none"/>
          <w:lang w:val="en-US" w:eastAsia="zh-CN"/>
        </w:rPr>
        <w:t>坚持</w:t>
      </w:r>
      <w:r>
        <w:rPr>
          <w:rFonts w:hint="eastAsia" w:ascii="仿宋_GB2312" w:hAnsi="仿宋_GB2312" w:eastAsia="仿宋_GB2312" w:cs="仿宋_GB2312"/>
          <w:kern w:val="0"/>
          <w:sz w:val="32"/>
          <w:szCs w:val="32"/>
          <w:highlight w:val="none"/>
        </w:rPr>
        <w:t>“三保”</w:t>
      </w:r>
      <w:r>
        <w:rPr>
          <w:rFonts w:hint="eastAsia" w:ascii="仿宋_GB2312" w:hAnsi="仿宋_GB2312" w:eastAsia="仿宋_GB2312" w:cs="仿宋_GB2312"/>
          <w:kern w:val="0"/>
          <w:sz w:val="32"/>
          <w:szCs w:val="32"/>
          <w:highlight w:val="none"/>
          <w:lang w:val="en-US" w:eastAsia="zh-CN"/>
        </w:rPr>
        <w:t>在财政</w:t>
      </w:r>
      <w:r>
        <w:rPr>
          <w:rFonts w:hint="eastAsia" w:ascii="仿宋_GB2312" w:hAnsi="仿宋_GB2312" w:eastAsia="仿宋_GB2312" w:cs="仿宋_GB2312"/>
          <w:kern w:val="0"/>
          <w:sz w:val="32"/>
          <w:szCs w:val="32"/>
          <w:highlight w:val="none"/>
        </w:rPr>
        <w:t>支出</w:t>
      </w:r>
      <w:r>
        <w:rPr>
          <w:rFonts w:hint="eastAsia" w:ascii="仿宋_GB2312" w:hAnsi="仿宋_GB2312" w:eastAsia="仿宋_GB2312" w:cs="仿宋_GB2312"/>
          <w:kern w:val="0"/>
          <w:sz w:val="32"/>
          <w:szCs w:val="32"/>
          <w:highlight w:val="none"/>
          <w:lang w:val="en-US" w:eastAsia="zh-CN"/>
        </w:rPr>
        <w:t>的</w:t>
      </w:r>
      <w:r>
        <w:rPr>
          <w:rFonts w:hint="eastAsia" w:ascii="仿宋_GB2312" w:hAnsi="仿宋_GB2312" w:eastAsia="仿宋_GB2312" w:cs="仿宋_GB2312"/>
          <w:kern w:val="0"/>
          <w:sz w:val="32"/>
          <w:szCs w:val="32"/>
          <w:highlight w:val="none"/>
        </w:rPr>
        <w:t>优先顺序，</w:t>
      </w:r>
      <w:r>
        <w:rPr>
          <w:rFonts w:hint="eastAsia" w:ascii="仿宋_GB2312" w:hAnsi="仿宋_GB2312" w:eastAsia="仿宋_GB2312" w:cs="仿宋_GB2312"/>
          <w:kern w:val="0"/>
          <w:sz w:val="32"/>
          <w:szCs w:val="32"/>
          <w:highlight w:val="none"/>
          <w:lang w:val="en-US" w:eastAsia="zh-CN"/>
        </w:rPr>
        <w:t>设立“三保”资金专户，全年拨付“三保”支出29.65</w:t>
      </w:r>
      <w:r>
        <w:rPr>
          <w:rFonts w:hint="eastAsia" w:ascii="仿宋_GB2312" w:hAnsi="仿宋_GB2312" w:eastAsia="仿宋_GB2312" w:cs="仿宋_GB2312"/>
          <w:kern w:val="0"/>
          <w:sz w:val="32"/>
          <w:szCs w:val="32"/>
          <w:highlight w:val="none"/>
        </w:rPr>
        <w:t>亿元，其中：保</w:t>
      </w:r>
      <w:r>
        <w:rPr>
          <w:rFonts w:hint="eastAsia" w:ascii="仿宋_GB2312" w:hAnsi="仿宋_GB2312" w:eastAsia="仿宋_GB2312" w:cs="仿宋_GB2312"/>
          <w:kern w:val="0"/>
          <w:sz w:val="32"/>
          <w:szCs w:val="32"/>
          <w:highlight w:val="none"/>
          <w:lang w:val="en-US" w:eastAsia="zh-CN"/>
        </w:rPr>
        <w:t>基本</w:t>
      </w:r>
      <w:r>
        <w:rPr>
          <w:rFonts w:hint="eastAsia" w:ascii="仿宋_GB2312" w:hAnsi="仿宋_GB2312" w:eastAsia="仿宋_GB2312" w:cs="仿宋_GB2312"/>
          <w:kern w:val="0"/>
          <w:sz w:val="32"/>
          <w:szCs w:val="32"/>
          <w:highlight w:val="none"/>
        </w:rPr>
        <w:t>民生</w:t>
      </w:r>
      <w:r>
        <w:rPr>
          <w:rFonts w:hint="eastAsia" w:ascii="仿宋_GB2312" w:hAnsi="仿宋_GB2312" w:eastAsia="仿宋_GB2312" w:cs="仿宋_GB2312"/>
          <w:kern w:val="0"/>
          <w:sz w:val="32"/>
          <w:szCs w:val="32"/>
          <w:highlight w:val="none"/>
          <w:lang w:val="en-US" w:eastAsia="zh-CN"/>
        </w:rPr>
        <w:t>12.05</w:t>
      </w:r>
      <w:r>
        <w:rPr>
          <w:rFonts w:hint="eastAsia" w:ascii="仿宋_GB2312" w:hAnsi="仿宋_GB2312" w:eastAsia="仿宋_GB2312" w:cs="仿宋_GB2312"/>
          <w:kern w:val="0"/>
          <w:sz w:val="32"/>
          <w:szCs w:val="32"/>
          <w:highlight w:val="none"/>
        </w:rPr>
        <w:t>亿元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保工资1</w:t>
      </w:r>
      <w:r>
        <w:rPr>
          <w:rFonts w:hint="eastAsia" w:ascii="仿宋_GB2312" w:hAnsi="仿宋_GB2312" w:eastAsia="仿宋_GB2312" w:cs="仿宋_GB2312"/>
          <w:kern w:val="0"/>
          <w:sz w:val="32"/>
          <w:szCs w:val="32"/>
          <w:highlight w:val="none"/>
          <w:lang w:val="en-US" w:eastAsia="zh-CN"/>
        </w:rPr>
        <w:t>6.6</w:t>
      </w:r>
      <w:r>
        <w:rPr>
          <w:rFonts w:hint="eastAsia" w:ascii="仿宋_GB2312" w:hAnsi="仿宋_GB2312" w:eastAsia="仿宋_GB2312" w:cs="仿宋_GB2312"/>
          <w:kern w:val="0"/>
          <w:sz w:val="32"/>
          <w:szCs w:val="32"/>
          <w:highlight w:val="none"/>
        </w:rPr>
        <w:t>亿元、保运转</w:t>
      </w: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亿元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确保全县机关事业单位正常运转和民生资金及时足额发放</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b/>
          <w:bCs/>
          <w:kern w:val="0"/>
          <w:sz w:val="32"/>
          <w:szCs w:val="32"/>
          <w:highlight w:val="none"/>
          <w:lang w:val="en-US" w:eastAsia="zh-CN"/>
        </w:rPr>
        <w:t>二是严把支出关口</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val="0"/>
          <w:bCs w:val="0"/>
          <w:kern w:val="0"/>
          <w:sz w:val="32"/>
          <w:szCs w:val="32"/>
          <w:highlight w:val="none"/>
          <w:lang w:val="en-US" w:eastAsia="zh-CN"/>
        </w:rPr>
        <w:t>县财政累计完成预算项目评审138项，送审预算总价33.4亿元，节约合理投资4.11亿元，平均节约率12.3%；完成结算项目评审95项，送审预算总价6.71亿元，核减金额0.69亿元，平均核减率10.3%。</w:t>
      </w:r>
      <w:r>
        <w:rPr>
          <w:rFonts w:hint="eastAsia" w:ascii="仿宋_GB2312" w:hAnsi="仿宋_GB2312" w:eastAsia="仿宋_GB2312" w:cs="仿宋_GB2312"/>
          <w:b/>
          <w:bCs/>
          <w:kern w:val="0"/>
          <w:sz w:val="32"/>
          <w:szCs w:val="32"/>
          <w:highlight w:val="none"/>
          <w:lang w:val="en-US" w:eastAsia="zh-CN"/>
        </w:rPr>
        <w:t>三是深化绩效管理。</w:t>
      </w:r>
      <w:r>
        <w:rPr>
          <w:rFonts w:hint="eastAsia" w:ascii="仿宋_GB2312" w:hAnsi="仿宋_GB2312" w:eastAsia="仿宋_GB2312" w:cs="仿宋_GB2312"/>
          <w:b w:val="0"/>
          <w:bCs w:val="0"/>
          <w:kern w:val="0"/>
          <w:sz w:val="32"/>
          <w:szCs w:val="32"/>
          <w:highlight w:val="none"/>
          <w:lang w:val="en-US" w:eastAsia="zh-CN"/>
        </w:rPr>
        <w:t>在单位绩效自评全覆盖基础上，选取20个项目、30个部门作为2024年重点评价对象，项目支出评价结果优秀的1个，良好的17个，中等的2个；部门整体支出评价结果均良好，平均得分84.2分。</w:t>
      </w:r>
      <w:r>
        <w:rPr>
          <w:rFonts w:hint="eastAsia" w:ascii="仿宋_GB2312" w:hAnsi="仿宋_GB2312" w:eastAsia="仿宋_GB2312" w:cs="仿宋_GB2312"/>
          <w:b/>
          <w:bCs/>
          <w:kern w:val="0"/>
          <w:sz w:val="32"/>
          <w:szCs w:val="32"/>
          <w:highlight w:val="none"/>
          <w:lang w:val="en-US" w:eastAsia="zh-CN"/>
        </w:rPr>
        <w:t>三是加强财会监督。</w:t>
      </w:r>
      <w:r>
        <w:rPr>
          <w:rFonts w:hint="eastAsia" w:ascii="仿宋_GB2312" w:hAnsi="仿宋_GB2312" w:eastAsia="仿宋_GB2312" w:cs="仿宋_GB2312"/>
          <w:b w:val="0"/>
          <w:bCs w:val="0"/>
          <w:kern w:val="0"/>
          <w:sz w:val="32"/>
          <w:szCs w:val="32"/>
          <w:highlight w:val="none"/>
          <w:lang w:val="en-US" w:eastAsia="zh-CN"/>
        </w:rPr>
        <w:t>依托预算管理一体化系统和直达资金监控系统，动态监测转移支付和部门重点项目支出。抓实乡镇财政管理，集中整治乡镇财政资金管理使用不正之风和腐败问题，推广运用国库集中支付人脸识别认证功能，并成立财政监管组下沉至乡镇，提高财务检查频率</w:t>
      </w:r>
      <w:r>
        <w:rPr>
          <w:rFonts w:hint="eastAsia" w:ascii="仿宋_GB2312" w:hAnsi="仿宋_GB2312" w:eastAsia="仿宋_GB2312" w:cs="仿宋_GB2312"/>
          <w:b w:val="0"/>
          <w:bCs w:val="0"/>
          <w:kern w:val="0"/>
          <w:sz w:val="32"/>
          <w:szCs w:val="32"/>
          <w:highlight w:val="none"/>
          <w:u w:val="none"/>
          <w:lang w:val="en-US" w:eastAsia="zh-CN"/>
        </w:rPr>
        <w:t>。</w:t>
      </w:r>
      <w:r>
        <w:rPr>
          <w:rFonts w:hint="eastAsia" w:ascii="仿宋_GB2312" w:hAnsi="仿宋_GB2312" w:eastAsia="仿宋_GB2312" w:cs="仿宋_GB2312"/>
          <w:b/>
          <w:bCs/>
          <w:kern w:val="0"/>
          <w:sz w:val="32"/>
          <w:szCs w:val="32"/>
          <w:highlight w:val="none"/>
          <w:u w:val="none"/>
          <w:lang w:val="en-US" w:eastAsia="zh-CN"/>
        </w:rPr>
        <w:t>四是</w:t>
      </w:r>
      <w:r>
        <w:rPr>
          <w:rFonts w:hint="eastAsia" w:ascii="仿宋_GB2312" w:hAnsi="仿宋_GB2312" w:eastAsia="仿宋_GB2312" w:cs="仿宋_GB2312"/>
          <w:b/>
          <w:bCs/>
          <w:kern w:val="0"/>
          <w:sz w:val="32"/>
          <w:szCs w:val="32"/>
        </w:rPr>
        <w:t>强化债务风险</w:t>
      </w:r>
      <w:r>
        <w:rPr>
          <w:rFonts w:hint="eastAsia" w:ascii="仿宋_GB2312" w:hAnsi="仿宋_GB2312" w:eastAsia="仿宋_GB2312" w:cs="仿宋_GB2312"/>
          <w:b/>
          <w:bCs/>
          <w:kern w:val="0"/>
          <w:sz w:val="32"/>
          <w:szCs w:val="32"/>
          <w:lang w:val="en-US" w:eastAsia="zh-CN"/>
        </w:rPr>
        <w:t>管控</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val="0"/>
          <w:bCs w:val="0"/>
          <w:kern w:val="0"/>
          <w:sz w:val="32"/>
          <w:szCs w:val="32"/>
          <w:highlight w:val="none"/>
          <w:lang w:val="en-US" w:eastAsia="zh-CN"/>
        </w:rPr>
        <w:t>管好用好地方政府债券资金，</w:t>
      </w:r>
      <w:r>
        <w:rPr>
          <w:rFonts w:hint="eastAsia" w:ascii="仿宋_GB2312" w:hAnsi="仿宋_GB2312" w:eastAsia="仿宋_GB2312" w:cs="仿宋_GB2312"/>
          <w:b w:val="0"/>
          <w:bCs w:val="0"/>
          <w:kern w:val="0"/>
          <w:sz w:val="32"/>
          <w:szCs w:val="32"/>
          <w:lang w:val="en-US" w:eastAsia="zh-CN"/>
        </w:rPr>
        <w:t>深入落实一揽子化债政策，政府性债务及隐性债务均如期偿还，地方债务流动性风险得到缓释，债务结构有所优化，债务余额在合理区间</w:t>
      </w:r>
      <w:r>
        <w:rPr>
          <w:rFonts w:hint="eastAsia" w:ascii="仿宋_GB2312" w:hAnsi="仿宋_GB2312" w:eastAsia="仿宋_GB2312" w:cs="仿宋_GB2312"/>
          <w:kern w:val="0"/>
          <w:sz w:val="32"/>
          <w:szCs w:val="32"/>
          <w:lang w:val="en-US" w:eastAsia="zh-CN"/>
        </w:rPr>
        <w:t>，债务总体安全可控。</w:t>
      </w:r>
    </w:p>
    <w:p w14:paraId="5516B6D3">
      <w:pPr>
        <w:spacing w:line="56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各位代表，过去一年，</w:t>
      </w:r>
      <w:r>
        <w:rPr>
          <w:rFonts w:hint="eastAsia" w:ascii="仿宋_GB2312" w:hAnsi="仿宋_GB2312" w:eastAsia="仿宋_GB2312" w:cs="仿宋_GB2312"/>
          <w:color w:val="auto"/>
          <w:kern w:val="0"/>
          <w:sz w:val="32"/>
          <w:szCs w:val="32"/>
          <w:highlight w:val="none"/>
          <w:lang w:val="en-US" w:eastAsia="zh-CN"/>
        </w:rPr>
        <w:t>全县预算执行取得明显成效，这些成绩的取得，</w:t>
      </w:r>
      <w:r>
        <w:rPr>
          <w:rFonts w:hint="eastAsia" w:ascii="仿宋_GB2312" w:hAnsi="仿宋_GB2312" w:eastAsia="仿宋_GB2312" w:cs="仿宋_GB2312"/>
          <w:color w:val="auto"/>
          <w:kern w:val="0"/>
          <w:sz w:val="32"/>
          <w:szCs w:val="32"/>
          <w:highlight w:val="none"/>
        </w:rPr>
        <w:t>是县委、县政府坚强领导</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科学决策的结果，是</w:t>
      </w:r>
      <w:r>
        <w:rPr>
          <w:rFonts w:hint="eastAsia" w:ascii="仿宋_GB2312" w:hAnsi="仿宋_GB2312" w:eastAsia="仿宋_GB2312" w:cs="仿宋_GB2312"/>
          <w:color w:val="auto"/>
          <w:kern w:val="0"/>
          <w:sz w:val="32"/>
          <w:szCs w:val="32"/>
          <w:highlight w:val="none"/>
          <w:lang w:val="en-US" w:eastAsia="zh-CN"/>
        </w:rPr>
        <w:t>县</w:t>
      </w:r>
      <w:r>
        <w:rPr>
          <w:rFonts w:hint="eastAsia" w:ascii="仿宋_GB2312" w:hAnsi="仿宋_GB2312" w:eastAsia="仿宋_GB2312" w:cs="仿宋_GB2312"/>
          <w:color w:val="auto"/>
          <w:kern w:val="0"/>
          <w:sz w:val="32"/>
          <w:szCs w:val="32"/>
          <w:highlight w:val="none"/>
        </w:rPr>
        <w:t>人大依法监督和</w:t>
      </w:r>
      <w:r>
        <w:rPr>
          <w:rFonts w:hint="eastAsia" w:ascii="仿宋_GB2312" w:hAnsi="仿宋_GB2312" w:eastAsia="仿宋_GB2312" w:cs="仿宋_GB2312"/>
          <w:color w:val="auto"/>
          <w:kern w:val="0"/>
          <w:sz w:val="32"/>
          <w:szCs w:val="32"/>
          <w:highlight w:val="none"/>
          <w:lang w:val="en-US" w:eastAsia="zh-CN"/>
        </w:rPr>
        <w:t>县</w:t>
      </w:r>
      <w:r>
        <w:rPr>
          <w:rFonts w:hint="eastAsia" w:ascii="仿宋_GB2312" w:hAnsi="仿宋_GB2312" w:eastAsia="仿宋_GB2312" w:cs="仿宋_GB2312"/>
          <w:color w:val="auto"/>
          <w:kern w:val="0"/>
          <w:sz w:val="32"/>
          <w:szCs w:val="32"/>
          <w:highlight w:val="none"/>
        </w:rPr>
        <w:t>政协民主监督的结果，</w:t>
      </w:r>
      <w:r>
        <w:rPr>
          <w:rFonts w:hint="eastAsia" w:ascii="仿宋_GB2312" w:hAnsi="仿宋_GB2312" w:eastAsia="仿宋_GB2312" w:cs="仿宋_GB2312"/>
          <w:color w:val="auto"/>
          <w:kern w:val="0"/>
          <w:sz w:val="32"/>
          <w:szCs w:val="32"/>
          <w:highlight w:val="none"/>
          <w:lang w:val="en-US" w:eastAsia="zh-CN"/>
        </w:rPr>
        <w:t>更</w:t>
      </w:r>
      <w:r>
        <w:rPr>
          <w:rFonts w:hint="eastAsia" w:ascii="仿宋_GB2312" w:hAnsi="仿宋_GB2312" w:eastAsia="仿宋_GB2312" w:cs="仿宋_GB2312"/>
          <w:color w:val="auto"/>
          <w:kern w:val="0"/>
          <w:sz w:val="32"/>
          <w:szCs w:val="32"/>
          <w:highlight w:val="none"/>
        </w:rPr>
        <w:t>是全县人民凝心聚力、奋勇拼搏的结果。同时，我们也清醒地认识到财政运行依然面临一些困难和问题：</w:t>
      </w:r>
      <w:r>
        <w:rPr>
          <w:rFonts w:hint="eastAsia" w:ascii="仿宋_GB2312" w:hAnsi="仿宋_GB2312" w:eastAsia="仿宋_GB2312" w:cs="仿宋_GB2312"/>
          <w:b/>
          <w:bCs/>
          <w:color w:val="auto"/>
          <w:kern w:val="0"/>
          <w:sz w:val="32"/>
          <w:szCs w:val="32"/>
          <w:highlight w:val="none"/>
        </w:rPr>
        <w:t>一是财政收入稳增长压力</w:t>
      </w:r>
      <w:r>
        <w:rPr>
          <w:rFonts w:hint="eastAsia" w:ascii="仿宋_GB2312" w:hAnsi="仿宋_GB2312" w:eastAsia="仿宋_GB2312" w:cs="仿宋_GB2312"/>
          <w:b/>
          <w:bCs/>
          <w:color w:val="auto"/>
          <w:kern w:val="0"/>
          <w:sz w:val="32"/>
          <w:szCs w:val="32"/>
          <w:highlight w:val="none"/>
          <w:lang w:val="en-US" w:eastAsia="zh-CN"/>
        </w:rPr>
        <w:t>抬升</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rPr>
        <w:t>当前，</w:t>
      </w:r>
      <w:r>
        <w:rPr>
          <w:rFonts w:hint="eastAsia" w:ascii="仿宋_GB2312" w:hAnsi="仿宋_GB2312" w:eastAsia="仿宋_GB2312" w:cs="仿宋_GB2312"/>
          <w:color w:val="auto"/>
          <w:kern w:val="0"/>
          <w:sz w:val="32"/>
          <w:szCs w:val="32"/>
          <w:highlight w:val="none"/>
          <w:lang w:val="en-US" w:eastAsia="zh-CN"/>
        </w:rPr>
        <w:t>经济持续回升的基础仍不牢固，市场</w:t>
      </w:r>
      <w:r>
        <w:rPr>
          <w:rFonts w:hint="eastAsia" w:ascii="仿宋_GB2312" w:hAnsi="仿宋_GB2312" w:eastAsia="仿宋_GB2312" w:cs="仿宋_GB2312"/>
          <w:color w:val="auto"/>
          <w:kern w:val="0"/>
          <w:sz w:val="32"/>
          <w:szCs w:val="32"/>
          <w:highlight w:val="none"/>
        </w:rPr>
        <w:t>需求</w:t>
      </w:r>
      <w:r>
        <w:rPr>
          <w:rFonts w:hint="eastAsia" w:ascii="仿宋_GB2312" w:hAnsi="仿宋_GB2312" w:eastAsia="仿宋_GB2312" w:cs="仿宋_GB2312"/>
          <w:color w:val="auto"/>
          <w:kern w:val="0"/>
          <w:sz w:val="32"/>
          <w:szCs w:val="32"/>
          <w:highlight w:val="none"/>
          <w:lang w:val="en-US" w:eastAsia="zh-CN"/>
        </w:rPr>
        <w:t>仍显不足，部分企业生产经营困难</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地方</w:t>
      </w:r>
      <w:r>
        <w:rPr>
          <w:rFonts w:hint="eastAsia" w:ascii="仿宋_GB2312" w:hAnsi="仿宋_GB2312" w:eastAsia="仿宋_GB2312" w:cs="仿宋_GB2312"/>
          <w:color w:val="auto"/>
          <w:kern w:val="0"/>
          <w:sz w:val="32"/>
          <w:szCs w:val="32"/>
          <w:highlight w:val="none"/>
        </w:rPr>
        <w:t>税收收入增长承压。</w:t>
      </w:r>
      <w:r>
        <w:rPr>
          <w:rFonts w:hint="eastAsia" w:ascii="仿宋_GB2312" w:hAnsi="仿宋_GB2312" w:eastAsia="仿宋_GB2312" w:cs="仿宋_GB2312"/>
          <w:b/>
          <w:bCs/>
          <w:color w:val="auto"/>
          <w:kern w:val="0"/>
          <w:sz w:val="32"/>
          <w:szCs w:val="32"/>
          <w:highlight w:val="none"/>
        </w:rPr>
        <w:t>二是财政</w:t>
      </w:r>
      <w:r>
        <w:rPr>
          <w:rFonts w:hint="eastAsia" w:ascii="仿宋_GB2312" w:hAnsi="仿宋_GB2312" w:eastAsia="仿宋_GB2312" w:cs="仿宋_GB2312"/>
          <w:b/>
          <w:bCs/>
          <w:color w:val="auto"/>
          <w:kern w:val="0"/>
          <w:sz w:val="32"/>
          <w:szCs w:val="32"/>
          <w:highlight w:val="none"/>
          <w:lang w:val="en-US" w:eastAsia="zh-CN"/>
        </w:rPr>
        <w:t>收支矛盾逐步凸显</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土地出让收入下滑短期难有大的改观，可统筹财力减少，</w:t>
      </w:r>
      <w:r>
        <w:rPr>
          <w:rFonts w:hint="eastAsia" w:ascii="仿宋_GB2312" w:hAnsi="仿宋_GB2312" w:eastAsia="仿宋_GB2312" w:cs="仿宋_GB2312"/>
          <w:color w:val="auto"/>
          <w:kern w:val="0"/>
          <w:sz w:val="32"/>
          <w:szCs w:val="32"/>
          <w:highlight w:val="none"/>
        </w:rPr>
        <w:t>而“三保”、债务还本等刚性支出只增不减，财政平衡</w:t>
      </w:r>
      <w:r>
        <w:rPr>
          <w:rFonts w:hint="eastAsia" w:ascii="仿宋_GB2312" w:hAnsi="仿宋_GB2312" w:eastAsia="仿宋_GB2312" w:cs="仿宋_GB2312"/>
          <w:color w:val="auto"/>
          <w:kern w:val="0"/>
          <w:sz w:val="32"/>
          <w:szCs w:val="32"/>
          <w:highlight w:val="none"/>
          <w:lang w:val="en-US" w:eastAsia="zh-CN"/>
        </w:rPr>
        <w:t>难度加大</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bCs/>
          <w:color w:val="auto"/>
          <w:kern w:val="0"/>
          <w:sz w:val="32"/>
          <w:szCs w:val="32"/>
          <w:highlight w:val="none"/>
        </w:rPr>
        <w:t>三是</w:t>
      </w:r>
      <w:r>
        <w:rPr>
          <w:rFonts w:hint="eastAsia" w:ascii="仿宋_GB2312" w:hAnsi="仿宋_GB2312" w:eastAsia="仿宋_GB2312" w:cs="仿宋_GB2312"/>
          <w:b/>
          <w:bCs/>
          <w:color w:val="auto"/>
          <w:kern w:val="0"/>
          <w:sz w:val="32"/>
          <w:szCs w:val="32"/>
          <w:highlight w:val="none"/>
          <w:lang w:val="en-US" w:eastAsia="zh-CN"/>
        </w:rPr>
        <w:t>预算管理改革还需深化</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财政统筹和资源配置能力还要提高，财务收支行为还要规范，财经纪律约束还要从严</w:t>
      </w:r>
      <w:r>
        <w:rPr>
          <w:rFonts w:hint="eastAsia" w:ascii="仿宋_GB2312" w:hAnsi="仿宋_GB2312" w:eastAsia="仿宋_GB2312" w:cs="仿宋_GB2312"/>
          <w:color w:val="auto"/>
          <w:kern w:val="0"/>
          <w:sz w:val="32"/>
          <w:szCs w:val="32"/>
          <w:highlight w:val="none"/>
        </w:rPr>
        <w:t>。对此，我们</w:t>
      </w:r>
      <w:r>
        <w:rPr>
          <w:rFonts w:hint="eastAsia" w:ascii="仿宋_GB2312" w:hAnsi="仿宋_GB2312" w:eastAsia="仿宋_GB2312" w:cs="仿宋_GB2312"/>
          <w:color w:val="auto"/>
          <w:kern w:val="0"/>
          <w:sz w:val="32"/>
          <w:szCs w:val="32"/>
          <w:highlight w:val="none"/>
          <w:lang w:val="en-US" w:eastAsia="zh-CN"/>
        </w:rPr>
        <w:t>将坚持问题导向</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认真研究，采取有力措施</w:t>
      </w:r>
      <w:r>
        <w:rPr>
          <w:rFonts w:hint="eastAsia" w:ascii="仿宋_GB2312" w:hAnsi="仿宋_GB2312" w:eastAsia="仿宋_GB2312" w:cs="仿宋_GB2312"/>
          <w:color w:val="auto"/>
          <w:kern w:val="0"/>
          <w:sz w:val="32"/>
          <w:szCs w:val="32"/>
          <w:highlight w:val="none"/>
        </w:rPr>
        <w:t>加以解决。</w:t>
      </w:r>
    </w:p>
    <w:p w14:paraId="4F044CE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三、</w:t>
      </w:r>
      <w:r>
        <w:rPr>
          <w:rFonts w:hint="eastAsia" w:ascii="黑体" w:hAnsi="黑体" w:eastAsia="黑体" w:cs="黑体"/>
          <w:color w:val="auto"/>
          <w:kern w:val="0"/>
          <w:sz w:val="32"/>
          <w:szCs w:val="32"/>
          <w:lang w:eastAsia="zh-CN"/>
        </w:rPr>
        <w:t>202</w:t>
      </w:r>
      <w:r>
        <w:rPr>
          <w:rFonts w:hint="eastAsia" w:ascii="黑体" w:hAnsi="黑体" w:eastAsia="黑体" w:cs="黑体"/>
          <w:color w:val="auto"/>
          <w:kern w:val="0"/>
          <w:sz w:val="32"/>
          <w:szCs w:val="32"/>
          <w:lang w:val="en-US" w:eastAsia="zh-CN"/>
        </w:rPr>
        <w:t>5</w:t>
      </w:r>
      <w:r>
        <w:rPr>
          <w:rFonts w:hint="eastAsia" w:ascii="黑体" w:hAnsi="黑体" w:eastAsia="黑体" w:cs="黑体"/>
          <w:color w:val="auto"/>
          <w:kern w:val="0"/>
          <w:sz w:val="32"/>
          <w:szCs w:val="32"/>
          <w:lang w:eastAsia="zh-CN"/>
        </w:rPr>
        <w:t>年</w:t>
      </w:r>
      <w:r>
        <w:rPr>
          <w:rFonts w:hint="eastAsia" w:ascii="黑体" w:hAnsi="黑体" w:eastAsia="黑体" w:cs="黑体"/>
          <w:color w:val="auto"/>
          <w:kern w:val="0"/>
          <w:sz w:val="32"/>
          <w:szCs w:val="32"/>
        </w:rPr>
        <w:t>全县和县本级预算草案</w:t>
      </w:r>
    </w:p>
    <w:p w14:paraId="70065F6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按照省、市、县对经济工作的总体部署，结合全县国民经济及社会发展目标，</w:t>
      </w:r>
      <w:r>
        <w:rPr>
          <w:rFonts w:hint="eastAsia" w:ascii="仿宋_GB2312" w:hAnsi="仿宋_GB2312" w:eastAsia="仿宋_GB2312" w:cs="仿宋_GB2312"/>
          <w:color w:val="auto"/>
          <w:kern w:val="0"/>
          <w:sz w:val="32"/>
          <w:szCs w:val="32"/>
          <w:lang w:eastAsia="zh-CN"/>
        </w:rPr>
        <w:t>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rPr>
        <w:t>全县财政预算草案编制如下：</w:t>
      </w:r>
    </w:p>
    <w:p w14:paraId="59BFE26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lang w:eastAsia="zh-CN"/>
        </w:rPr>
        <w:t>（</w:t>
      </w:r>
      <w:r>
        <w:rPr>
          <w:rFonts w:hint="eastAsia" w:ascii="楷体" w:hAnsi="楷体" w:eastAsia="楷体" w:cs="楷体"/>
          <w:b/>
          <w:bCs/>
          <w:color w:val="auto"/>
          <w:kern w:val="0"/>
          <w:sz w:val="32"/>
          <w:szCs w:val="32"/>
        </w:rPr>
        <w:t>一</w:t>
      </w:r>
      <w:r>
        <w:rPr>
          <w:rFonts w:hint="eastAsia" w:ascii="楷体" w:hAnsi="楷体" w:eastAsia="楷体" w:cs="楷体"/>
          <w:b/>
          <w:bCs/>
          <w:color w:val="auto"/>
          <w:kern w:val="0"/>
          <w:sz w:val="32"/>
          <w:szCs w:val="32"/>
          <w:lang w:eastAsia="zh-CN"/>
        </w:rPr>
        <w:t>）</w:t>
      </w:r>
      <w:r>
        <w:rPr>
          <w:rFonts w:hint="eastAsia" w:ascii="楷体" w:hAnsi="楷体" w:eastAsia="楷体" w:cs="楷体"/>
          <w:b/>
          <w:bCs/>
          <w:color w:val="auto"/>
          <w:kern w:val="0"/>
          <w:sz w:val="32"/>
          <w:szCs w:val="32"/>
        </w:rPr>
        <w:t>一般公共预算情况</w:t>
      </w:r>
    </w:p>
    <w:p w14:paraId="3C20B46F">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kern w:val="0"/>
          <w:sz w:val="32"/>
          <w:szCs w:val="32"/>
          <w:highlight w:val="yellow"/>
        </w:rPr>
      </w:pPr>
      <w:r>
        <w:rPr>
          <w:rFonts w:hint="eastAsia" w:ascii="仿宋_GB2312" w:hAnsi="仿宋_GB2312" w:eastAsia="仿宋_GB2312" w:cs="仿宋_GB2312"/>
          <w:b/>
          <w:bCs/>
          <w:color w:val="auto"/>
          <w:kern w:val="0"/>
          <w:sz w:val="32"/>
          <w:szCs w:val="32"/>
          <w:highlight w:val="none"/>
          <w:lang w:eastAsia="zh-CN"/>
        </w:rPr>
        <w:t>202</w:t>
      </w:r>
      <w:r>
        <w:rPr>
          <w:rFonts w:hint="eastAsia" w:ascii="仿宋_GB2312" w:hAnsi="仿宋_GB2312" w:eastAsia="仿宋_GB2312" w:cs="仿宋_GB2312"/>
          <w:b/>
          <w:bCs/>
          <w:color w:val="auto"/>
          <w:kern w:val="0"/>
          <w:sz w:val="32"/>
          <w:szCs w:val="32"/>
          <w:highlight w:val="none"/>
          <w:lang w:val="en-US" w:eastAsia="zh-CN"/>
        </w:rPr>
        <w:t>5</w:t>
      </w:r>
      <w:r>
        <w:rPr>
          <w:rFonts w:hint="eastAsia" w:ascii="仿宋_GB2312" w:hAnsi="仿宋_GB2312" w:eastAsia="仿宋_GB2312" w:cs="仿宋_GB2312"/>
          <w:b/>
          <w:bCs/>
          <w:color w:val="auto"/>
          <w:kern w:val="0"/>
          <w:sz w:val="32"/>
          <w:szCs w:val="32"/>
          <w:highlight w:val="none"/>
          <w:lang w:eastAsia="zh-CN"/>
        </w:rPr>
        <w:t>年</w:t>
      </w:r>
      <w:r>
        <w:rPr>
          <w:rFonts w:hint="eastAsia" w:ascii="仿宋_GB2312" w:hAnsi="仿宋_GB2312" w:eastAsia="仿宋_GB2312" w:cs="仿宋_GB2312"/>
          <w:b/>
          <w:bCs/>
          <w:color w:val="auto"/>
          <w:kern w:val="0"/>
          <w:sz w:val="32"/>
          <w:szCs w:val="32"/>
          <w:highlight w:val="none"/>
        </w:rPr>
        <w:t>全县一般公共预算收入安排</w:t>
      </w:r>
      <w:r>
        <w:rPr>
          <w:rFonts w:hint="eastAsia" w:ascii="仿宋_GB2312" w:hAnsi="仿宋_GB2312" w:eastAsia="仿宋_GB2312" w:cs="仿宋_GB2312"/>
          <w:b/>
          <w:bCs/>
          <w:color w:val="auto"/>
          <w:kern w:val="0"/>
          <w:sz w:val="32"/>
          <w:szCs w:val="32"/>
          <w:highlight w:val="none"/>
          <w:lang w:val="en-US" w:eastAsia="zh-CN"/>
        </w:rPr>
        <w:t>115530</w:t>
      </w:r>
      <w:r>
        <w:rPr>
          <w:rFonts w:hint="eastAsia" w:ascii="仿宋_GB2312" w:hAnsi="仿宋_GB2312" w:eastAsia="仿宋_GB2312" w:cs="仿宋_GB2312"/>
          <w:b/>
          <w:bCs/>
          <w:color w:val="auto"/>
          <w:kern w:val="0"/>
          <w:sz w:val="32"/>
          <w:szCs w:val="32"/>
          <w:highlight w:val="none"/>
        </w:rPr>
        <w:t>万元，比202</w:t>
      </w:r>
      <w:r>
        <w:rPr>
          <w:rFonts w:hint="eastAsia" w:ascii="仿宋_GB2312" w:hAnsi="仿宋_GB2312" w:eastAsia="仿宋_GB2312" w:cs="仿宋_GB2312"/>
          <w:b/>
          <w:bCs/>
          <w:color w:val="auto"/>
          <w:kern w:val="0"/>
          <w:sz w:val="32"/>
          <w:szCs w:val="32"/>
          <w:highlight w:val="none"/>
          <w:lang w:val="en-US" w:eastAsia="zh-CN"/>
        </w:rPr>
        <w:t>4</w:t>
      </w:r>
      <w:r>
        <w:rPr>
          <w:rFonts w:hint="eastAsia" w:ascii="仿宋_GB2312" w:hAnsi="仿宋_GB2312" w:eastAsia="仿宋_GB2312" w:cs="仿宋_GB2312"/>
          <w:b/>
          <w:bCs/>
          <w:color w:val="auto"/>
          <w:kern w:val="0"/>
          <w:sz w:val="32"/>
          <w:szCs w:val="32"/>
          <w:highlight w:val="none"/>
        </w:rPr>
        <w:t>年</w:t>
      </w:r>
      <w:r>
        <w:rPr>
          <w:rFonts w:hint="eastAsia" w:ascii="仿宋_GB2312" w:hAnsi="仿宋_GB2312" w:eastAsia="仿宋_GB2312" w:cs="仿宋_GB2312"/>
          <w:b/>
          <w:bCs/>
          <w:color w:val="auto"/>
          <w:kern w:val="0"/>
          <w:sz w:val="32"/>
          <w:szCs w:val="32"/>
          <w:highlight w:val="none"/>
          <w:lang w:val="en-US" w:eastAsia="zh-CN"/>
        </w:rPr>
        <w:t>执行数</w:t>
      </w:r>
      <w:r>
        <w:rPr>
          <w:rFonts w:hint="eastAsia" w:ascii="仿宋_GB2312" w:hAnsi="仿宋_GB2312" w:eastAsia="仿宋_GB2312" w:cs="仿宋_GB2312"/>
          <w:b/>
          <w:bCs/>
          <w:color w:val="auto"/>
          <w:kern w:val="0"/>
          <w:sz w:val="32"/>
          <w:szCs w:val="32"/>
          <w:highlight w:val="none"/>
        </w:rPr>
        <w:t>增加</w:t>
      </w:r>
      <w:r>
        <w:rPr>
          <w:rFonts w:hint="eastAsia" w:ascii="仿宋_GB2312" w:hAnsi="仿宋_GB2312" w:eastAsia="仿宋_GB2312" w:cs="仿宋_GB2312"/>
          <w:b/>
          <w:bCs/>
          <w:color w:val="auto"/>
          <w:kern w:val="0"/>
          <w:sz w:val="32"/>
          <w:szCs w:val="32"/>
          <w:highlight w:val="none"/>
          <w:lang w:val="en-US" w:eastAsia="zh-CN"/>
        </w:rPr>
        <w:t>3370</w:t>
      </w:r>
      <w:r>
        <w:rPr>
          <w:rFonts w:hint="eastAsia" w:ascii="仿宋_GB2312" w:hAnsi="仿宋_GB2312" w:eastAsia="仿宋_GB2312" w:cs="仿宋_GB2312"/>
          <w:b/>
          <w:bCs/>
          <w:color w:val="auto"/>
          <w:kern w:val="0"/>
          <w:sz w:val="32"/>
          <w:szCs w:val="32"/>
          <w:highlight w:val="none"/>
        </w:rPr>
        <w:t>万元、增长</w:t>
      </w:r>
      <w:r>
        <w:rPr>
          <w:rFonts w:hint="eastAsia" w:ascii="仿宋_GB2312" w:hAnsi="仿宋_GB2312" w:eastAsia="仿宋_GB2312" w:cs="仿宋_GB2312"/>
          <w:b/>
          <w:bCs/>
          <w:color w:val="auto"/>
          <w:kern w:val="0"/>
          <w:sz w:val="32"/>
          <w:szCs w:val="32"/>
          <w:highlight w:val="none"/>
          <w:lang w:val="en-US" w:eastAsia="zh-CN"/>
        </w:rPr>
        <w:t>3</w:t>
      </w: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color w:val="auto"/>
          <w:kern w:val="0"/>
          <w:sz w:val="32"/>
          <w:szCs w:val="32"/>
          <w:highlight w:val="none"/>
        </w:rPr>
        <w:t>分项目预算安排情况是：增值税35%部分</w:t>
      </w:r>
      <w:r>
        <w:rPr>
          <w:rFonts w:hint="eastAsia" w:ascii="仿宋_GB2312" w:hAnsi="仿宋_GB2312" w:eastAsia="仿宋_GB2312" w:cs="仿宋_GB2312"/>
          <w:color w:val="auto"/>
          <w:kern w:val="0"/>
          <w:sz w:val="32"/>
          <w:szCs w:val="32"/>
          <w:highlight w:val="none"/>
          <w:lang w:val="en-US" w:eastAsia="zh-CN"/>
        </w:rPr>
        <w:t>23170</w:t>
      </w:r>
      <w:r>
        <w:rPr>
          <w:rFonts w:hint="eastAsia" w:ascii="仿宋_GB2312" w:hAnsi="仿宋_GB2312" w:eastAsia="仿宋_GB2312" w:cs="仿宋_GB2312"/>
          <w:color w:val="auto"/>
          <w:kern w:val="0"/>
          <w:sz w:val="32"/>
          <w:szCs w:val="32"/>
          <w:highlight w:val="none"/>
        </w:rPr>
        <w:t>万元，企业所得税28%部分</w:t>
      </w:r>
      <w:r>
        <w:rPr>
          <w:rFonts w:hint="eastAsia" w:ascii="仿宋_GB2312" w:hAnsi="仿宋_GB2312" w:eastAsia="仿宋_GB2312" w:cs="仿宋_GB2312"/>
          <w:color w:val="auto"/>
          <w:kern w:val="0"/>
          <w:sz w:val="32"/>
          <w:szCs w:val="32"/>
          <w:highlight w:val="none"/>
          <w:lang w:val="en-US" w:eastAsia="zh-CN"/>
        </w:rPr>
        <w:t>7516</w:t>
      </w:r>
      <w:r>
        <w:rPr>
          <w:rFonts w:hint="eastAsia" w:ascii="仿宋_GB2312" w:hAnsi="仿宋_GB2312" w:eastAsia="仿宋_GB2312" w:cs="仿宋_GB2312"/>
          <w:color w:val="auto"/>
          <w:kern w:val="0"/>
          <w:sz w:val="32"/>
          <w:szCs w:val="32"/>
          <w:highlight w:val="none"/>
        </w:rPr>
        <w:t>万元，五小税</w:t>
      </w:r>
      <w:r>
        <w:rPr>
          <w:rFonts w:hint="eastAsia" w:ascii="仿宋_GB2312" w:hAnsi="仿宋_GB2312" w:eastAsia="仿宋_GB2312" w:cs="仿宋_GB2312"/>
          <w:color w:val="auto"/>
          <w:kern w:val="0"/>
          <w:sz w:val="32"/>
          <w:szCs w:val="32"/>
          <w:highlight w:val="none"/>
          <w:lang w:val="en-US" w:eastAsia="zh-CN"/>
        </w:rPr>
        <w:t>12980</w:t>
      </w:r>
      <w:r>
        <w:rPr>
          <w:rFonts w:hint="eastAsia" w:ascii="仿宋_GB2312" w:hAnsi="仿宋_GB2312" w:eastAsia="仿宋_GB2312" w:cs="仿宋_GB2312"/>
          <w:color w:val="auto"/>
          <w:kern w:val="0"/>
          <w:sz w:val="32"/>
          <w:szCs w:val="32"/>
          <w:highlight w:val="none"/>
        </w:rPr>
        <w:t>万元，个人所得税28%部分</w:t>
      </w:r>
      <w:r>
        <w:rPr>
          <w:rFonts w:hint="eastAsia" w:ascii="仿宋_GB2312" w:hAnsi="仿宋_GB2312" w:eastAsia="仿宋_GB2312" w:cs="仿宋_GB2312"/>
          <w:color w:val="auto"/>
          <w:kern w:val="0"/>
          <w:sz w:val="32"/>
          <w:szCs w:val="32"/>
          <w:highlight w:val="none"/>
          <w:lang w:val="en-US" w:eastAsia="zh-CN"/>
        </w:rPr>
        <w:t>1360</w:t>
      </w:r>
      <w:r>
        <w:rPr>
          <w:rFonts w:hint="eastAsia" w:ascii="仿宋_GB2312" w:hAnsi="仿宋_GB2312" w:eastAsia="仿宋_GB2312" w:cs="仿宋_GB2312"/>
          <w:color w:val="auto"/>
          <w:kern w:val="0"/>
          <w:sz w:val="32"/>
          <w:szCs w:val="32"/>
          <w:highlight w:val="none"/>
        </w:rPr>
        <w:t>万元，城市维护建设税</w:t>
      </w:r>
      <w:r>
        <w:rPr>
          <w:rFonts w:hint="eastAsia" w:ascii="仿宋_GB2312" w:hAnsi="仿宋_GB2312" w:eastAsia="仿宋_GB2312" w:cs="仿宋_GB2312"/>
          <w:color w:val="auto"/>
          <w:kern w:val="0"/>
          <w:sz w:val="32"/>
          <w:szCs w:val="32"/>
          <w:highlight w:val="none"/>
          <w:lang w:val="en-US" w:eastAsia="zh-CN"/>
        </w:rPr>
        <w:t>8830</w:t>
      </w:r>
      <w:r>
        <w:rPr>
          <w:rFonts w:hint="eastAsia" w:ascii="仿宋_GB2312" w:hAnsi="仿宋_GB2312" w:eastAsia="仿宋_GB2312" w:cs="仿宋_GB2312"/>
          <w:color w:val="auto"/>
          <w:kern w:val="0"/>
          <w:sz w:val="32"/>
          <w:szCs w:val="32"/>
          <w:highlight w:val="none"/>
        </w:rPr>
        <w:t>万元，车船税</w:t>
      </w:r>
      <w:r>
        <w:rPr>
          <w:rFonts w:hint="eastAsia" w:ascii="仿宋_GB2312" w:hAnsi="仿宋_GB2312" w:eastAsia="仿宋_GB2312" w:cs="仿宋_GB2312"/>
          <w:color w:val="auto"/>
          <w:kern w:val="0"/>
          <w:sz w:val="32"/>
          <w:szCs w:val="32"/>
          <w:highlight w:val="none"/>
          <w:lang w:val="en-US" w:eastAsia="zh-CN"/>
        </w:rPr>
        <w:t>3070</w:t>
      </w:r>
      <w:r>
        <w:rPr>
          <w:rFonts w:hint="eastAsia" w:ascii="仿宋_GB2312" w:hAnsi="仿宋_GB2312" w:eastAsia="仿宋_GB2312" w:cs="仿宋_GB2312"/>
          <w:color w:val="auto"/>
          <w:kern w:val="0"/>
          <w:sz w:val="32"/>
          <w:szCs w:val="32"/>
          <w:highlight w:val="none"/>
        </w:rPr>
        <w:t>万元，烟叶税</w:t>
      </w:r>
      <w:r>
        <w:rPr>
          <w:rFonts w:hint="eastAsia" w:ascii="仿宋_GB2312" w:hAnsi="仿宋_GB2312" w:eastAsia="仿宋_GB2312" w:cs="仿宋_GB2312"/>
          <w:color w:val="auto"/>
          <w:kern w:val="0"/>
          <w:sz w:val="32"/>
          <w:szCs w:val="32"/>
          <w:highlight w:val="none"/>
          <w:lang w:val="en-US" w:eastAsia="zh-CN"/>
        </w:rPr>
        <w:t>1134</w:t>
      </w:r>
      <w:r>
        <w:rPr>
          <w:rFonts w:hint="eastAsia" w:ascii="仿宋_GB2312" w:hAnsi="仿宋_GB2312" w:eastAsia="仿宋_GB2312" w:cs="仿宋_GB2312"/>
          <w:color w:val="auto"/>
          <w:kern w:val="0"/>
          <w:sz w:val="32"/>
          <w:szCs w:val="32"/>
          <w:highlight w:val="none"/>
        </w:rPr>
        <w:t>万元，耕地占用税</w:t>
      </w:r>
      <w:r>
        <w:rPr>
          <w:rFonts w:hint="eastAsia" w:ascii="仿宋_GB2312" w:hAnsi="仿宋_GB2312" w:eastAsia="仿宋_GB2312" w:cs="仿宋_GB2312"/>
          <w:color w:val="auto"/>
          <w:kern w:val="0"/>
          <w:sz w:val="32"/>
          <w:szCs w:val="32"/>
          <w:highlight w:val="none"/>
          <w:lang w:val="en-US" w:eastAsia="zh-CN"/>
        </w:rPr>
        <w:t>2920</w:t>
      </w:r>
      <w:r>
        <w:rPr>
          <w:rFonts w:hint="eastAsia" w:ascii="仿宋_GB2312" w:hAnsi="仿宋_GB2312" w:eastAsia="仿宋_GB2312" w:cs="仿宋_GB2312"/>
          <w:color w:val="auto"/>
          <w:kern w:val="0"/>
          <w:sz w:val="32"/>
          <w:szCs w:val="32"/>
          <w:highlight w:val="none"/>
        </w:rPr>
        <w:t>万元，契税</w:t>
      </w:r>
      <w:r>
        <w:rPr>
          <w:rFonts w:hint="eastAsia" w:ascii="仿宋_GB2312" w:hAnsi="仿宋_GB2312" w:eastAsia="仿宋_GB2312" w:cs="仿宋_GB2312"/>
          <w:color w:val="auto"/>
          <w:kern w:val="0"/>
          <w:sz w:val="32"/>
          <w:szCs w:val="32"/>
          <w:highlight w:val="none"/>
          <w:lang w:val="en-US" w:eastAsia="zh-CN"/>
        </w:rPr>
        <w:t>7960</w:t>
      </w:r>
      <w:r>
        <w:rPr>
          <w:rFonts w:hint="eastAsia" w:ascii="仿宋_GB2312" w:hAnsi="仿宋_GB2312" w:eastAsia="仿宋_GB2312" w:cs="仿宋_GB2312"/>
          <w:color w:val="auto"/>
          <w:kern w:val="0"/>
          <w:sz w:val="32"/>
          <w:szCs w:val="32"/>
          <w:highlight w:val="none"/>
        </w:rPr>
        <w:t>万元，环境保护税</w:t>
      </w:r>
      <w:r>
        <w:rPr>
          <w:rFonts w:hint="eastAsia" w:ascii="仿宋_GB2312" w:hAnsi="仿宋_GB2312" w:eastAsia="仿宋_GB2312" w:cs="仿宋_GB2312"/>
          <w:color w:val="auto"/>
          <w:kern w:val="0"/>
          <w:sz w:val="32"/>
          <w:szCs w:val="32"/>
          <w:highlight w:val="none"/>
          <w:lang w:val="en-US" w:eastAsia="zh-CN"/>
        </w:rPr>
        <w:t>320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val="en-US" w:eastAsia="zh-CN"/>
        </w:rPr>
        <w:t>其他税收收入60万元，</w:t>
      </w:r>
      <w:r>
        <w:rPr>
          <w:rFonts w:hint="eastAsia" w:ascii="仿宋_GB2312" w:hAnsi="仿宋_GB2312" w:eastAsia="仿宋_GB2312" w:cs="仿宋_GB2312"/>
          <w:color w:val="auto"/>
          <w:kern w:val="0"/>
          <w:sz w:val="32"/>
          <w:szCs w:val="32"/>
          <w:highlight w:val="none"/>
        </w:rPr>
        <w:t>罚没收入</w:t>
      </w:r>
      <w:r>
        <w:rPr>
          <w:rFonts w:hint="eastAsia" w:ascii="仿宋_GB2312" w:hAnsi="仿宋_GB2312" w:eastAsia="仿宋_GB2312" w:cs="仿宋_GB2312"/>
          <w:color w:val="auto"/>
          <w:kern w:val="0"/>
          <w:sz w:val="32"/>
          <w:szCs w:val="32"/>
          <w:highlight w:val="none"/>
          <w:lang w:val="en-US" w:eastAsia="zh-CN"/>
        </w:rPr>
        <w:t>15250</w:t>
      </w:r>
      <w:r>
        <w:rPr>
          <w:rFonts w:hint="eastAsia" w:ascii="仿宋_GB2312" w:hAnsi="仿宋_GB2312" w:eastAsia="仿宋_GB2312" w:cs="仿宋_GB2312"/>
          <w:color w:val="auto"/>
          <w:kern w:val="0"/>
          <w:sz w:val="32"/>
          <w:szCs w:val="32"/>
          <w:highlight w:val="none"/>
        </w:rPr>
        <w:t>万元，行政事业性收费收入</w:t>
      </w:r>
      <w:r>
        <w:rPr>
          <w:rFonts w:hint="eastAsia" w:ascii="仿宋_GB2312" w:hAnsi="仿宋_GB2312" w:eastAsia="仿宋_GB2312" w:cs="仿宋_GB2312"/>
          <w:color w:val="auto"/>
          <w:kern w:val="0"/>
          <w:sz w:val="32"/>
          <w:szCs w:val="32"/>
          <w:highlight w:val="none"/>
          <w:lang w:val="en-US" w:eastAsia="zh-CN"/>
        </w:rPr>
        <w:t>2850</w:t>
      </w:r>
      <w:r>
        <w:rPr>
          <w:rFonts w:hint="eastAsia" w:ascii="仿宋_GB2312" w:hAnsi="仿宋_GB2312" w:eastAsia="仿宋_GB2312" w:cs="仿宋_GB2312"/>
          <w:color w:val="auto"/>
          <w:kern w:val="0"/>
          <w:sz w:val="32"/>
          <w:szCs w:val="32"/>
          <w:highlight w:val="none"/>
        </w:rPr>
        <w:t>万元，专项收入</w:t>
      </w:r>
      <w:r>
        <w:rPr>
          <w:rFonts w:hint="eastAsia" w:ascii="仿宋_GB2312" w:hAnsi="仿宋_GB2312" w:eastAsia="仿宋_GB2312" w:cs="仿宋_GB2312"/>
          <w:color w:val="auto"/>
          <w:kern w:val="0"/>
          <w:sz w:val="32"/>
          <w:szCs w:val="32"/>
          <w:highlight w:val="none"/>
          <w:lang w:val="en-US" w:eastAsia="zh-CN"/>
        </w:rPr>
        <w:t>5560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val="en-US" w:eastAsia="zh-CN"/>
        </w:rPr>
        <w:t>政府住房基金收入4300万元，</w:t>
      </w:r>
      <w:r>
        <w:rPr>
          <w:rFonts w:hint="eastAsia" w:ascii="仿宋_GB2312" w:hAnsi="仿宋_GB2312" w:eastAsia="仿宋_GB2312" w:cs="仿宋_GB2312"/>
          <w:color w:val="auto"/>
          <w:kern w:val="0"/>
          <w:sz w:val="32"/>
          <w:szCs w:val="32"/>
          <w:highlight w:val="none"/>
        </w:rPr>
        <w:t>国有资源</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资产</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有偿使用收入</w:t>
      </w:r>
      <w:r>
        <w:rPr>
          <w:rFonts w:hint="eastAsia" w:ascii="仿宋_GB2312" w:hAnsi="仿宋_GB2312" w:eastAsia="仿宋_GB2312" w:cs="仿宋_GB2312"/>
          <w:color w:val="auto"/>
          <w:kern w:val="0"/>
          <w:sz w:val="32"/>
          <w:szCs w:val="32"/>
          <w:highlight w:val="none"/>
          <w:lang w:val="en-US" w:eastAsia="zh-CN"/>
        </w:rPr>
        <w:t>18250</w:t>
      </w:r>
      <w:r>
        <w:rPr>
          <w:rFonts w:hint="eastAsia" w:ascii="仿宋_GB2312" w:hAnsi="仿宋_GB2312" w:eastAsia="仿宋_GB2312" w:cs="仿宋_GB2312"/>
          <w:color w:val="auto"/>
          <w:kern w:val="0"/>
          <w:sz w:val="32"/>
          <w:szCs w:val="32"/>
          <w:highlight w:val="none"/>
        </w:rPr>
        <w:t>万元。</w:t>
      </w:r>
    </w:p>
    <w:p w14:paraId="6D8FF61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color w:val="auto"/>
          <w:kern w:val="0"/>
          <w:sz w:val="32"/>
          <w:szCs w:val="32"/>
          <w:highlight w:val="yellow"/>
        </w:rPr>
      </w:pPr>
      <w:r>
        <w:rPr>
          <w:rFonts w:hint="eastAsia" w:ascii="仿宋_GB2312" w:hAnsi="仿宋_GB2312" w:eastAsia="仿宋_GB2312" w:cs="仿宋_GB2312"/>
          <w:b/>
          <w:bCs/>
          <w:color w:val="auto"/>
          <w:kern w:val="0"/>
          <w:sz w:val="32"/>
          <w:szCs w:val="32"/>
          <w:highlight w:val="none"/>
          <w:lang w:eastAsia="zh-CN"/>
        </w:rPr>
        <w:t>202</w:t>
      </w:r>
      <w:r>
        <w:rPr>
          <w:rFonts w:hint="eastAsia" w:ascii="仿宋_GB2312" w:hAnsi="仿宋_GB2312" w:eastAsia="仿宋_GB2312" w:cs="仿宋_GB2312"/>
          <w:b/>
          <w:bCs/>
          <w:color w:val="auto"/>
          <w:kern w:val="0"/>
          <w:sz w:val="32"/>
          <w:szCs w:val="32"/>
          <w:highlight w:val="none"/>
          <w:lang w:val="en-US" w:eastAsia="zh-CN"/>
        </w:rPr>
        <w:t>5</w:t>
      </w:r>
      <w:r>
        <w:rPr>
          <w:rFonts w:hint="eastAsia" w:ascii="仿宋_GB2312" w:hAnsi="仿宋_GB2312" w:eastAsia="仿宋_GB2312" w:cs="仿宋_GB2312"/>
          <w:b/>
          <w:bCs/>
          <w:color w:val="auto"/>
          <w:kern w:val="0"/>
          <w:sz w:val="32"/>
          <w:szCs w:val="32"/>
          <w:highlight w:val="none"/>
          <w:lang w:eastAsia="zh-CN"/>
        </w:rPr>
        <w:t>年</w:t>
      </w:r>
      <w:r>
        <w:rPr>
          <w:rFonts w:hint="eastAsia" w:ascii="仿宋_GB2312" w:hAnsi="仿宋_GB2312" w:eastAsia="仿宋_GB2312" w:cs="仿宋_GB2312"/>
          <w:b/>
          <w:bCs/>
          <w:color w:val="auto"/>
          <w:kern w:val="0"/>
          <w:sz w:val="32"/>
          <w:szCs w:val="32"/>
          <w:highlight w:val="none"/>
        </w:rPr>
        <w:t>全县一般公共预算支出安排预算</w:t>
      </w:r>
      <w:r>
        <w:rPr>
          <w:rFonts w:hint="eastAsia" w:ascii="仿宋_GB2312" w:hAnsi="仿宋_GB2312" w:eastAsia="仿宋_GB2312" w:cs="仿宋_GB2312"/>
          <w:b/>
          <w:bCs/>
          <w:color w:val="auto"/>
          <w:kern w:val="0"/>
          <w:sz w:val="32"/>
          <w:szCs w:val="32"/>
          <w:highlight w:val="none"/>
          <w:lang w:val="en-US" w:eastAsia="zh-CN"/>
        </w:rPr>
        <w:t>668600</w:t>
      </w:r>
      <w:r>
        <w:rPr>
          <w:rFonts w:hint="eastAsia" w:ascii="仿宋_GB2312" w:hAnsi="仿宋_GB2312" w:eastAsia="仿宋_GB2312" w:cs="仿宋_GB2312"/>
          <w:b/>
          <w:bCs/>
          <w:color w:val="auto"/>
          <w:kern w:val="0"/>
          <w:sz w:val="32"/>
          <w:szCs w:val="32"/>
          <w:highlight w:val="none"/>
        </w:rPr>
        <w:t>万元</w:t>
      </w:r>
      <w:r>
        <w:rPr>
          <w:rFonts w:hint="eastAsia" w:ascii="仿宋_GB2312" w:hAnsi="仿宋_GB2312" w:eastAsia="仿宋_GB2312" w:cs="仿宋_GB2312"/>
          <w:b/>
          <w:bCs/>
          <w:color w:val="auto"/>
          <w:kern w:val="0"/>
          <w:sz w:val="32"/>
          <w:szCs w:val="32"/>
          <w:highlight w:val="none"/>
          <w:lang w:eastAsia="zh-CN"/>
        </w:rPr>
        <w:t>（</w:t>
      </w:r>
      <w:r>
        <w:rPr>
          <w:rFonts w:hint="eastAsia" w:ascii="楷体" w:hAnsi="楷体" w:eastAsia="楷体" w:cs="楷体"/>
          <w:color w:val="auto"/>
          <w:kern w:val="0"/>
          <w:sz w:val="30"/>
          <w:szCs w:val="30"/>
          <w:highlight w:val="none"/>
          <w:lang w:eastAsia="zh-CN"/>
        </w:rPr>
        <w:t>其中：县本级支出</w:t>
      </w:r>
      <w:r>
        <w:rPr>
          <w:rFonts w:hint="eastAsia" w:ascii="楷体" w:hAnsi="楷体" w:eastAsia="楷体" w:cs="楷体"/>
          <w:color w:val="auto"/>
          <w:kern w:val="0"/>
          <w:sz w:val="30"/>
          <w:szCs w:val="30"/>
          <w:highlight w:val="none"/>
          <w:lang w:val="en-US" w:eastAsia="zh-CN"/>
        </w:rPr>
        <w:t>636600</w:t>
      </w:r>
      <w:r>
        <w:rPr>
          <w:rFonts w:hint="eastAsia" w:ascii="楷体" w:hAnsi="楷体" w:eastAsia="楷体" w:cs="楷体"/>
          <w:color w:val="auto"/>
          <w:kern w:val="0"/>
          <w:sz w:val="30"/>
          <w:szCs w:val="30"/>
          <w:highlight w:val="none"/>
          <w:lang w:eastAsia="zh-CN"/>
        </w:rPr>
        <w:t>万元，乡镇支出</w:t>
      </w:r>
      <w:r>
        <w:rPr>
          <w:rFonts w:hint="eastAsia" w:ascii="楷体" w:hAnsi="楷体" w:eastAsia="楷体" w:cs="楷体"/>
          <w:color w:val="auto"/>
          <w:kern w:val="0"/>
          <w:sz w:val="30"/>
          <w:szCs w:val="30"/>
          <w:highlight w:val="none"/>
          <w:lang w:val="en-US" w:eastAsia="zh-CN"/>
        </w:rPr>
        <w:t>32000</w:t>
      </w:r>
      <w:r>
        <w:rPr>
          <w:rFonts w:hint="eastAsia" w:ascii="楷体" w:hAnsi="楷体" w:eastAsia="楷体" w:cs="楷体"/>
          <w:color w:val="auto"/>
          <w:kern w:val="0"/>
          <w:sz w:val="30"/>
          <w:szCs w:val="30"/>
          <w:highlight w:val="none"/>
          <w:lang w:eastAsia="zh-CN"/>
        </w:rPr>
        <w:t>万元）</w:t>
      </w:r>
      <w:r>
        <w:rPr>
          <w:rFonts w:hint="eastAsia" w:ascii="仿宋_GB2312" w:hAnsi="仿宋_GB2312" w:eastAsia="仿宋_GB2312" w:cs="仿宋_GB2312"/>
          <w:b/>
          <w:bCs/>
          <w:color w:val="auto"/>
          <w:kern w:val="0"/>
          <w:sz w:val="32"/>
          <w:szCs w:val="32"/>
          <w:highlight w:val="none"/>
        </w:rPr>
        <w:t>，比202</w:t>
      </w:r>
      <w:r>
        <w:rPr>
          <w:rFonts w:hint="eastAsia" w:ascii="仿宋_GB2312" w:hAnsi="仿宋_GB2312" w:eastAsia="仿宋_GB2312" w:cs="仿宋_GB2312"/>
          <w:b/>
          <w:bCs/>
          <w:color w:val="auto"/>
          <w:kern w:val="0"/>
          <w:sz w:val="32"/>
          <w:szCs w:val="32"/>
          <w:highlight w:val="none"/>
          <w:lang w:val="en-US" w:eastAsia="zh-CN"/>
        </w:rPr>
        <w:t>4</w:t>
      </w:r>
      <w:r>
        <w:rPr>
          <w:rFonts w:hint="eastAsia" w:ascii="仿宋_GB2312" w:hAnsi="仿宋_GB2312" w:eastAsia="仿宋_GB2312" w:cs="仿宋_GB2312"/>
          <w:b/>
          <w:bCs/>
          <w:color w:val="auto"/>
          <w:kern w:val="0"/>
          <w:sz w:val="32"/>
          <w:szCs w:val="32"/>
          <w:highlight w:val="none"/>
        </w:rPr>
        <w:t>年</w:t>
      </w:r>
      <w:r>
        <w:rPr>
          <w:rFonts w:hint="eastAsia" w:ascii="仿宋_GB2312" w:hAnsi="仿宋_GB2312" w:eastAsia="仿宋_GB2312" w:cs="仿宋_GB2312"/>
          <w:b/>
          <w:bCs/>
          <w:color w:val="auto"/>
          <w:kern w:val="0"/>
          <w:sz w:val="32"/>
          <w:szCs w:val="32"/>
          <w:highlight w:val="none"/>
          <w:lang w:val="en-US" w:eastAsia="zh-CN"/>
        </w:rPr>
        <w:t>执行数</w:t>
      </w:r>
      <w:r>
        <w:rPr>
          <w:rFonts w:hint="eastAsia" w:ascii="仿宋_GB2312" w:hAnsi="仿宋_GB2312" w:eastAsia="仿宋_GB2312" w:cs="仿宋_GB2312"/>
          <w:b/>
          <w:bCs/>
          <w:color w:val="auto"/>
          <w:kern w:val="0"/>
          <w:sz w:val="32"/>
          <w:szCs w:val="32"/>
          <w:highlight w:val="none"/>
        </w:rPr>
        <w:t>减少</w:t>
      </w:r>
      <w:r>
        <w:rPr>
          <w:rFonts w:hint="eastAsia" w:ascii="仿宋_GB2312" w:hAnsi="仿宋_GB2312" w:eastAsia="仿宋_GB2312" w:cs="仿宋_GB2312"/>
          <w:b/>
          <w:bCs/>
          <w:color w:val="auto"/>
          <w:kern w:val="0"/>
          <w:sz w:val="32"/>
          <w:szCs w:val="32"/>
          <w:highlight w:val="none"/>
          <w:lang w:val="en-US" w:eastAsia="zh-CN"/>
        </w:rPr>
        <w:t>73178</w:t>
      </w:r>
      <w:r>
        <w:rPr>
          <w:rFonts w:hint="eastAsia" w:ascii="仿宋_GB2312" w:hAnsi="仿宋_GB2312" w:eastAsia="仿宋_GB2312" w:cs="仿宋_GB2312"/>
          <w:b/>
          <w:bCs/>
          <w:color w:val="auto"/>
          <w:kern w:val="0"/>
          <w:sz w:val="32"/>
          <w:szCs w:val="32"/>
          <w:highlight w:val="none"/>
        </w:rPr>
        <w:t>万元，下降</w:t>
      </w:r>
      <w:r>
        <w:rPr>
          <w:rFonts w:hint="eastAsia" w:ascii="仿宋_GB2312" w:hAnsi="仿宋_GB2312" w:eastAsia="仿宋_GB2312" w:cs="仿宋_GB2312"/>
          <w:b/>
          <w:bCs/>
          <w:color w:val="auto"/>
          <w:kern w:val="0"/>
          <w:sz w:val="32"/>
          <w:szCs w:val="32"/>
          <w:highlight w:val="none"/>
          <w:lang w:val="en-US" w:eastAsia="zh-CN"/>
        </w:rPr>
        <w:t>9.9</w:t>
      </w:r>
      <w:r>
        <w:rPr>
          <w:rFonts w:hint="eastAsia" w:ascii="仿宋_GB2312" w:hAnsi="仿宋_GB2312" w:eastAsia="仿宋_GB2312" w:cs="仿宋_GB2312"/>
          <w:b/>
          <w:bCs/>
          <w:color w:val="auto"/>
          <w:kern w:val="0"/>
          <w:sz w:val="32"/>
          <w:szCs w:val="32"/>
          <w:highlight w:val="none"/>
        </w:rPr>
        <w:t>%。</w:t>
      </w:r>
    </w:p>
    <w:p w14:paraId="1BAFA25E">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kern w:val="0"/>
          <w:sz w:val="32"/>
          <w:szCs w:val="32"/>
          <w:highlight w:val="yellow"/>
        </w:rPr>
      </w:pPr>
      <w:r>
        <w:rPr>
          <w:rFonts w:hint="eastAsia" w:ascii="仿宋_GB2312" w:hAnsi="仿宋_GB2312" w:eastAsia="仿宋_GB2312" w:cs="仿宋_GB2312"/>
          <w:color w:val="auto"/>
          <w:kern w:val="0"/>
          <w:sz w:val="32"/>
          <w:szCs w:val="32"/>
          <w:highlight w:val="none"/>
        </w:rPr>
        <w:t>主要支出项目安排情况是：一般公共服务支出</w:t>
      </w:r>
      <w:r>
        <w:rPr>
          <w:rFonts w:hint="eastAsia" w:ascii="仿宋_GB2312" w:hAnsi="仿宋_GB2312" w:eastAsia="仿宋_GB2312" w:cs="仿宋_GB2312"/>
          <w:color w:val="auto"/>
          <w:kern w:val="0"/>
          <w:sz w:val="32"/>
          <w:szCs w:val="32"/>
          <w:highlight w:val="none"/>
          <w:lang w:val="en-US" w:eastAsia="zh-CN"/>
        </w:rPr>
        <w:t>42911</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国防支出</w:t>
      </w:r>
      <w:r>
        <w:rPr>
          <w:rFonts w:hint="eastAsia" w:ascii="仿宋_GB2312" w:hAnsi="仿宋_GB2312" w:eastAsia="仿宋_GB2312" w:cs="仿宋_GB2312"/>
          <w:color w:val="auto"/>
          <w:kern w:val="0"/>
          <w:sz w:val="32"/>
          <w:szCs w:val="32"/>
          <w:highlight w:val="none"/>
          <w:lang w:val="en-US" w:eastAsia="zh-CN"/>
        </w:rPr>
        <w:t>780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公共安全支出</w:t>
      </w:r>
      <w:r>
        <w:rPr>
          <w:rFonts w:hint="eastAsia" w:ascii="仿宋_GB2312" w:hAnsi="仿宋_GB2312" w:eastAsia="仿宋_GB2312" w:cs="仿宋_GB2312"/>
          <w:color w:val="auto"/>
          <w:kern w:val="0"/>
          <w:sz w:val="32"/>
          <w:szCs w:val="32"/>
          <w:highlight w:val="none"/>
          <w:lang w:val="en-US" w:eastAsia="zh-CN"/>
        </w:rPr>
        <w:t>14100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教育支出</w:t>
      </w:r>
      <w:r>
        <w:rPr>
          <w:rFonts w:hint="eastAsia" w:ascii="仿宋_GB2312" w:hAnsi="仿宋_GB2312" w:eastAsia="仿宋_GB2312" w:cs="仿宋_GB2312"/>
          <w:color w:val="auto"/>
          <w:kern w:val="0"/>
          <w:sz w:val="32"/>
          <w:szCs w:val="32"/>
          <w:highlight w:val="none"/>
          <w:lang w:val="en-US" w:eastAsia="zh-CN"/>
        </w:rPr>
        <w:t>182320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科学技术支出</w:t>
      </w:r>
      <w:r>
        <w:rPr>
          <w:rFonts w:hint="eastAsia" w:ascii="仿宋_GB2312" w:hAnsi="仿宋_GB2312" w:eastAsia="仿宋_GB2312" w:cs="仿宋_GB2312"/>
          <w:color w:val="auto"/>
          <w:kern w:val="0"/>
          <w:sz w:val="32"/>
          <w:szCs w:val="32"/>
          <w:highlight w:val="none"/>
          <w:lang w:val="en-US" w:eastAsia="zh-CN"/>
        </w:rPr>
        <w:t>26784</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文化旅游体育与传媒支出</w:t>
      </w:r>
      <w:r>
        <w:rPr>
          <w:rFonts w:hint="eastAsia" w:ascii="仿宋_GB2312" w:hAnsi="仿宋_GB2312" w:eastAsia="仿宋_GB2312" w:cs="仿宋_GB2312"/>
          <w:color w:val="auto"/>
          <w:kern w:val="0"/>
          <w:sz w:val="32"/>
          <w:szCs w:val="32"/>
          <w:highlight w:val="none"/>
          <w:lang w:val="en-US" w:eastAsia="zh-CN"/>
        </w:rPr>
        <w:t>5990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社会保障和就业支出</w:t>
      </w:r>
      <w:r>
        <w:rPr>
          <w:rFonts w:hint="eastAsia" w:ascii="仿宋_GB2312" w:hAnsi="仿宋_GB2312" w:eastAsia="仿宋_GB2312" w:cs="仿宋_GB2312"/>
          <w:color w:val="auto"/>
          <w:kern w:val="0"/>
          <w:sz w:val="32"/>
          <w:szCs w:val="32"/>
          <w:highlight w:val="none"/>
          <w:lang w:val="en-US" w:eastAsia="zh-CN"/>
        </w:rPr>
        <w:t>114275</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卫生健康支出</w:t>
      </w:r>
      <w:r>
        <w:rPr>
          <w:rFonts w:hint="eastAsia" w:ascii="仿宋_GB2312" w:hAnsi="仿宋_GB2312" w:eastAsia="仿宋_GB2312" w:cs="仿宋_GB2312"/>
          <w:color w:val="auto"/>
          <w:kern w:val="0"/>
          <w:sz w:val="32"/>
          <w:szCs w:val="32"/>
          <w:highlight w:val="none"/>
          <w:lang w:val="en-US" w:eastAsia="zh-CN"/>
        </w:rPr>
        <w:t>42883</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节能环保支出</w:t>
      </w:r>
      <w:r>
        <w:rPr>
          <w:rFonts w:hint="eastAsia" w:ascii="仿宋_GB2312" w:hAnsi="仿宋_GB2312" w:eastAsia="仿宋_GB2312" w:cs="仿宋_GB2312"/>
          <w:color w:val="auto"/>
          <w:kern w:val="0"/>
          <w:sz w:val="32"/>
          <w:szCs w:val="32"/>
          <w:highlight w:val="none"/>
          <w:lang w:val="en-US" w:eastAsia="zh-CN"/>
        </w:rPr>
        <w:t>9985</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城乡社区支出</w:t>
      </w:r>
      <w:r>
        <w:rPr>
          <w:rFonts w:hint="eastAsia" w:ascii="仿宋_GB2312" w:hAnsi="仿宋_GB2312" w:eastAsia="仿宋_GB2312" w:cs="仿宋_GB2312"/>
          <w:color w:val="auto"/>
          <w:kern w:val="0"/>
          <w:sz w:val="32"/>
          <w:szCs w:val="32"/>
          <w:highlight w:val="none"/>
          <w:lang w:val="en-US" w:eastAsia="zh-CN"/>
        </w:rPr>
        <w:t>20680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农林水支出</w:t>
      </w:r>
      <w:r>
        <w:rPr>
          <w:rFonts w:hint="eastAsia" w:ascii="仿宋_GB2312" w:hAnsi="仿宋_GB2312" w:eastAsia="仿宋_GB2312" w:cs="仿宋_GB2312"/>
          <w:color w:val="auto"/>
          <w:kern w:val="0"/>
          <w:sz w:val="32"/>
          <w:szCs w:val="32"/>
          <w:highlight w:val="none"/>
          <w:lang w:val="en-US" w:eastAsia="zh-CN"/>
        </w:rPr>
        <w:t>110449</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楷体" w:hAnsi="楷体" w:eastAsia="楷体" w:cs="楷体"/>
          <w:color w:val="auto"/>
          <w:kern w:val="0"/>
          <w:sz w:val="30"/>
          <w:szCs w:val="30"/>
          <w:highlight w:val="none"/>
          <w:lang w:eastAsia="zh-CN"/>
        </w:rPr>
        <w:t>其中：县本级支出</w:t>
      </w:r>
      <w:r>
        <w:rPr>
          <w:rFonts w:hint="eastAsia" w:ascii="楷体" w:hAnsi="楷体" w:eastAsia="楷体" w:cs="楷体"/>
          <w:color w:val="auto"/>
          <w:kern w:val="0"/>
          <w:sz w:val="30"/>
          <w:szCs w:val="30"/>
          <w:highlight w:val="none"/>
          <w:lang w:val="en-US" w:eastAsia="zh-CN"/>
        </w:rPr>
        <w:t>78449</w:t>
      </w:r>
      <w:r>
        <w:rPr>
          <w:rFonts w:hint="eastAsia" w:ascii="楷体" w:hAnsi="楷体" w:eastAsia="楷体" w:cs="楷体"/>
          <w:color w:val="auto"/>
          <w:kern w:val="0"/>
          <w:sz w:val="30"/>
          <w:szCs w:val="30"/>
          <w:highlight w:val="none"/>
          <w:lang w:eastAsia="zh-CN"/>
        </w:rPr>
        <w:t>万元，乡镇支出</w:t>
      </w:r>
      <w:r>
        <w:rPr>
          <w:rFonts w:hint="eastAsia" w:ascii="楷体" w:hAnsi="楷体" w:eastAsia="楷体" w:cs="楷体"/>
          <w:color w:val="auto"/>
          <w:kern w:val="0"/>
          <w:sz w:val="30"/>
          <w:szCs w:val="30"/>
          <w:highlight w:val="none"/>
          <w:lang w:val="en-US" w:eastAsia="zh-CN"/>
        </w:rPr>
        <w:t>32000</w:t>
      </w:r>
      <w:r>
        <w:rPr>
          <w:rFonts w:hint="eastAsia" w:ascii="楷体" w:hAnsi="楷体" w:eastAsia="楷体" w:cs="楷体"/>
          <w:color w:val="auto"/>
          <w:kern w:val="0"/>
          <w:sz w:val="30"/>
          <w:szCs w:val="30"/>
          <w:highlight w:val="none"/>
          <w:lang w:eastAsia="zh-CN"/>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交通运输支出</w:t>
      </w:r>
      <w:r>
        <w:rPr>
          <w:rFonts w:hint="eastAsia" w:ascii="仿宋_GB2312" w:hAnsi="仿宋_GB2312" w:eastAsia="仿宋_GB2312" w:cs="仿宋_GB2312"/>
          <w:color w:val="auto"/>
          <w:kern w:val="0"/>
          <w:sz w:val="32"/>
          <w:szCs w:val="32"/>
          <w:highlight w:val="none"/>
          <w:lang w:val="en-US" w:eastAsia="zh-CN"/>
        </w:rPr>
        <w:t>44660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资源勘探工业信息等支出</w:t>
      </w:r>
      <w:r>
        <w:rPr>
          <w:rFonts w:hint="eastAsia" w:ascii="仿宋_GB2312" w:hAnsi="仿宋_GB2312" w:eastAsia="仿宋_GB2312" w:cs="仿宋_GB2312"/>
          <w:color w:val="auto"/>
          <w:kern w:val="0"/>
          <w:sz w:val="32"/>
          <w:szCs w:val="32"/>
          <w:highlight w:val="none"/>
          <w:lang w:val="en-US" w:eastAsia="zh-CN"/>
        </w:rPr>
        <w:t>1580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商业服务业等支出</w:t>
      </w:r>
      <w:r>
        <w:rPr>
          <w:rFonts w:hint="eastAsia" w:ascii="仿宋_GB2312" w:hAnsi="仿宋_GB2312" w:eastAsia="仿宋_GB2312" w:cs="仿宋_GB2312"/>
          <w:color w:val="auto"/>
          <w:kern w:val="0"/>
          <w:sz w:val="32"/>
          <w:szCs w:val="32"/>
          <w:highlight w:val="none"/>
          <w:lang w:val="en-US" w:eastAsia="zh-CN"/>
        </w:rPr>
        <w:t>2300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金融支出</w:t>
      </w:r>
      <w:r>
        <w:rPr>
          <w:rFonts w:hint="eastAsia" w:ascii="仿宋_GB2312" w:hAnsi="仿宋_GB2312" w:eastAsia="仿宋_GB2312" w:cs="仿宋_GB2312"/>
          <w:color w:val="auto"/>
          <w:kern w:val="0"/>
          <w:sz w:val="32"/>
          <w:szCs w:val="32"/>
          <w:highlight w:val="none"/>
          <w:lang w:val="en-US" w:eastAsia="zh-CN"/>
        </w:rPr>
        <w:t>1800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自然资源海洋气象等支出</w:t>
      </w:r>
      <w:r>
        <w:rPr>
          <w:rFonts w:hint="eastAsia" w:ascii="仿宋_GB2312" w:hAnsi="仿宋_GB2312" w:eastAsia="仿宋_GB2312" w:cs="仿宋_GB2312"/>
          <w:color w:val="auto"/>
          <w:kern w:val="0"/>
          <w:sz w:val="32"/>
          <w:szCs w:val="32"/>
          <w:highlight w:val="none"/>
          <w:lang w:val="en-US" w:eastAsia="zh-CN"/>
        </w:rPr>
        <w:t>6220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住房保障支出</w:t>
      </w:r>
      <w:r>
        <w:rPr>
          <w:rFonts w:hint="eastAsia" w:ascii="仿宋_GB2312" w:hAnsi="仿宋_GB2312" w:eastAsia="仿宋_GB2312" w:cs="仿宋_GB2312"/>
          <w:color w:val="auto"/>
          <w:kern w:val="0"/>
          <w:sz w:val="32"/>
          <w:szCs w:val="32"/>
          <w:highlight w:val="none"/>
          <w:lang w:val="en-US" w:eastAsia="zh-CN"/>
        </w:rPr>
        <w:t>12730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粮油物资储备支出</w:t>
      </w:r>
      <w:r>
        <w:rPr>
          <w:rFonts w:hint="eastAsia" w:ascii="仿宋_GB2312" w:hAnsi="仿宋_GB2312" w:eastAsia="仿宋_GB2312" w:cs="仿宋_GB2312"/>
          <w:color w:val="auto"/>
          <w:kern w:val="0"/>
          <w:sz w:val="32"/>
          <w:szCs w:val="32"/>
          <w:highlight w:val="none"/>
          <w:lang w:val="en-US" w:eastAsia="zh-CN"/>
        </w:rPr>
        <w:t>150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灾害防治及应急管理支出</w:t>
      </w:r>
      <w:r>
        <w:rPr>
          <w:rFonts w:hint="eastAsia" w:ascii="仿宋_GB2312" w:hAnsi="仿宋_GB2312" w:eastAsia="仿宋_GB2312" w:cs="仿宋_GB2312"/>
          <w:color w:val="auto"/>
          <w:kern w:val="0"/>
          <w:sz w:val="32"/>
          <w:szCs w:val="32"/>
          <w:highlight w:val="none"/>
          <w:lang w:val="en-US" w:eastAsia="zh-CN"/>
        </w:rPr>
        <w:t>6453</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预备费12000万元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债务付息支出</w:t>
      </w:r>
      <w:r>
        <w:rPr>
          <w:rFonts w:hint="eastAsia" w:ascii="仿宋_GB2312" w:hAnsi="仿宋_GB2312" w:eastAsia="仿宋_GB2312" w:cs="仿宋_GB2312"/>
          <w:color w:val="auto"/>
          <w:kern w:val="0"/>
          <w:sz w:val="32"/>
          <w:szCs w:val="32"/>
          <w:highlight w:val="none"/>
          <w:lang w:val="en-US" w:eastAsia="zh-CN"/>
        </w:rPr>
        <w:t>9000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债务发行费用支出</w:t>
      </w:r>
      <w:r>
        <w:rPr>
          <w:rFonts w:hint="eastAsia" w:ascii="仿宋_GB2312" w:hAnsi="仿宋_GB2312" w:eastAsia="仿宋_GB2312" w:cs="仿宋_GB2312"/>
          <w:color w:val="auto"/>
          <w:kern w:val="0"/>
          <w:sz w:val="32"/>
          <w:szCs w:val="32"/>
          <w:highlight w:val="none"/>
          <w:lang w:val="en-US" w:eastAsia="zh-CN"/>
        </w:rPr>
        <w:t>50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其他支出500万元</w:t>
      </w:r>
      <w:r>
        <w:rPr>
          <w:rFonts w:hint="eastAsia" w:ascii="仿宋_GB2312" w:hAnsi="仿宋_GB2312" w:eastAsia="仿宋_GB2312" w:cs="仿宋_GB2312"/>
          <w:color w:val="auto"/>
          <w:kern w:val="0"/>
          <w:sz w:val="32"/>
          <w:szCs w:val="32"/>
          <w:highlight w:val="none"/>
        </w:rPr>
        <w:t>。</w:t>
      </w:r>
    </w:p>
    <w:p w14:paraId="0FBE847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预算收支情况：</w:t>
      </w:r>
      <w:r>
        <w:rPr>
          <w:rFonts w:hint="eastAsia" w:ascii="仿宋_GB2312" w:hAnsi="仿宋_GB2312" w:eastAsia="仿宋_GB2312" w:cs="仿宋_GB2312"/>
          <w:color w:val="auto"/>
          <w:kern w:val="0"/>
          <w:sz w:val="32"/>
          <w:szCs w:val="32"/>
          <w:highlight w:val="none"/>
          <w:lang w:eastAsia="zh-CN"/>
        </w:rPr>
        <w:t>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lang w:eastAsia="zh-CN"/>
        </w:rPr>
        <w:t>年</w:t>
      </w:r>
      <w:r>
        <w:rPr>
          <w:rFonts w:hint="eastAsia" w:ascii="仿宋_GB2312" w:hAnsi="仿宋_GB2312" w:eastAsia="仿宋_GB2312" w:cs="仿宋_GB2312"/>
          <w:color w:val="auto"/>
          <w:kern w:val="0"/>
          <w:sz w:val="32"/>
          <w:szCs w:val="32"/>
          <w:highlight w:val="none"/>
        </w:rPr>
        <w:t>全县一般公共预算收入</w:t>
      </w:r>
      <w:r>
        <w:rPr>
          <w:rFonts w:hint="eastAsia" w:ascii="仿宋_GB2312" w:hAnsi="仿宋_GB2312" w:eastAsia="仿宋_GB2312" w:cs="仿宋_GB2312"/>
          <w:color w:val="auto"/>
          <w:kern w:val="0"/>
          <w:sz w:val="32"/>
          <w:szCs w:val="32"/>
          <w:highlight w:val="none"/>
          <w:lang w:val="en-US" w:eastAsia="zh-CN"/>
        </w:rPr>
        <w:t>115530</w:t>
      </w:r>
      <w:r>
        <w:rPr>
          <w:rFonts w:hint="eastAsia" w:ascii="仿宋_GB2312" w:hAnsi="仿宋_GB2312" w:eastAsia="仿宋_GB2312" w:cs="仿宋_GB2312"/>
          <w:color w:val="auto"/>
          <w:kern w:val="0"/>
          <w:sz w:val="32"/>
          <w:szCs w:val="32"/>
          <w:highlight w:val="none"/>
        </w:rPr>
        <w:t>万元，加上补助收入</w:t>
      </w:r>
      <w:r>
        <w:rPr>
          <w:rFonts w:hint="eastAsia" w:ascii="仿宋_GB2312" w:hAnsi="仿宋_GB2312" w:eastAsia="仿宋_GB2312" w:cs="仿宋_GB2312"/>
          <w:color w:val="auto"/>
          <w:kern w:val="0"/>
          <w:sz w:val="32"/>
          <w:szCs w:val="32"/>
          <w:highlight w:val="none"/>
          <w:lang w:val="en-US" w:eastAsia="zh-CN"/>
        </w:rPr>
        <w:t>490000</w:t>
      </w:r>
      <w:r>
        <w:rPr>
          <w:rFonts w:hint="eastAsia" w:ascii="仿宋_GB2312" w:hAnsi="仿宋_GB2312" w:eastAsia="仿宋_GB2312" w:cs="仿宋_GB2312"/>
          <w:color w:val="auto"/>
          <w:kern w:val="0"/>
          <w:sz w:val="32"/>
          <w:szCs w:val="32"/>
          <w:highlight w:val="none"/>
        </w:rPr>
        <w:t>万元、地方政府</w:t>
      </w:r>
      <w:r>
        <w:rPr>
          <w:rFonts w:hint="eastAsia" w:ascii="仿宋_GB2312" w:hAnsi="仿宋_GB2312" w:eastAsia="仿宋_GB2312" w:cs="仿宋_GB2312"/>
          <w:color w:val="auto"/>
          <w:kern w:val="0"/>
          <w:sz w:val="32"/>
          <w:szCs w:val="32"/>
          <w:highlight w:val="none"/>
          <w:lang w:val="en-US" w:eastAsia="zh-CN"/>
        </w:rPr>
        <w:t>一般</w:t>
      </w:r>
      <w:r>
        <w:rPr>
          <w:rFonts w:hint="eastAsia" w:ascii="仿宋_GB2312" w:hAnsi="仿宋_GB2312" w:eastAsia="仿宋_GB2312" w:cs="仿宋_GB2312"/>
          <w:color w:val="auto"/>
          <w:kern w:val="0"/>
          <w:sz w:val="32"/>
          <w:szCs w:val="32"/>
          <w:highlight w:val="none"/>
        </w:rPr>
        <w:t>债券</w:t>
      </w:r>
      <w:r>
        <w:rPr>
          <w:rFonts w:hint="eastAsia" w:ascii="仿宋_GB2312" w:hAnsi="仿宋_GB2312" w:eastAsia="仿宋_GB2312" w:cs="仿宋_GB2312"/>
          <w:color w:val="auto"/>
          <w:kern w:val="0"/>
          <w:sz w:val="32"/>
          <w:szCs w:val="32"/>
          <w:highlight w:val="none"/>
          <w:lang w:val="en-US" w:eastAsia="zh-CN"/>
        </w:rPr>
        <w:t>转贷</w:t>
      </w:r>
      <w:r>
        <w:rPr>
          <w:rFonts w:hint="eastAsia" w:ascii="仿宋_GB2312" w:hAnsi="仿宋_GB2312" w:eastAsia="仿宋_GB2312" w:cs="仿宋_GB2312"/>
          <w:color w:val="auto"/>
          <w:kern w:val="0"/>
          <w:sz w:val="32"/>
          <w:szCs w:val="32"/>
          <w:highlight w:val="none"/>
        </w:rPr>
        <w:t>收入</w:t>
      </w:r>
      <w:r>
        <w:rPr>
          <w:rFonts w:hint="eastAsia" w:ascii="仿宋_GB2312" w:hAnsi="仿宋_GB2312" w:eastAsia="仿宋_GB2312" w:cs="仿宋_GB2312"/>
          <w:color w:val="auto"/>
          <w:kern w:val="0"/>
          <w:sz w:val="32"/>
          <w:szCs w:val="32"/>
          <w:highlight w:val="none"/>
          <w:lang w:val="en-US" w:eastAsia="zh-CN"/>
        </w:rPr>
        <w:t>38521万元、动用预算稳定调节基金45000万元、</w:t>
      </w:r>
      <w:r>
        <w:rPr>
          <w:rFonts w:hint="eastAsia" w:ascii="仿宋_GB2312" w:hAnsi="仿宋_GB2312" w:eastAsia="仿宋_GB2312" w:cs="仿宋_GB2312"/>
          <w:color w:val="auto"/>
          <w:kern w:val="0"/>
          <w:sz w:val="32"/>
          <w:szCs w:val="32"/>
          <w:highlight w:val="none"/>
        </w:rPr>
        <w:t>调入</w:t>
      </w:r>
      <w:r>
        <w:rPr>
          <w:rFonts w:hint="eastAsia" w:ascii="仿宋_GB2312" w:hAnsi="仿宋_GB2312" w:eastAsia="仿宋_GB2312" w:cs="仿宋_GB2312"/>
          <w:color w:val="auto"/>
          <w:kern w:val="0"/>
          <w:sz w:val="32"/>
          <w:szCs w:val="32"/>
          <w:highlight w:val="none"/>
          <w:lang w:val="en-US" w:eastAsia="zh-CN"/>
        </w:rPr>
        <w:t>国有资本经营预算</w:t>
      </w:r>
      <w:r>
        <w:rPr>
          <w:rFonts w:hint="eastAsia" w:ascii="仿宋_GB2312" w:hAnsi="仿宋_GB2312" w:eastAsia="仿宋_GB2312" w:cs="仿宋_GB2312"/>
          <w:color w:val="auto"/>
          <w:kern w:val="0"/>
          <w:sz w:val="32"/>
          <w:szCs w:val="32"/>
          <w:highlight w:val="none"/>
        </w:rPr>
        <w:t>资金</w:t>
      </w:r>
      <w:r>
        <w:rPr>
          <w:rFonts w:hint="eastAsia" w:ascii="仿宋_GB2312" w:hAnsi="仿宋_GB2312" w:eastAsia="仿宋_GB2312" w:cs="仿宋_GB2312"/>
          <w:color w:val="auto"/>
          <w:kern w:val="0"/>
          <w:sz w:val="32"/>
          <w:szCs w:val="32"/>
          <w:highlight w:val="none"/>
          <w:lang w:val="en-US" w:eastAsia="zh-CN"/>
        </w:rPr>
        <w:t>18100</w:t>
      </w:r>
      <w:r>
        <w:rPr>
          <w:rFonts w:hint="eastAsia" w:ascii="仿宋_GB2312" w:hAnsi="仿宋_GB2312" w:eastAsia="仿宋_GB2312" w:cs="仿宋_GB2312"/>
          <w:color w:val="auto"/>
          <w:kern w:val="0"/>
          <w:sz w:val="32"/>
          <w:szCs w:val="32"/>
          <w:highlight w:val="none"/>
        </w:rPr>
        <w:t>万元、上年结转</w:t>
      </w:r>
      <w:r>
        <w:rPr>
          <w:rFonts w:hint="eastAsia" w:ascii="仿宋_GB2312" w:hAnsi="仿宋_GB2312" w:eastAsia="仿宋_GB2312" w:cs="仿宋_GB2312"/>
          <w:color w:val="auto"/>
          <w:kern w:val="0"/>
          <w:sz w:val="32"/>
          <w:szCs w:val="32"/>
          <w:highlight w:val="none"/>
          <w:lang w:val="en-US" w:eastAsia="zh-CN"/>
        </w:rPr>
        <w:t>5702</w:t>
      </w:r>
      <w:r>
        <w:rPr>
          <w:rFonts w:hint="eastAsia" w:ascii="仿宋_GB2312" w:hAnsi="仿宋_GB2312" w:eastAsia="仿宋_GB2312" w:cs="仿宋_GB2312"/>
          <w:color w:val="auto"/>
          <w:kern w:val="0"/>
          <w:sz w:val="32"/>
          <w:szCs w:val="32"/>
          <w:highlight w:val="none"/>
        </w:rPr>
        <w:t>万元，一般公共预算收入总计</w:t>
      </w:r>
      <w:r>
        <w:rPr>
          <w:rFonts w:hint="eastAsia" w:ascii="仿宋_GB2312" w:hAnsi="仿宋_GB2312" w:eastAsia="仿宋_GB2312" w:cs="仿宋_GB2312"/>
          <w:color w:val="auto"/>
          <w:kern w:val="0"/>
          <w:sz w:val="32"/>
          <w:szCs w:val="32"/>
          <w:highlight w:val="none"/>
          <w:lang w:val="en-US" w:eastAsia="zh-CN"/>
        </w:rPr>
        <w:t>712853</w:t>
      </w:r>
      <w:r>
        <w:rPr>
          <w:rFonts w:hint="eastAsia" w:ascii="仿宋_GB2312" w:hAnsi="仿宋_GB2312" w:eastAsia="仿宋_GB2312" w:cs="仿宋_GB2312"/>
          <w:color w:val="auto"/>
          <w:kern w:val="0"/>
          <w:sz w:val="32"/>
          <w:szCs w:val="32"/>
          <w:highlight w:val="none"/>
        </w:rPr>
        <w:t>万元。全县一般公共预算支出</w:t>
      </w:r>
      <w:r>
        <w:rPr>
          <w:rFonts w:hint="eastAsia" w:ascii="仿宋_GB2312" w:hAnsi="仿宋_GB2312" w:eastAsia="仿宋_GB2312" w:cs="仿宋_GB2312"/>
          <w:color w:val="auto"/>
          <w:kern w:val="0"/>
          <w:sz w:val="32"/>
          <w:szCs w:val="32"/>
          <w:highlight w:val="none"/>
          <w:lang w:val="en-US" w:eastAsia="zh-CN"/>
        </w:rPr>
        <w:t>668600</w:t>
      </w:r>
      <w:r>
        <w:rPr>
          <w:rFonts w:hint="eastAsia" w:ascii="仿宋_GB2312" w:hAnsi="仿宋_GB2312" w:eastAsia="仿宋_GB2312" w:cs="仿宋_GB2312"/>
          <w:color w:val="auto"/>
          <w:kern w:val="0"/>
          <w:sz w:val="32"/>
          <w:szCs w:val="32"/>
          <w:highlight w:val="none"/>
        </w:rPr>
        <w:t>万元，上解支出</w:t>
      </w:r>
      <w:r>
        <w:rPr>
          <w:rFonts w:hint="eastAsia" w:ascii="仿宋_GB2312" w:hAnsi="仿宋_GB2312" w:eastAsia="仿宋_GB2312" w:cs="仿宋_GB2312"/>
          <w:color w:val="auto"/>
          <w:kern w:val="0"/>
          <w:sz w:val="32"/>
          <w:szCs w:val="32"/>
          <w:highlight w:val="none"/>
          <w:lang w:val="en-US" w:eastAsia="zh-CN"/>
        </w:rPr>
        <w:t>15000</w:t>
      </w:r>
      <w:r>
        <w:rPr>
          <w:rFonts w:hint="eastAsia" w:ascii="仿宋_GB2312" w:hAnsi="仿宋_GB2312" w:eastAsia="仿宋_GB2312" w:cs="仿宋_GB2312"/>
          <w:color w:val="auto"/>
          <w:kern w:val="0"/>
          <w:sz w:val="32"/>
          <w:szCs w:val="32"/>
          <w:highlight w:val="none"/>
        </w:rPr>
        <w:t>万元，债务还本支出</w:t>
      </w:r>
      <w:r>
        <w:rPr>
          <w:rFonts w:hint="eastAsia" w:ascii="仿宋_GB2312" w:hAnsi="仿宋_GB2312" w:eastAsia="仿宋_GB2312" w:cs="仿宋_GB2312"/>
          <w:color w:val="auto"/>
          <w:kern w:val="0"/>
          <w:sz w:val="32"/>
          <w:szCs w:val="32"/>
          <w:highlight w:val="none"/>
          <w:lang w:val="en-US" w:eastAsia="zh-CN"/>
        </w:rPr>
        <w:t>22131</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val="en-US" w:eastAsia="zh-CN"/>
        </w:rPr>
        <w:t>安排预算稳定调节基金3500万元，</w:t>
      </w:r>
      <w:r>
        <w:rPr>
          <w:rFonts w:hint="eastAsia" w:ascii="仿宋_GB2312" w:hAnsi="仿宋_GB2312" w:eastAsia="仿宋_GB2312" w:cs="仿宋_GB2312"/>
          <w:color w:val="auto"/>
          <w:kern w:val="0"/>
          <w:sz w:val="32"/>
          <w:szCs w:val="32"/>
          <w:highlight w:val="none"/>
        </w:rPr>
        <w:t>一般公共预算支出总计</w:t>
      </w:r>
      <w:r>
        <w:rPr>
          <w:rFonts w:hint="eastAsia" w:ascii="仿宋_GB2312" w:hAnsi="仿宋_GB2312" w:eastAsia="仿宋_GB2312" w:cs="仿宋_GB2312"/>
          <w:color w:val="auto"/>
          <w:kern w:val="0"/>
          <w:sz w:val="32"/>
          <w:szCs w:val="32"/>
          <w:highlight w:val="none"/>
          <w:lang w:val="en-US" w:eastAsia="zh-CN"/>
        </w:rPr>
        <w:t>709231</w:t>
      </w:r>
      <w:r>
        <w:rPr>
          <w:rFonts w:hint="eastAsia" w:ascii="仿宋_GB2312" w:hAnsi="仿宋_GB2312" w:eastAsia="仿宋_GB2312" w:cs="仿宋_GB2312"/>
          <w:color w:val="auto"/>
          <w:kern w:val="0"/>
          <w:sz w:val="32"/>
          <w:szCs w:val="32"/>
          <w:highlight w:val="none"/>
        </w:rPr>
        <w:t>万元。年终滚存结余</w:t>
      </w:r>
      <w:r>
        <w:rPr>
          <w:rFonts w:hint="eastAsia" w:ascii="仿宋_GB2312" w:hAnsi="仿宋_GB2312" w:eastAsia="仿宋_GB2312" w:cs="仿宋_GB2312"/>
          <w:color w:val="auto"/>
          <w:kern w:val="0"/>
          <w:sz w:val="32"/>
          <w:szCs w:val="32"/>
          <w:highlight w:val="none"/>
          <w:lang w:val="en-US" w:eastAsia="zh-CN"/>
        </w:rPr>
        <w:t>3622</w:t>
      </w:r>
      <w:r>
        <w:rPr>
          <w:rFonts w:hint="eastAsia" w:ascii="仿宋_GB2312" w:hAnsi="仿宋_GB2312" w:eastAsia="仿宋_GB2312" w:cs="仿宋_GB2312"/>
          <w:color w:val="auto"/>
          <w:kern w:val="0"/>
          <w:sz w:val="32"/>
          <w:szCs w:val="32"/>
          <w:highlight w:val="none"/>
        </w:rPr>
        <w:t>万元</w:t>
      </w:r>
      <w:r>
        <w:rPr>
          <w:rFonts w:hint="eastAsia" w:ascii="楷体" w:hAnsi="楷体" w:eastAsia="楷体" w:cs="楷体"/>
          <w:color w:val="auto"/>
          <w:kern w:val="0"/>
          <w:sz w:val="30"/>
          <w:szCs w:val="30"/>
          <w:highlight w:val="none"/>
        </w:rPr>
        <w:t>（全部为结转下年支出）</w:t>
      </w:r>
      <w:r>
        <w:rPr>
          <w:rFonts w:hint="eastAsia" w:ascii="仿宋_GB2312" w:hAnsi="仿宋_GB2312" w:eastAsia="仿宋_GB2312" w:cs="仿宋_GB2312"/>
          <w:color w:val="auto"/>
          <w:kern w:val="0"/>
          <w:sz w:val="32"/>
          <w:szCs w:val="32"/>
          <w:highlight w:val="none"/>
        </w:rPr>
        <w:t>。</w:t>
      </w:r>
    </w:p>
    <w:p w14:paraId="31BC372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highlight w:val="none"/>
        </w:rPr>
      </w:pPr>
      <w:r>
        <w:rPr>
          <w:rFonts w:hint="eastAsia" w:ascii="楷体" w:hAnsi="楷体" w:eastAsia="楷体" w:cs="楷体"/>
          <w:b/>
          <w:bCs/>
          <w:color w:val="auto"/>
          <w:kern w:val="0"/>
          <w:sz w:val="32"/>
          <w:szCs w:val="32"/>
          <w:highlight w:val="none"/>
        </w:rPr>
        <w:t>（二）政府性基金预算情况</w:t>
      </w:r>
    </w:p>
    <w:p w14:paraId="55A0300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napToGrid w:val="0"/>
          <w:color w:val="auto"/>
          <w:kern w:val="0"/>
          <w:sz w:val="32"/>
          <w:szCs w:val="32"/>
          <w:highlight w:val="none"/>
        </w:rPr>
      </w:pPr>
      <w:r>
        <w:rPr>
          <w:rFonts w:hint="eastAsia" w:ascii="宋体" w:hAnsi="宋体" w:eastAsia="仿宋_GB2312" w:cs="仿宋_GB2312"/>
          <w:snapToGrid w:val="0"/>
          <w:color w:val="auto"/>
          <w:kern w:val="0"/>
          <w:sz w:val="32"/>
          <w:szCs w:val="32"/>
          <w:highlight w:val="none"/>
          <w:lang w:eastAsia="zh-CN"/>
        </w:rPr>
        <w:t>202</w:t>
      </w:r>
      <w:r>
        <w:rPr>
          <w:rFonts w:hint="eastAsia" w:ascii="宋体" w:hAnsi="宋体" w:eastAsia="仿宋_GB2312" w:cs="仿宋_GB2312"/>
          <w:snapToGrid w:val="0"/>
          <w:color w:val="auto"/>
          <w:kern w:val="0"/>
          <w:sz w:val="32"/>
          <w:szCs w:val="32"/>
          <w:highlight w:val="none"/>
          <w:lang w:val="en-US" w:eastAsia="zh-CN"/>
        </w:rPr>
        <w:t>5</w:t>
      </w:r>
      <w:r>
        <w:rPr>
          <w:rFonts w:hint="eastAsia" w:ascii="宋体" w:hAnsi="宋体" w:eastAsia="仿宋_GB2312" w:cs="仿宋_GB2312"/>
          <w:snapToGrid w:val="0"/>
          <w:color w:val="auto"/>
          <w:kern w:val="0"/>
          <w:sz w:val="32"/>
          <w:szCs w:val="32"/>
          <w:highlight w:val="none"/>
          <w:lang w:eastAsia="zh-CN"/>
        </w:rPr>
        <w:t>年</w:t>
      </w:r>
      <w:r>
        <w:rPr>
          <w:rFonts w:hint="eastAsia" w:ascii="仿宋_GB2312" w:hAnsi="仿宋_GB2312" w:eastAsia="仿宋_GB2312" w:cs="仿宋_GB2312"/>
          <w:snapToGrid w:val="0"/>
          <w:color w:val="auto"/>
          <w:kern w:val="0"/>
          <w:sz w:val="32"/>
          <w:szCs w:val="32"/>
          <w:highlight w:val="none"/>
        </w:rPr>
        <w:t>，政府性基金收入</w:t>
      </w:r>
      <w:r>
        <w:rPr>
          <w:rFonts w:hint="eastAsia" w:ascii="仿宋_GB2312" w:hAnsi="仿宋_GB2312" w:eastAsia="仿宋_GB2312" w:cs="仿宋_GB2312"/>
          <w:color w:val="auto"/>
          <w:sz w:val="32"/>
          <w:szCs w:val="32"/>
          <w:highlight w:val="none"/>
        </w:rPr>
        <w:t>预算</w:t>
      </w:r>
      <w:r>
        <w:rPr>
          <w:rFonts w:hint="eastAsia" w:ascii="宋体" w:hAnsi="宋体" w:eastAsia="仿宋_GB2312" w:cs="仿宋_GB2312"/>
          <w:snapToGrid w:val="0"/>
          <w:color w:val="auto"/>
          <w:kern w:val="0"/>
          <w:sz w:val="32"/>
          <w:szCs w:val="32"/>
          <w:highlight w:val="none"/>
          <w:lang w:val="en-US" w:eastAsia="zh-CN"/>
        </w:rPr>
        <w:t>75030</w:t>
      </w:r>
      <w:r>
        <w:rPr>
          <w:rFonts w:hint="eastAsia" w:ascii="仿宋_GB2312" w:hAnsi="仿宋_GB2312" w:eastAsia="仿宋_GB2312" w:cs="仿宋_GB2312"/>
          <w:snapToGrid w:val="0"/>
          <w:color w:val="auto"/>
          <w:kern w:val="0"/>
          <w:sz w:val="32"/>
          <w:szCs w:val="32"/>
          <w:highlight w:val="none"/>
        </w:rPr>
        <w:t>万元</w:t>
      </w:r>
      <w:r>
        <w:rPr>
          <w:rFonts w:hint="eastAsia" w:ascii="楷体" w:hAnsi="楷体" w:eastAsia="楷体" w:cs="楷体"/>
          <w:snapToGrid w:val="0"/>
          <w:color w:val="auto"/>
          <w:kern w:val="0"/>
          <w:sz w:val="30"/>
          <w:szCs w:val="30"/>
          <w:highlight w:val="none"/>
        </w:rPr>
        <w:t>（其中：</w:t>
      </w:r>
      <w:r>
        <w:rPr>
          <w:rFonts w:hint="eastAsia" w:ascii="楷体" w:hAnsi="楷体" w:eastAsia="楷体" w:cs="楷体"/>
          <w:color w:val="auto"/>
          <w:sz w:val="30"/>
          <w:szCs w:val="30"/>
          <w:highlight w:val="none"/>
        </w:rPr>
        <w:t>国有土地使用权出让收入</w:t>
      </w:r>
      <w:r>
        <w:rPr>
          <w:rFonts w:hint="eastAsia" w:ascii="楷体" w:hAnsi="楷体" w:eastAsia="楷体" w:cs="楷体"/>
          <w:color w:val="auto"/>
          <w:sz w:val="30"/>
          <w:szCs w:val="30"/>
          <w:highlight w:val="none"/>
          <w:lang w:val="en-US" w:eastAsia="zh-CN"/>
        </w:rPr>
        <w:t>60000</w:t>
      </w:r>
      <w:r>
        <w:rPr>
          <w:rFonts w:hint="eastAsia" w:ascii="楷体" w:hAnsi="楷体" w:eastAsia="楷体" w:cs="楷体"/>
          <w:color w:val="auto"/>
          <w:sz w:val="30"/>
          <w:szCs w:val="30"/>
          <w:highlight w:val="none"/>
        </w:rPr>
        <w:t>万元、彩票公益金收入</w:t>
      </w:r>
      <w:r>
        <w:rPr>
          <w:rFonts w:hint="eastAsia" w:ascii="楷体" w:hAnsi="楷体" w:eastAsia="楷体" w:cs="楷体"/>
          <w:color w:val="auto"/>
          <w:sz w:val="30"/>
          <w:szCs w:val="30"/>
          <w:highlight w:val="none"/>
          <w:lang w:val="en-US" w:eastAsia="zh-CN"/>
        </w:rPr>
        <w:t>1050</w:t>
      </w:r>
      <w:r>
        <w:rPr>
          <w:rFonts w:hint="eastAsia" w:ascii="楷体" w:hAnsi="楷体" w:eastAsia="楷体" w:cs="楷体"/>
          <w:color w:val="auto"/>
          <w:sz w:val="30"/>
          <w:szCs w:val="30"/>
          <w:highlight w:val="none"/>
        </w:rPr>
        <w:t>万元、城市基础设施配套费收入</w:t>
      </w:r>
      <w:r>
        <w:rPr>
          <w:rFonts w:hint="eastAsia" w:ascii="楷体" w:hAnsi="楷体" w:eastAsia="楷体" w:cs="楷体"/>
          <w:color w:val="auto"/>
          <w:sz w:val="30"/>
          <w:szCs w:val="30"/>
          <w:highlight w:val="none"/>
          <w:lang w:val="en-US" w:eastAsia="zh-CN"/>
        </w:rPr>
        <w:t>630</w:t>
      </w:r>
      <w:r>
        <w:rPr>
          <w:rFonts w:hint="eastAsia" w:ascii="楷体" w:hAnsi="楷体" w:eastAsia="楷体" w:cs="楷体"/>
          <w:color w:val="auto"/>
          <w:sz w:val="30"/>
          <w:szCs w:val="30"/>
          <w:highlight w:val="none"/>
        </w:rPr>
        <w:t>万元、污水处理费收入</w:t>
      </w:r>
      <w:r>
        <w:rPr>
          <w:rFonts w:hint="eastAsia" w:ascii="楷体" w:hAnsi="楷体" w:eastAsia="楷体" w:cs="楷体"/>
          <w:color w:val="auto"/>
          <w:sz w:val="30"/>
          <w:szCs w:val="30"/>
          <w:highlight w:val="none"/>
          <w:lang w:val="en-US" w:eastAsia="zh-CN"/>
        </w:rPr>
        <w:t>1350</w:t>
      </w:r>
      <w:r>
        <w:rPr>
          <w:rFonts w:hint="eastAsia" w:ascii="楷体" w:hAnsi="楷体" w:eastAsia="楷体" w:cs="楷体"/>
          <w:color w:val="auto"/>
          <w:sz w:val="30"/>
          <w:szCs w:val="30"/>
          <w:highlight w:val="none"/>
        </w:rPr>
        <w:t>万元</w:t>
      </w:r>
      <w:r>
        <w:rPr>
          <w:rFonts w:hint="eastAsia" w:ascii="楷体" w:hAnsi="楷体" w:eastAsia="楷体" w:cs="楷体"/>
          <w:color w:val="auto"/>
          <w:sz w:val="30"/>
          <w:szCs w:val="30"/>
          <w:highlight w:val="none"/>
          <w:lang w:eastAsia="zh-CN"/>
        </w:rPr>
        <w:t>、</w:t>
      </w:r>
      <w:r>
        <w:rPr>
          <w:rFonts w:hint="eastAsia" w:ascii="楷体" w:hAnsi="楷体" w:eastAsia="楷体" w:cs="楷体"/>
          <w:color w:val="auto"/>
          <w:sz w:val="30"/>
          <w:szCs w:val="30"/>
          <w:highlight w:val="none"/>
          <w:lang w:val="en-US" w:eastAsia="zh-CN"/>
        </w:rPr>
        <w:t>专项债务对应项目专项收入12000万元</w:t>
      </w:r>
      <w:r>
        <w:rPr>
          <w:rFonts w:hint="eastAsia" w:ascii="楷体" w:hAnsi="楷体" w:eastAsia="楷体" w:cs="楷体"/>
          <w:snapToGrid w:val="0"/>
          <w:color w:val="auto"/>
          <w:kern w:val="0"/>
          <w:sz w:val="30"/>
          <w:szCs w:val="30"/>
          <w:highlight w:val="none"/>
        </w:rPr>
        <w:t>）</w:t>
      </w:r>
      <w:r>
        <w:rPr>
          <w:rFonts w:hint="eastAsia" w:ascii="仿宋_GB2312" w:hAnsi="仿宋_GB2312" w:eastAsia="仿宋_GB2312" w:cs="仿宋_GB2312"/>
          <w:snapToGrid w:val="0"/>
          <w:color w:val="auto"/>
          <w:kern w:val="0"/>
          <w:sz w:val="32"/>
          <w:szCs w:val="32"/>
          <w:highlight w:val="none"/>
        </w:rPr>
        <w:t>，上级补助收入</w:t>
      </w:r>
      <w:r>
        <w:rPr>
          <w:rFonts w:hint="eastAsia" w:ascii="仿宋_GB2312" w:hAnsi="仿宋_GB2312" w:eastAsia="仿宋_GB2312" w:cs="仿宋_GB2312"/>
          <w:snapToGrid w:val="0"/>
          <w:color w:val="auto"/>
          <w:kern w:val="0"/>
          <w:sz w:val="32"/>
          <w:szCs w:val="32"/>
          <w:highlight w:val="none"/>
          <w:lang w:val="en-US" w:eastAsia="zh-CN"/>
        </w:rPr>
        <w:t>30000</w:t>
      </w:r>
      <w:r>
        <w:rPr>
          <w:rFonts w:hint="eastAsia" w:ascii="仿宋_GB2312" w:hAnsi="仿宋_GB2312" w:eastAsia="仿宋_GB2312" w:cs="仿宋_GB2312"/>
          <w:snapToGrid w:val="0"/>
          <w:color w:val="auto"/>
          <w:kern w:val="0"/>
          <w:sz w:val="32"/>
          <w:szCs w:val="32"/>
          <w:highlight w:val="none"/>
        </w:rPr>
        <w:t>万元，地方政府专项债</w:t>
      </w:r>
      <w:r>
        <w:rPr>
          <w:rFonts w:hint="eastAsia" w:ascii="仿宋_GB2312" w:hAnsi="仿宋_GB2312" w:eastAsia="仿宋_GB2312" w:cs="仿宋_GB2312"/>
          <w:snapToGrid w:val="0"/>
          <w:color w:val="auto"/>
          <w:kern w:val="0"/>
          <w:sz w:val="32"/>
          <w:szCs w:val="32"/>
          <w:highlight w:val="none"/>
          <w:lang w:val="en-US" w:eastAsia="zh-CN"/>
        </w:rPr>
        <w:t>券</w:t>
      </w:r>
      <w:r>
        <w:rPr>
          <w:rFonts w:hint="eastAsia" w:ascii="仿宋_GB2312" w:hAnsi="仿宋_GB2312" w:eastAsia="仿宋_GB2312" w:cs="仿宋_GB2312"/>
          <w:snapToGrid w:val="0"/>
          <w:color w:val="auto"/>
          <w:kern w:val="0"/>
          <w:sz w:val="32"/>
          <w:szCs w:val="32"/>
          <w:highlight w:val="none"/>
        </w:rPr>
        <w:t>转贷收入</w:t>
      </w:r>
      <w:r>
        <w:rPr>
          <w:rFonts w:hint="eastAsia" w:ascii="仿宋_GB2312" w:hAnsi="仿宋_GB2312" w:eastAsia="仿宋_GB2312" w:cs="仿宋_GB2312"/>
          <w:snapToGrid w:val="0"/>
          <w:color w:val="auto"/>
          <w:kern w:val="0"/>
          <w:sz w:val="32"/>
          <w:szCs w:val="32"/>
          <w:highlight w:val="none"/>
          <w:lang w:val="en-US" w:eastAsia="zh-CN"/>
        </w:rPr>
        <w:t>159256</w:t>
      </w:r>
      <w:r>
        <w:rPr>
          <w:rFonts w:hint="eastAsia" w:ascii="仿宋_GB2312" w:hAnsi="仿宋_GB2312" w:eastAsia="仿宋_GB2312" w:cs="仿宋_GB2312"/>
          <w:snapToGrid w:val="0"/>
          <w:color w:val="auto"/>
          <w:kern w:val="0"/>
          <w:sz w:val="32"/>
          <w:szCs w:val="32"/>
          <w:highlight w:val="none"/>
        </w:rPr>
        <w:t>万元，上年结余</w:t>
      </w:r>
      <w:r>
        <w:rPr>
          <w:rFonts w:hint="eastAsia" w:ascii="仿宋_GB2312" w:hAnsi="仿宋_GB2312" w:eastAsia="仿宋_GB2312" w:cs="仿宋_GB2312"/>
          <w:snapToGrid w:val="0"/>
          <w:color w:val="auto"/>
          <w:kern w:val="0"/>
          <w:sz w:val="32"/>
          <w:szCs w:val="32"/>
          <w:highlight w:val="none"/>
          <w:lang w:val="en-US" w:eastAsia="zh-CN"/>
        </w:rPr>
        <w:t>30388</w:t>
      </w:r>
      <w:r>
        <w:rPr>
          <w:rFonts w:hint="eastAsia" w:ascii="仿宋_GB2312" w:hAnsi="仿宋_GB2312" w:eastAsia="仿宋_GB2312" w:cs="仿宋_GB2312"/>
          <w:snapToGrid w:val="0"/>
          <w:color w:val="auto"/>
          <w:kern w:val="0"/>
          <w:sz w:val="32"/>
          <w:szCs w:val="32"/>
          <w:highlight w:val="none"/>
        </w:rPr>
        <w:t>万元，收入合计</w:t>
      </w:r>
      <w:r>
        <w:rPr>
          <w:rFonts w:hint="eastAsia" w:ascii="仿宋_GB2312" w:hAnsi="仿宋_GB2312" w:eastAsia="仿宋_GB2312" w:cs="仿宋_GB2312"/>
          <w:snapToGrid w:val="0"/>
          <w:color w:val="auto"/>
          <w:kern w:val="0"/>
          <w:sz w:val="32"/>
          <w:szCs w:val="32"/>
          <w:highlight w:val="none"/>
          <w:lang w:val="en-US" w:eastAsia="zh-CN"/>
        </w:rPr>
        <w:t>294674</w:t>
      </w:r>
      <w:r>
        <w:rPr>
          <w:rFonts w:hint="eastAsia" w:ascii="仿宋_GB2312" w:hAnsi="仿宋_GB2312" w:eastAsia="仿宋_GB2312" w:cs="仿宋_GB2312"/>
          <w:snapToGrid w:val="0"/>
          <w:color w:val="auto"/>
          <w:kern w:val="0"/>
          <w:sz w:val="32"/>
          <w:szCs w:val="32"/>
          <w:highlight w:val="none"/>
        </w:rPr>
        <w:t>万元。</w:t>
      </w:r>
    </w:p>
    <w:p w14:paraId="6C6F071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napToGrid w:val="0"/>
          <w:color w:val="auto"/>
          <w:kern w:val="0"/>
          <w:sz w:val="32"/>
          <w:szCs w:val="32"/>
          <w:highlight w:val="none"/>
          <w:lang w:eastAsia="zh-CN"/>
        </w:rPr>
        <w:t>202</w:t>
      </w:r>
      <w:r>
        <w:rPr>
          <w:rFonts w:hint="eastAsia" w:ascii="仿宋_GB2312" w:hAnsi="仿宋_GB2312" w:eastAsia="仿宋_GB2312" w:cs="仿宋_GB2312"/>
          <w:snapToGrid w:val="0"/>
          <w:color w:val="auto"/>
          <w:kern w:val="0"/>
          <w:sz w:val="32"/>
          <w:szCs w:val="32"/>
          <w:highlight w:val="none"/>
          <w:lang w:val="en-US" w:eastAsia="zh-CN"/>
        </w:rPr>
        <w:t>5</w:t>
      </w:r>
      <w:r>
        <w:rPr>
          <w:rFonts w:hint="eastAsia" w:ascii="仿宋_GB2312" w:hAnsi="仿宋_GB2312" w:eastAsia="仿宋_GB2312" w:cs="仿宋_GB2312"/>
          <w:snapToGrid w:val="0"/>
          <w:color w:val="auto"/>
          <w:kern w:val="0"/>
          <w:sz w:val="32"/>
          <w:szCs w:val="32"/>
          <w:highlight w:val="none"/>
          <w:lang w:eastAsia="zh-CN"/>
        </w:rPr>
        <w:t>年</w:t>
      </w:r>
      <w:r>
        <w:rPr>
          <w:rFonts w:hint="eastAsia" w:ascii="仿宋_GB2312" w:hAnsi="仿宋_GB2312" w:eastAsia="仿宋_GB2312" w:cs="仿宋_GB2312"/>
          <w:snapToGrid w:val="0"/>
          <w:color w:val="auto"/>
          <w:kern w:val="0"/>
          <w:sz w:val="32"/>
          <w:szCs w:val="32"/>
          <w:highlight w:val="none"/>
        </w:rPr>
        <w:t>，安排</w:t>
      </w:r>
      <w:r>
        <w:rPr>
          <w:rFonts w:hint="eastAsia" w:ascii="仿宋_GB2312" w:hAnsi="仿宋_GB2312" w:eastAsia="仿宋_GB2312" w:cs="仿宋_GB2312"/>
          <w:snapToGrid w:val="0"/>
          <w:color w:val="auto"/>
          <w:kern w:val="0"/>
          <w:sz w:val="32"/>
          <w:szCs w:val="32"/>
          <w:highlight w:val="none"/>
          <w:lang w:val="en-US" w:eastAsia="zh-CN"/>
        </w:rPr>
        <w:t>政府性</w:t>
      </w:r>
      <w:r>
        <w:rPr>
          <w:rFonts w:hint="eastAsia" w:ascii="仿宋_GB2312" w:hAnsi="仿宋_GB2312" w:eastAsia="仿宋_GB2312" w:cs="仿宋_GB2312"/>
          <w:snapToGrid w:val="0"/>
          <w:color w:val="auto"/>
          <w:kern w:val="0"/>
          <w:sz w:val="32"/>
          <w:szCs w:val="32"/>
          <w:highlight w:val="none"/>
        </w:rPr>
        <w:t>基金支出</w:t>
      </w:r>
      <w:r>
        <w:rPr>
          <w:rFonts w:hint="eastAsia" w:ascii="仿宋_GB2312" w:hAnsi="仿宋_GB2312" w:eastAsia="仿宋_GB2312" w:cs="仿宋_GB2312"/>
          <w:snapToGrid w:val="0"/>
          <w:color w:val="auto"/>
          <w:kern w:val="0"/>
          <w:sz w:val="32"/>
          <w:szCs w:val="32"/>
          <w:highlight w:val="none"/>
          <w:lang w:val="en-US" w:eastAsia="zh-CN"/>
        </w:rPr>
        <w:t>217850</w:t>
      </w:r>
      <w:r>
        <w:rPr>
          <w:rFonts w:hint="eastAsia" w:ascii="仿宋_GB2312" w:hAnsi="仿宋_GB2312" w:eastAsia="仿宋_GB2312" w:cs="仿宋_GB2312"/>
          <w:snapToGrid w:val="0"/>
          <w:color w:val="auto"/>
          <w:kern w:val="0"/>
          <w:sz w:val="32"/>
          <w:szCs w:val="32"/>
          <w:highlight w:val="none"/>
        </w:rPr>
        <w:t>万元，加上上解支出</w:t>
      </w:r>
      <w:r>
        <w:rPr>
          <w:rFonts w:hint="eastAsia" w:ascii="仿宋_GB2312" w:hAnsi="仿宋_GB2312" w:eastAsia="仿宋_GB2312" w:cs="仿宋_GB2312"/>
          <w:snapToGrid w:val="0"/>
          <w:color w:val="auto"/>
          <w:kern w:val="0"/>
          <w:sz w:val="32"/>
          <w:szCs w:val="32"/>
          <w:highlight w:val="none"/>
          <w:lang w:val="en-US" w:eastAsia="zh-CN"/>
        </w:rPr>
        <w:t>1300</w:t>
      </w:r>
      <w:r>
        <w:rPr>
          <w:rFonts w:hint="eastAsia" w:ascii="仿宋_GB2312" w:hAnsi="仿宋_GB2312" w:eastAsia="仿宋_GB2312" w:cs="仿宋_GB2312"/>
          <w:snapToGrid w:val="0"/>
          <w:color w:val="auto"/>
          <w:kern w:val="0"/>
          <w:sz w:val="32"/>
          <w:szCs w:val="32"/>
          <w:highlight w:val="none"/>
        </w:rPr>
        <w:t>万元、债务还本支出</w:t>
      </w:r>
      <w:r>
        <w:rPr>
          <w:rFonts w:hint="eastAsia" w:ascii="仿宋_GB2312" w:hAnsi="仿宋_GB2312" w:eastAsia="仿宋_GB2312" w:cs="仿宋_GB2312"/>
          <w:snapToGrid w:val="0"/>
          <w:color w:val="auto"/>
          <w:kern w:val="0"/>
          <w:sz w:val="32"/>
          <w:szCs w:val="32"/>
          <w:highlight w:val="none"/>
          <w:lang w:val="en-US" w:eastAsia="zh-CN"/>
        </w:rPr>
        <w:t>71442</w:t>
      </w:r>
      <w:r>
        <w:rPr>
          <w:rFonts w:hint="eastAsia" w:ascii="仿宋_GB2312" w:hAnsi="仿宋_GB2312" w:eastAsia="仿宋_GB2312" w:cs="仿宋_GB2312"/>
          <w:snapToGrid w:val="0"/>
          <w:color w:val="auto"/>
          <w:kern w:val="0"/>
          <w:sz w:val="32"/>
          <w:szCs w:val="32"/>
          <w:highlight w:val="none"/>
        </w:rPr>
        <w:t>万元，支出合计</w:t>
      </w:r>
      <w:r>
        <w:rPr>
          <w:rFonts w:hint="eastAsia" w:ascii="仿宋_GB2312" w:hAnsi="仿宋_GB2312" w:eastAsia="仿宋_GB2312" w:cs="仿宋_GB2312"/>
          <w:snapToGrid w:val="0"/>
          <w:color w:val="auto"/>
          <w:kern w:val="0"/>
          <w:sz w:val="32"/>
          <w:szCs w:val="32"/>
          <w:highlight w:val="none"/>
          <w:lang w:val="en-US" w:eastAsia="zh-CN"/>
        </w:rPr>
        <w:t>290592</w:t>
      </w:r>
      <w:r>
        <w:rPr>
          <w:rFonts w:hint="eastAsia" w:ascii="仿宋_GB2312" w:hAnsi="仿宋_GB2312" w:eastAsia="仿宋_GB2312" w:cs="仿宋_GB2312"/>
          <w:snapToGrid w:val="0"/>
          <w:color w:val="auto"/>
          <w:kern w:val="0"/>
          <w:sz w:val="32"/>
          <w:szCs w:val="32"/>
          <w:highlight w:val="none"/>
        </w:rPr>
        <w:t>万元。</w:t>
      </w:r>
    </w:p>
    <w:p w14:paraId="29CAA14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rPr>
          <w:rFonts w:hint="eastAsia" w:ascii="仿宋_GB2312" w:eastAsia="仿宋_GB2312"/>
          <w:snapToGrid w:val="0"/>
          <w:color w:val="auto"/>
          <w:kern w:val="0"/>
          <w:sz w:val="32"/>
          <w:szCs w:val="32"/>
          <w:highlight w:val="yellow"/>
        </w:rPr>
      </w:pPr>
      <w:r>
        <w:rPr>
          <w:rFonts w:hint="eastAsia" w:ascii="仿宋_GB2312" w:hAnsi="仿宋_GB2312" w:eastAsia="仿宋_GB2312" w:cs="仿宋_GB2312"/>
          <w:snapToGrid w:val="0"/>
          <w:color w:val="auto"/>
          <w:kern w:val="0"/>
          <w:sz w:val="32"/>
          <w:szCs w:val="32"/>
          <w:highlight w:val="none"/>
        </w:rPr>
        <w:t>收支相抵，全县政府性基金滚存结余</w:t>
      </w:r>
      <w:r>
        <w:rPr>
          <w:rFonts w:hint="eastAsia" w:ascii="仿宋_GB2312" w:hAnsi="仿宋_GB2312" w:eastAsia="仿宋_GB2312" w:cs="仿宋_GB2312"/>
          <w:snapToGrid w:val="0"/>
          <w:color w:val="auto"/>
          <w:kern w:val="0"/>
          <w:sz w:val="32"/>
          <w:szCs w:val="32"/>
          <w:highlight w:val="none"/>
          <w:lang w:val="en-US" w:eastAsia="zh-CN"/>
        </w:rPr>
        <w:t>4082</w:t>
      </w:r>
      <w:r>
        <w:rPr>
          <w:rFonts w:hint="eastAsia" w:ascii="仿宋_GB2312" w:hAnsi="仿宋_GB2312" w:eastAsia="仿宋_GB2312" w:cs="仿宋_GB2312"/>
          <w:snapToGrid w:val="0"/>
          <w:color w:val="auto"/>
          <w:kern w:val="0"/>
          <w:sz w:val="32"/>
          <w:szCs w:val="32"/>
          <w:highlight w:val="none"/>
        </w:rPr>
        <w:t>万元</w:t>
      </w:r>
      <w:r>
        <w:rPr>
          <w:rFonts w:hint="eastAsia" w:ascii="楷体" w:hAnsi="楷体" w:eastAsia="楷体" w:cs="楷体"/>
          <w:color w:val="auto"/>
          <w:kern w:val="0"/>
          <w:sz w:val="30"/>
          <w:szCs w:val="30"/>
          <w:highlight w:val="none"/>
        </w:rPr>
        <w:t>（全部为结转下年支出）</w:t>
      </w:r>
      <w:r>
        <w:rPr>
          <w:rFonts w:hint="eastAsia" w:ascii="仿宋_GB2312" w:eastAsia="仿宋_GB2312"/>
          <w:snapToGrid w:val="0"/>
          <w:color w:val="auto"/>
          <w:kern w:val="0"/>
          <w:sz w:val="32"/>
          <w:szCs w:val="32"/>
          <w:highlight w:val="none"/>
        </w:rPr>
        <w:t>。</w:t>
      </w:r>
    </w:p>
    <w:p w14:paraId="22AAF64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highlight w:val="none"/>
        </w:rPr>
      </w:pPr>
      <w:r>
        <w:rPr>
          <w:rFonts w:hint="eastAsia" w:ascii="楷体" w:hAnsi="楷体" w:eastAsia="楷体" w:cs="楷体"/>
          <w:b/>
          <w:bCs/>
          <w:color w:val="auto"/>
          <w:kern w:val="0"/>
          <w:sz w:val="32"/>
          <w:szCs w:val="32"/>
          <w:highlight w:val="none"/>
        </w:rPr>
        <w:t>（三）国有资本经营预算情况</w:t>
      </w:r>
    </w:p>
    <w:p w14:paraId="34FC087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napToGrid w:val="0"/>
          <w:color w:val="auto"/>
          <w:kern w:val="0"/>
          <w:sz w:val="32"/>
          <w:szCs w:val="32"/>
          <w:highlight w:val="none"/>
          <w:lang w:eastAsia="zh-CN"/>
        </w:rPr>
        <w:t>202</w:t>
      </w:r>
      <w:r>
        <w:rPr>
          <w:rFonts w:hint="eastAsia" w:ascii="仿宋_GB2312" w:hAnsi="仿宋_GB2312" w:eastAsia="仿宋_GB2312" w:cs="仿宋_GB2312"/>
          <w:snapToGrid w:val="0"/>
          <w:color w:val="auto"/>
          <w:kern w:val="0"/>
          <w:sz w:val="32"/>
          <w:szCs w:val="32"/>
          <w:highlight w:val="none"/>
          <w:lang w:val="en-US" w:eastAsia="zh-CN"/>
        </w:rPr>
        <w:t>5</w:t>
      </w:r>
      <w:r>
        <w:rPr>
          <w:rFonts w:hint="eastAsia" w:ascii="仿宋_GB2312" w:hAnsi="仿宋_GB2312" w:eastAsia="仿宋_GB2312" w:cs="仿宋_GB2312"/>
          <w:snapToGrid w:val="0"/>
          <w:color w:val="auto"/>
          <w:kern w:val="0"/>
          <w:sz w:val="32"/>
          <w:szCs w:val="32"/>
          <w:highlight w:val="none"/>
          <w:lang w:eastAsia="zh-CN"/>
        </w:rPr>
        <w:t>年</w:t>
      </w:r>
      <w:r>
        <w:rPr>
          <w:rFonts w:hint="eastAsia" w:ascii="仿宋_GB2312" w:hAnsi="仿宋_GB2312" w:eastAsia="仿宋_GB2312" w:cs="仿宋_GB2312"/>
          <w:snapToGrid w:val="0"/>
          <w:color w:val="auto"/>
          <w:kern w:val="0"/>
          <w:sz w:val="32"/>
          <w:szCs w:val="32"/>
          <w:highlight w:val="none"/>
        </w:rPr>
        <w:t>国有资本经营</w:t>
      </w:r>
      <w:r>
        <w:rPr>
          <w:rFonts w:hint="eastAsia" w:ascii="仿宋_GB2312" w:hAnsi="仿宋_GB2312" w:eastAsia="仿宋_GB2312" w:cs="仿宋_GB2312"/>
          <w:snapToGrid w:val="0"/>
          <w:color w:val="auto"/>
          <w:kern w:val="0"/>
          <w:sz w:val="32"/>
          <w:szCs w:val="32"/>
          <w:highlight w:val="none"/>
          <w:lang w:val="en-US" w:eastAsia="zh-CN"/>
        </w:rPr>
        <w:t>预算</w:t>
      </w:r>
      <w:r>
        <w:rPr>
          <w:rFonts w:hint="eastAsia" w:ascii="仿宋_GB2312" w:hAnsi="仿宋_GB2312" w:eastAsia="仿宋_GB2312" w:cs="仿宋_GB2312"/>
          <w:snapToGrid w:val="0"/>
          <w:color w:val="auto"/>
          <w:kern w:val="0"/>
          <w:sz w:val="32"/>
          <w:szCs w:val="32"/>
          <w:highlight w:val="none"/>
        </w:rPr>
        <w:t>收入</w:t>
      </w:r>
      <w:r>
        <w:rPr>
          <w:rFonts w:hint="eastAsia" w:ascii="仿宋_GB2312" w:hAnsi="仿宋_GB2312" w:eastAsia="仿宋_GB2312" w:cs="仿宋_GB2312"/>
          <w:snapToGrid w:val="0"/>
          <w:color w:val="auto"/>
          <w:kern w:val="0"/>
          <w:sz w:val="32"/>
          <w:szCs w:val="32"/>
          <w:highlight w:val="none"/>
          <w:lang w:val="en-US" w:eastAsia="zh-CN"/>
        </w:rPr>
        <w:t>18151</w:t>
      </w:r>
      <w:r>
        <w:rPr>
          <w:rFonts w:hint="eastAsia" w:ascii="仿宋_GB2312" w:hAnsi="仿宋_GB2312" w:eastAsia="仿宋_GB2312" w:cs="仿宋_GB2312"/>
          <w:snapToGrid w:val="0"/>
          <w:color w:val="auto"/>
          <w:kern w:val="0"/>
          <w:sz w:val="32"/>
          <w:szCs w:val="32"/>
          <w:highlight w:val="none"/>
        </w:rPr>
        <w:t>万元，其中</w:t>
      </w:r>
      <w:r>
        <w:rPr>
          <w:rFonts w:hint="eastAsia" w:ascii="仿宋_GB2312" w:hAnsi="仿宋_GB2312" w:eastAsia="仿宋_GB2312" w:cs="仿宋_GB2312"/>
          <w:snapToGrid w:val="0"/>
          <w:color w:val="auto"/>
          <w:kern w:val="0"/>
          <w:sz w:val="32"/>
          <w:szCs w:val="32"/>
          <w:highlight w:val="none"/>
          <w:lang w:eastAsia="zh-CN"/>
        </w:rPr>
        <w:t>：</w:t>
      </w:r>
      <w:r>
        <w:rPr>
          <w:rFonts w:hint="eastAsia" w:ascii="仿宋_GB2312" w:hAnsi="仿宋_GB2312" w:eastAsia="仿宋_GB2312" w:cs="仿宋_GB2312"/>
          <w:snapToGrid w:val="0"/>
          <w:color w:val="auto"/>
          <w:kern w:val="0"/>
          <w:sz w:val="32"/>
          <w:szCs w:val="32"/>
          <w:highlight w:val="none"/>
          <w:lang w:val="en-US" w:eastAsia="zh-CN"/>
        </w:rPr>
        <w:t>产权转让收入17400万元，</w:t>
      </w:r>
      <w:r>
        <w:rPr>
          <w:rFonts w:hint="eastAsia" w:ascii="仿宋_GB2312" w:hAnsi="仿宋_GB2312" w:eastAsia="仿宋_GB2312" w:cs="仿宋_GB2312"/>
          <w:snapToGrid w:val="0"/>
          <w:color w:val="auto"/>
          <w:kern w:val="0"/>
          <w:sz w:val="32"/>
          <w:szCs w:val="32"/>
          <w:highlight w:val="none"/>
        </w:rPr>
        <w:t>其他国有资本经营预算收入</w:t>
      </w:r>
      <w:r>
        <w:rPr>
          <w:rFonts w:hint="eastAsia" w:ascii="仿宋_GB2312" w:hAnsi="仿宋_GB2312" w:eastAsia="仿宋_GB2312" w:cs="仿宋_GB2312"/>
          <w:snapToGrid w:val="0"/>
          <w:color w:val="auto"/>
          <w:kern w:val="0"/>
          <w:sz w:val="32"/>
          <w:szCs w:val="32"/>
          <w:highlight w:val="none"/>
          <w:lang w:val="en-US" w:eastAsia="zh-CN"/>
        </w:rPr>
        <w:t>700</w:t>
      </w:r>
      <w:r>
        <w:rPr>
          <w:rFonts w:hint="eastAsia" w:ascii="仿宋_GB2312" w:hAnsi="仿宋_GB2312" w:eastAsia="仿宋_GB2312" w:cs="仿宋_GB2312"/>
          <w:snapToGrid w:val="0"/>
          <w:color w:val="auto"/>
          <w:kern w:val="0"/>
          <w:sz w:val="32"/>
          <w:szCs w:val="32"/>
          <w:highlight w:val="none"/>
        </w:rPr>
        <w:t>万元</w:t>
      </w:r>
      <w:r>
        <w:rPr>
          <w:rFonts w:hint="eastAsia" w:ascii="仿宋_GB2312" w:hAnsi="仿宋_GB2312" w:eastAsia="仿宋_GB2312" w:cs="仿宋_GB2312"/>
          <w:snapToGrid w:val="0"/>
          <w:color w:val="auto"/>
          <w:kern w:val="0"/>
          <w:sz w:val="32"/>
          <w:szCs w:val="32"/>
          <w:highlight w:val="none"/>
          <w:lang w:eastAsia="zh-CN"/>
        </w:rPr>
        <w:t>（</w:t>
      </w:r>
      <w:r>
        <w:rPr>
          <w:rFonts w:hint="eastAsia" w:ascii="楷体" w:hAnsi="楷体" w:eastAsia="楷体" w:cs="楷体"/>
          <w:snapToGrid w:val="0"/>
          <w:color w:val="auto"/>
          <w:kern w:val="0"/>
          <w:sz w:val="30"/>
          <w:szCs w:val="30"/>
          <w:highlight w:val="none"/>
        </w:rPr>
        <w:t>主要是经营性房租收入</w:t>
      </w:r>
      <w:r>
        <w:rPr>
          <w:rFonts w:hint="eastAsia" w:ascii="楷体" w:hAnsi="楷体" w:eastAsia="楷体" w:cs="楷体"/>
          <w:snapToGrid w:val="0"/>
          <w:color w:val="auto"/>
          <w:kern w:val="0"/>
          <w:sz w:val="30"/>
          <w:szCs w:val="30"/>
          <w:highlight w:val="none"/>
          <w:lang w:eastAsia="zh-CN"/>
        </w:rPr>
        <w:t>）</w:t>
      </w:r>
      <w:r>
        <w:rPr>
          <w:rFonts w:hint="eastAsia" w:ascii="仿宋_GB2312" w:hAnsi="仿宋_GB2312" w:eastAsia="仿宋_GB2312" w:cs="仿宋_GB2312"/>
          <w:snapToGrid w:val="0"/>
          <w:color w:val="auto"/>
          <w:kern w:val="0"/>
          <w:sz w:val="32"/>
          <w:szCs w:val="32"/>
          <w:highlight w:val="none"/>
        </w:rPr>
        <w:t>；国有资本经营预算转移支付收入</w:t>
      </w:r>
      <w:r>
        <w:rPr>
          <w:rFonts w:hint="eastAsia" w:ascii="仿宋_GB2312" w:hAnsi="仿宋_GB2312" w:eastAsia="仿宋_GB2312" w:cs="仿宋_GB2312"/>
          <w:snapToGrid w:val="0"/>
          <w:color w:val="auto"/>
          <w:kern w:val="0"/>
          <w:sz w:val="32"/>
          <w:szCs w:val="32"/>
          <w:highlight w:val="none"/>
          <w:lang w:val="en-US" w:eastAsia="zh-CN"/>
        </w:rPr>
        <w:t>51</w:t>
      </w:r>
      <w:r>
        <w:rPr>
          <w:rFonts w:hint="eastAsia" w:ascii="仿宋_GB2312" w:hAnsi="仿宋_GB2312" w:eastAsia="仿宋_GB2312" w:cs="仿宋_GB2312"/>
          <w:snapToGrid w:val="0"/>
          <w:color w:val="auto"/>
          <w:kern w:val="0"/>
          <w:sz w:val="32"/>
          <w:szCs w:val="32"/>
          <w:highlight w:val="none"/>
        </w:rPr>
        <w:t>万元。</w:t>
      </w:r>
    </w:p>
    <w:p w14:paraId="030D913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napToGrid w:val="0"/>
          <w:color w:val="auto"/>
          <w:kern w:val="0"/>
          <w:sz w:val="32"/>
          <w:szCs w:val="32"/>
          <w:highlight w:val="none"/>
          <w:lang w:eastAsia="zh-CN"/>
        </w:rPr>
        <w:t>202</w:t>
      </w:r>
      <w:r>
        <w:rPr>
          <w:rFonts w:hint="eastAsia" w:ascii="仿宋_GB2312" w:hAnsi="仿宋_GB2312" w:eastAsia="仿宋_GB2312" w:cs="仿宋_GB2312"/>
          <w:snapToGrid w:val="0"/>
          <w:color w:val="auto"/>
          <w:kern w:val="0"/>
          <w:sz w:val="32"/>
          <w:szCs w:val="32"/>
          <w:highlight w:val="none"/>
          <w:lang w:val="en-US" w:eastAsia="zh-CN"/>
        </w:rPr>
        <w:t>5</w:t>
      </w:r>
      <w:r>
        <w:rPr>
          <w:rFonts w:hint="eastAsia" w:ascii="仿宋_GB2312" w:hAnsi="仿宋_GB2312" w:eastAsia="仿宋_GB2312" w:cs="仿宋_GB2312"/>
          <w:snapToGrid w:val="0"/>
          <w:color w:val="auto"/>
          <w:kern w:val="0"/>
          <w:sz w:val="32"/>
          <w:szCs w:val="32"/>
          <w:highlight w:val="none"/>
          <w:lang w:eastAsia="zh-CN"/>
        </w:rPr>
        <w:t>年</w:t>
      </w:r>
      <w:r>
        <w:rPr>
          <w:rFonts w:hint="eastAsia" w:ascii="仿宋_GB2312" w:hAnsi="仿宋_GB2312" w:eastAsia="仿宋_GB2312" w:cs="仿宋_GB2312"/>
          <w:snapToGrid w:val="0"/>
          <w:color w:val="auto"/>
          <w:kern w:val="0"/>
          <w:sz w:val="32"/>
          <w:szCs w:val="32"/>
          <w:highlight w:val="none"/>
        </w:rPr>
        <w:t>国有资本经营</w:t>
      </w:r>
      <w:r>
        <w:rPr>
          <w:rFonts w:hint="eastAsia" w:ascii="仿宋_GB2312" w:hAnsi="仿宋_GB2312" w:eastAsia="仿宋_GB2312" w:cs="仿宋_GB2312"/>
          <w:snapToGrid w:val="0"/>
          <w:color w:val="auto"/>
          <w:kern w:val="0"/>
          <w:sz w:val="32"/>
          <w:szCs w:val="32"/>
          <w:highlight w:val="none"/>
          <w:lang w:val="en-US" w:eastAsia="zh-CN"/>
        </w:rPr>
        <w:t>预算</w:t>
      </w:r>
      <w:r>
        <w:rPr>
          <w:rFonts w:hint="eastAsia" w:ascii="仿宋_GB2312" w:hAnsi="仿宋_GB2312" w:eastAsia="仿宋_GB2312" w:cs="仿宋_GB2312"/>
          <w:snapToGrid w:val="0"/>
          <w:color w:val="auto"/>
          <w:kern w:val="0"/>
          <w:sz w:val="32"/>
          <w:szCs w:val="32"/>
          <w:highlight w:val="none"/>
        </w:rPr>
        <w:t>支出</w:t>
      </w:r>
      <w:r>
        <w:rPr>
          <w:rFonts w:hint="eastAsia" w:ascii="仿宋_GB2312" w:hAnsi="仿宋_GB2312" w:eastAsia="仿宋_GB2312" w:cs="仿宋_GB2312"/>
          <w:snapToGrid w:val="0"/>
          <w:color w:val="auto"/>
          <w:kern w:val="0"/>
          <w:sz w:val="32"/>
          <w:szCs w:val="32"/>
          <w:highlight w:val="none"/>
          <w:lang w:val="en-US" w:eastAsia="zh-CN"/>
        </w:rPr>
        <w:t>18151</w:t>
      </w:r>
      <w:r>
        <w:rPr>
          <w:rFonts w:hint="eastAsia" w:ascii="仿宋_GB2312" w:hAnsi="仿宋_GB2312" w:eastAsia="仿宋_GB2312" w:cs="仿宋_GB2312"/>
          <w:snapToGrid w:val="0"/>
          <w:color w:val="auto"/>
          <w:kern w:val="0"/>
          <w:sz w:val="32"/>
          <w:szCs w:val="32"/>
          <w:highlight w:val="none"/>
        </w:rPr>
        <w:t>万元，其中</w:t>
      </w:r>
      <w:r>
        <w:rPr>
          <w:rFonts w:hint="eastAsia" w:ascii="仿宋_GB2312" w:hAnsi="仿宋_GB2312" w:eastAsia="仿宋_GB2312" w:cs="仿宋_GB2312"/>
          <w:snapToGrid w:val="0"/>
          <w:color w:val="auto"/>
          <w:kern w:val="0"/>
          <w:sz w:val="32"/>
          <w:szCs w:val="32"/>
          <w:highlight w:val="none"/>
          <w:lang w:eastAsia="zh-CN"/>
        </w:rPr>
        <w:t>：</w:t>
      </w:r>
      <w:r>
        <w:rPr>
          <w:rFonts w:hint="eastAsia" w:ascii="仿宋_GB2312" w:hAnsi="仿宋_GB2312" w:eastAsia="仿宋_GB2312" w:cs="仿宋_GB2312"/>
          <w:snapToGrid w:val="0"/>
          <w:color w:val="auto"/>
          <w:kern w:val="0"/>
          <w:sz w:val="32"/>
          <w:szCs w:val="32"/>
          <w:highlight w:val="none"/>
        </w:rPr>
        <w:t>解决历史遗留问题及改革成本支出</w:t>
      </w:r>
      <w:r>
        <w:rPr>
          <w:rFonts w:hint="eastAsia" w:ascii="仿宋_GB2312" w:hAnsi="仿宋_GB2312" w:eastAsia="仿宋_GB2312" w:cs="仿宋_GB2312"/>
          <w:snapToGrid w:val="0"/>
          <w:color w:val="auto"/>
          <w:kern w:val="0"/>
          <w:sz w:val="32"/>
          <w:szCs w:val="32"/>
          <w:highlight w:val="none"/>
          <w:lang w:val="en-US" w:eastAsia="zh-CN"/>
        </w:rPr>
        <w:t>51</w:t>
      </w:r>
      <w:r>
        <w:rPr>
          <w:rFonts w:hint="eastAsia" w:ascii="仿宋_GB2312" w:hAnsi="仿宋_GB2312" w:eastAsia="仿宋_GB2312" w:cs="仿宋_GB2312"/>
          <w:snapToGrid w:val="0"/>
          <w:color w:val="auto"/>
          <w:kern w:val="0"/>
          <w:sz w:val="32"/>
          <w:szCs w:val="32"/>
          <w:highlight w:val="none"/>
        </w:rPr>
        <w:t>万元；调入一般公共预算</w:t>
      </w:r>
      <w:r>
        <w:rPr>
          <w:rFonts w:hint="eastAsia" w:ascii="仿宋_GB2312" w:hAnsi="仿宋_GB2312" w:eastAsia="仿宋_GB2312" w:cs="仿宋_GB2312"/>
          <w:snapToGrid w:val="0"/>
          <w:color w:val="auto"/>
          <w:kern w:val="0"/>
          <w:sz w:val="32"/>
          <w:szCs w:val="32"/>
          <w:highlight w:val="none"/>
          <w:lang w:val="en-US" w:eastAsia="zh-CN"/>
        </w:rPr>
        <w:t>18100</w:t>
      </w:r>
      <w:r>
        <w:rPr>
          <w:rFonts w:hint="eastAsia" w:ascii="仿宋_GB2312" w:hAnsi="仿宋_GB2312" w:eastAsia="仿宋_GB2312" w:cs="仿宋_GB2312"/>
          <w:snapToGrid w:val="0"/>
          <w:color w:val="auto"/>
          <w:kern w:val="0"/>
          <w:sz w:val="32"/>
          <w:szCs w:val="32"/>
          <w:highlight w:val="none"/>
        </w:rPr>
        <w:t>万元。</w:t>
      </w:r>
    </w:p>
    <w:p w14:paraId="167D7AE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napToGrid w:val="0"/>
          <w:color w:val="auto"/>
          <w:kern w:val="0"/>
          <w:sz w:val="32"/>
          <w:szCs w:val="32"/>
          <w:highlight w:val="yellow"/>
        </w:rPr>
      </w:pPr>
      <w:r>
        <w:rPr>
          <w:rFonts w:hint="eastAsia" w:ascii="仿宋_GB2312" w:hAnsi="仿宋_GB2312" w:eastAsia="仿宋_GB2312" w:cs="仿宋_GB2312"/>
          <w:snapToGrid w:val="0"/>
          <w:color w:val="auto"/>
          <w:kern w:val="0"/>
          <w:sz w:val="32"/>
          <w:szCs w:val="32"/>
          <w:highlight w:val="none"/>
          <w:lang w:eastAsia="zh-CN"/>
        </w:rPr>
        <w:t>202</w:t>
      </w:r>
      <w:r>
        <w:rPr>
          <w:rFonts w:hint="eastAsia" w:ascii="仿宋_GB2312" w:hAnsi="仿宋_GB2312" w:eastAsia="仿宋_GB2312" w:cs="仿宋_GB2312"/>
          <w:snapToGrid w:val="0"/>
          <w:color w:val="auto"/>
          <w:kern w:val="0"/>
          <w:sz w:val="32"/>
          <w:szCs w:val="32"/>
          <w:highlight w:val="none"/>
          <w:lang w:val="en-US" w:eastAsia="zh-CN"/>
        </w:rPr>
        <w:t>5</w:t>
      </w:r>
      <w:r>
        <w:rPr>
          <w:rFonts w:hint="eastAsia" w:ascii="仿宋_GB2312" w:hAnsi="仿宋_GB2312" w:eastAsia="仿宋_GB2312" w:cs="仿宋_GB2312"/>
          <w:snapToGrid w:val="0"/>
          <w:color w:val="auto"/>
          <w:kern w:val="0"/>
          <w:sz w:val="32"/>
          <w:szCs w:val="32"/>
          <w:highlight w:val="none"/>
          <w:lang w:eastAsia="zh-CN"/>
        </w:rPr>
        <w:t>年</w:t>
      </w:r>
      <w:r>
        <w:rPr>
          <w:rFonts w:hint="eastAsia" w:ascii="仿宋_GB2312" w:hAnsi="仿宋_GB2312" w:eastAsia="仿宋_GB2312" w:cs="仿宋_GB2312"/>
          <w:snapToGrid w:val="0"/>
          <w:color w:val="auto"/>
          <w:kern w:val="0"/>
          <w:sz w:val="32"/>
          <w:szCs w:val="32"/>
          <w:highlight w:val="none"/>
        </w:rPr>
        <w:t>国有资本经营预算收支平衡。</w:t>
      </w:r>
    </w:p>
    <w:p w14:paraId="3E9877C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hint="eastAsia" w:ascii="楷体" w:hAnsi="楷体" w:eastAsia="楷体" w:cs="楷体"/>
          <w:b/>
          <w:bCs/>
          <w:color w:val="auto"/>
          <w:kern w:val="0"/>
          <w:sz w:val="32"/>
          <w:szCs w:val="32"/>
          <w:highlight w:val="none"/>
        </w:rPr>
      </w:pPr>
      <w:r>
        <w:rPr>
          <w:rFonts w:hint="eastAsia" w:ascii="楷体" w:hAnsi="楷体" w:eastAsia="楷体" w:cs="楷体"/>
          <w:b/>
          <w:bCs/>
          <w:color w:val="auto"/>
          <w:kern w:val="0"/>
          <w:sz w:val="32"/>
          <w:szCs w:val="32"/>
          <w:highlight w:val="none"/>
        </w:rPr>
        <w:t>（四）社会保障基金预算情况</w:t>
      </w:r>
    </w:p>
    <w:p w14:paraId="43873455">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rPr>
        <w:t>，社会保险基金总收入预算</w:t>
      </w:r>
      <w:r>
        <w:rPr>
          <w:rFonts w:hint="eastAsia" w:ascii="仿宋_GB2312" w:hAnsi="仿宋_GB2312" w:eastAsia="仿宋_GB2312" w:cs="仿宋_GB2312"/>
          <w:color w:val="auto"/>
          <w:sz w:val="32"/>
          <w:szCs w:val="32"/>
          <w:highlight w:val="none"/>
          <w:lang w:val="en-US" w:eastAsia="zh-CN"/>
        </w:rPr>
        <w:t>80162</w:t>
      </w:r>
      <w:r>
        <w:rPr>
          <w:rFonts w:hint="eastAsia" w:ascii="仿宋_GB2312" w:hAnsi="仿宋_GB2312" w:eastAsia="仿宋_GB2312" w:cs="仿宋_GB2312"/>
          <w:color w:val="auto"/>
          <w:sz w:val="32"/>
          <w:szCs w:val="32"/>
          <w:highlight w:val="none"/>
        </w:rPr>
        <w:t>万元，比上年执行数</w:t>
      </w:r>
      <w:r>
        <w:rPr>
          <w:rFonts w:hint="eastAsia" w:ascii="仿宋_GB2312" w:hAnsi="仿宋_GB2312" w:eastAsia="仿宋_GB2312" w:cs="仿宋_GB2312"/>
          <w:color w:val="auto"/>
          <w:sz w:val="32"/>
          <w:szCs w:val="32"/>
          <w:highlight w:val="none"/>
          <w:lang w:val="en-US" w:eastAsia="zh-CN"/>
        </w:rPr>
        <w:t>增加3496</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增长4.6</w:t>
      </w:r>
      <w:r>
        <w:rPr>
          <w:rFonts w:hint="eastAsia" w:ascii="仿宋_GB2312" w:hAnsi="仿宋_GB2312" w:eastAsia="仿宋_GB2312" w:cs="仿宋_GB2312"/>
          <w:color w:val="auto"/>
          <w:sz w:val="32"/>
          <w:szCs w:val="32"/>
          <w:highlight w:val="none"/>
        </w:rPr>
        <w:t>%，其中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机关事业单位基本养老保险基金收入</w:t>
      </w:r>
      <w:r>
        <w:rPr>
          <w:rFonts w:hint="eastAsia" w:ascii="仿宋_GB2312" w:hAnsi="仿宋_GB2312" w:eastAsia="仿宋_GB2312" w:cs="仿宋_GB2312"/>
          <w:color w:val="auto"/>
          <w:sz w:val="32"/>
          <w:szCs w:val="32"/>
          <w:highlight w:val="none"/>
          <w:lang w:val="en-US" w:eastAsia="zh-CN"/>
        </w:rPr>
        <w:t>37883</w:t>
      </w:r>
      <w:r>
        <w:rPr>
          <w:rFonts w:hint="eastAsia" w:ascii="仿宋_GB2312" w:hAnsi="仿宋_GB2312" w:eastAsia="仿宋_GB2312" w:cs="仿宋_GB2312"/>
          <w:color w:val="auto"/>
          <w:sz w:val="32"/>
          <w:szCs w:val="32"/>
          <w:highlight w:val="none"/>
        </w:rPr>
        <w:t>万元，城乡居民基本养老保险基金收入</w:t>
      </w:r>
      <w:r>
        <w:rPr>
          <w:rFonts w:hint="eastAsia" w:ascii="仿宋_GB2312" w:hAnsi="仿宋_GB2312" w:eastAsia="仿宋_GB2312" w:cs="仿宋_GB2312"/>
          <w:color w:val="auto"/>
          <w:sz w:val="32"/>
          <w:szCs w:val="32"/>
          <w:highlight w:val="none"/>
          <w:lang w:val="en-US" w:eastAsia="zh-CN"/>
        </w:rPr>
        <w:t>42279</w:t>
      </w:r>
      <w:r>
        <w:rPr>
          <w:rFonts w:hint="eastAsia" w:ascii="仿宋_GB2312" w:hAnsi="仿宋_GB2312" w:eastAsia="仿宋_GB2312" w:cs="仿宋_GB2312"/>
          <w:color w:val="auto"/>
          <w:sz w:val="32"/>
          <w:szCs w:val="32"/>
          <w:highlight w:val="none"/>
        </w:rPr>
        <w:t>万元。</w:t>
      </w:r>
    </w:p>
    <w:p w14:paraId="1B4FA6D6">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rPr>
        <w:t>，社会保险基金总支出预算</w:t>
      </w:r>
      <w:r>
        <w:rPr>
          <w:rFonts w:hint="eastAsia" w:ascii="仿宋_GB2312" w:hAnsi="仿宋_GB2312" w:eastAsia="仿宋_GB2312" w:cs="仿宋_GB2312"/>
          <w:color w:val="auto"/>
          <w:sz w:val="32"/>
          <w:szCs w:val="32"/>
          <w:highlight w:val="none"/>
          <w:lang w:val="en-US" w:eastAsia="zh-CN"/>
        </w:rPr>
        <w:t>69559</w:t>
      </w:r>
      <w:r>
        <w:rPr>
          <w:rFonts w:hint="eastAsia" w:ascii="仿宋_GB2312" w:hAnsi="仿宋_GB2312" w:eastAsia="仿宋_GB2312" w:cs="仿宋_GB2312"/>
          <w:color w:val="auto"/>
          <w:sz w:val="32"/>
          <w:szCs w:val="32"/>
          <w:highlight w:val="none"/>
        </w:rPr>
        <w:t>万元，比上年执行数增加</w:t>
      </w:r>
      <w:r>
        <w:rPr>
          <w:rFonts w:hint="eastAsia" w:ascii="仿宋_GB2312" w:hAnsi="仿宋_GB2312" w:eastAsia="仿宋_GB2312" w:cs="仿宋_GB2312"/>
          <w:color w:val="auto"/>
          <w:sz w:val="32"/>
          <w:szCs w:val="32"/>
          <w:highlight w:val="none"/>
          <w:lang w:val="en-US" w:eastAsia="zh-CN"/>
        </w:rPr>
        <w:t>5956</w:t>
      </w:r>
      <w:r>
        <w:rPr>
          <w:rFonts w:hint="eastAsia" w:ascii="仿宋_GB2312" w:hAnsi="仿宋_GB2312" w:eastAsia="仿宋_GB2312" w:cs="仿宋_GB2312"/>
          <w:color w:val="auto"/>
          <w:sz w:val="32"/>
          <w:szCs w:val="32"/>
          <w:highlight w:val="none"/>
        </w:rPr>
        <w:t>万元，增长</w:t>
      </w:r>
      <w:r>
        <w:rPr>
          <w:rFonts w:hint="eastAsia" w:ascii="仿宋_GB2312" w:hAnsi="仿宋_GB2312" w:eastAsia="仿宋_GB2312" w:cs="仿宋_GB2312"/>
          <w:color w:val="auto"/>
          <w:sz w:val="32"/>
          <w:szCs w:val="32"/>
          <w:highlight w:val="none"/>
          <w:lang w:val="en-US" w:eastAsia="zh-CN"/>
        </w:rPr>
        <w:t>9.4</w:t>
      </w:r>
      <w:r>
        <w:rPr>
          <w:rFonts w:hint="eastAsia" w:ascii="仿宋_GB2312" w:hAnsi="仿宋_GB2312" w:eastAsia="仿宋_GB2312" w:cs="仿宋_GB2312"/>
          <w:color w:val="auto"/>
          <w:sz w:val="32"/>
          <w:szCs w:val="32"/>
          <w:highlight w:val="none"/>
        </w:rPr>
        <w:t>%，其中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机关事业单位基本养老保险基金支出</w:t>
      </w:r>
      <w:r>
        <w:rPr>
          <w:rFonts w:hint="eastAsia" w:ascii="仿宋_GB2312" w:hAnsi="仿宋_GB2312" w:eastAsia="仿宋_GB2312" w:cs="仿宋_GB2312"/>
          <w:color w:val="auto"/>
          <w:sz w:val="32"/>
          <w:szCs w:val="32"/>
          <w:highlight w:val="none"/>
          <w:lang w:val="en-US" w:eastAsia="zh-CN"/>
        </w:rPr>
        <w:t>37511</w:t>
      </w:r>
      <w:r>
        <w:rPr>
          <w:rFonts w:hint="eastAsia" w:ascii="仿宋_GB2312" w:hAnsi="仿宋_GB2312" w:eastAsia="仿宋_GB2312" w:cs="仿宋_GB2312"/>
          <w:color w:val="auto"/>
          <w:sz w:val="32"/>
          <w:szCs w:val="32"/>
          <w:highlight w:val="none"/>
        </w:rPr>
        <w:t>万元，城乡居民基本养老保险基金支出</w:t>
      </w:r>
      <w:r>
        <w:rPr>
          <w:rFonts w:hint="eastAsia" w:ascii="仿宋_GB2312" w:hAnsi="仿宋_GB2312" w:eastAsia="仿宋_GB2312" w:cs="仿宋_GB2312"/>
          <w:color w:val="auto"/>
          <w:sz w:val="32"/>
          <w:szCs w:val="32"/>
          <w:highlight w:val="none"/>
          <w:lang w:val="en-US" w:eastAsia="zh-CN"/>
        </w:rPr>
        <w:t>32048</w:t>
      </w:r>
      <w:r>
        <w:rPr>
          <w:rFonts w:hint="eastAsia" w:ascii="仿宋_GB2312" w:hAnsi="仿宋_GB2312" w:eastAsia="仿宋_GB2312" w:cs="仿宋_GB2312"/>
          <w:color w:val="auto"/>
          <w:sz w:val="32"/>
          <w:szCs w:val="32"/>
          <w:highlight w:val="none"/>
        </w:rPr>
        <w:t>万元。</w:t>
      </w:r>
    </w:p>
    <w:p w14:paraId="4BD8C178">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rPr>
        <w:t>，社会保险基金本年收支结余</w:t>
      </w:r>
      <w:r>
        <w:rPr>
          <w:rFonts w:hint="eastAsia" w:ascii="仿宋_GB2312" w:hAnsi="仿宋_GB2312" w:eastAsia="仿宋_GB2312" w:cs="仿宋_GB2312"/>
          <w:color w:val="auto"/>
          <w:sz w:val="32"/>
          <w:szCs w:val="32"/>
          <w:highlight w:val="none"/>
          <w:lang w:val="en-US" w:eastAsia="zh-CN"/>
        </w:rPr>
        <w:t>10603</w:t>
      </w:r>
      <w:r>
        <w:rPr>
          <w:rFonts w:hint="eastAsia" w:ascii="仿宋_GB2312" w:hAnsi="仿宋_GB2312" w:eastAsia="仿宋_GB2312" w:cs="仿宋_GB2312"/>
          <w:color w:val="auto"/>
          <w:sz w:val="32"/>
          <w:szCs w:val="32"/>
          <w:highlight w:val="none"/>
        </w:rPr>
        <w:t>万元，年末滚存结余</w:t>
      </w:r>
      <w:r>
        <w:rPr>
          <w:rFonts w:hint="eastAsia" w:ascii="仿宋_GB2312" w:hAnsi="仿宋_GB2312" w:eastAsia="仿宋_GB2312" w:cs="仿宋_GB2312"/>
          <w:color w:val="auto"/>
          <w:sz w:val="32"/>
          <w:szCs w:val="32"/>
          <w:highlight w:val="none"/>
          <w:lang w:val="en-US" w:eastAsia="zh-CN"/>
        </w:rPr>
        <w:t>97219</w:t>
      </w:r>
      <w:r>
        <w:rPr>
          <w:rFonts w:hint="eastAsia" w:ascii="仿宋_GB2312" w:hAnsi="仿宋_GB2312" w:eastAsia="仿宋_GB2312" w:cs="仿宋_GB2312"/>
          <w:color w:val="auto"/>
          <w:sz w:val="32"/>
          <w:szCs w:val="32"/>
          <w:highlight w:val="none"/>
        </w:rPr>
        <w:t>万元。</w:t>
      </w:r>
    </w:p>
    <w:p w14:paraId="309A8EC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rPr>
          <w:rFonts w:ascii="楷体" w:hAnsi="楷体" w:eastAsia="楷体" w:cs="楷体"/>
          <w:b/>
          <w:bCs/>
          <w:color w:val="auto"/>
          <w:kern w:val="0"/>
          <w:sz w:val="32"/>
          <w:szCs w:val="32"/>
        </w:rPr>
      </w:pPr>
      <w:r>
        <w:rPr>
          <w:rFonts w:hint="eastAsia" w:ascii="楷体" w:hAnsi="楷体" w:eastAsia="楷体" w:cs="楷体"/>
          <w:b/>
          <w:bCs/>
          <w:color w:val="auto"/>
          <w:kern w:val="0"/>
          <w:sz w:val="32"/>
          <w:szCs w:val="32"/>
        </w:rPr>
        <w:t>（五）</w:t>
      </w:r>
      <w:r>
        <w:rPr>
          <w:rFonts w:hint="eastAsia" w:ascii="楷体" w:hAnsi="楷体" w:eastAsia="楷体" w:cs="楷体"/>
          <w:b/>
          <w:bCs/>
          <w:color w:val="auto"/>
          <w:kern w:val="0"/>
          <w:sz w:val="32"/>
          <w:szCs w:val="32"/>
          <w:lang w:eastAsia="zh-CN"/>
        </w:rPr>
        <w:t>202</w:t>
      </w:r>
      <w:r>
        <w:rPr>
          <w:rFonts w:hint="eastAsia" w:ascii="楷体" w:hAnsi="楷体" w:eastAsia="楷体" w:cs="楷体"/>
          <w:b/>
          <w:bCs/>
          <w:color w:val="auto"/>
          <w:kern w:val="0"/>
          <w:sz w:val="32"/>
          <w:szCs w:val="32"/>
          <w:lang w:val="en-US" w:eastAsia="zh-CN"/>
        </w:rPr>
        <w:t>5</w:t>
      </w:r>
      <w:r>
        <w:rPr>
          <w:rFonts w:hint="eastAsia" w:ascii="楷体" w:hAnsi="楷体" w:eastAsia="楷体" w:cs="楷体"/>
          <w:b/>
          <w:bCs/>
          <w:color w:val="auto"/>
          <w:kern w:val="0"/>
          <w:sz w:val="32"/>
          <w:szCs w:val="32"/>
          <w:lang w:eastAsia="zh-CN"/>
        </w:rPr>
        <w:t>年</w:t>
      </w:r>
      <w:r>
        <w:rPr>
          <w:rFonts w:hint="eastAsia" w:ascii="楷体" w:hAnsi="楷体" w:eastAsia="楷体" w:cs="楷体"/>
          <w:b/>
          <w:bCs/>
          <w:color w:val="auto"/>
          <w:kern w:val="0"/>
          <w:sz w:val="32"/>
          <w:szCs w:val="32"/>
          <w:lang w:val="en-US" w:eastAsia="zh-CN"/>
        </w:rPr>
        <w:t>科技和工业信息化部门预算、</w:t>
      </w:r>
      <w:r>
        <w:rPr>
          <w:rFonts w:hint="eastAsia" w:ascii="楷体" w:hAnsi="楷体" w:eastAsia="楷体" w:cs="楷体"/>
          <w:b/>
          <w:bCs/>
          <w:color w:val="auto"/>
          <w:kern w:val="0"/>
          <w:sz w:val="32"/>
          <w:szCs w:val="32"/>
        </w:rPr>
        <w:t>县</w:t>
      </w:r>
      <w:r>
        <w:rPr>
          <w:rFonts w:ascii="楷体" w:hAnsi="楷体" w:eastAsia="楷体" w:cs="楷体"/>
          <w:b/>
          <w:bCs/>
          <w:color w:val="auto"/>
          <w:kern w:val="0"/>
          <w:sz w:val="32"/>
          <w:szCs w:val="32"/>
        </w:rPr>
        <w:t>级</w:t>
      </w:r>
      <w:r>
        <w:rPr>
          <w:rFonts w:hint="eastAsia" w:ascii="楷体" w:hAnsi="楷体" w:eastAsia="楷体" w:cs="楷体"/>
          <w:b/>
          <w:bCs/>
          <w:color w:val="auto"/>
          <w:kern w:val="0"/>
          <w:sz w:val="32"/>
          <w:szCs w:val="32"/>
          <w:lang w:val="en-US" w:eastAsia="zh-CN"/>
        </w:rPr>
        <w:t>工业发展</w:t>
      </w:r>
      <w:r>
        <w:rPr>
          <w:rFonts w:ascii="楷体" w:hAnsi="楷体" w:eastAsia="楷体" w:cs="楷体"/>
          <w:b/>
          <w:bCs/>
          <w:color w:val="auto"/>
          <w:kern w:val="0"/>
          <w:sz w:val="32"/>
          <w:szCs w:val="32"/>
        </w:rPr>
        <w:t>专项资金</w:t>
      </w:r>
      <w:r>
        <w:rPr>
          <w:rFonts w:hint="eastAsia" w:ascii="楷体" w:hAnsi="楷体" w:eastAsia="楷体" w:cs="楷体"/>
          <w:b/>
          <w:bCs/>
          <w:color w:val="auto"/>
          <w:kern w:val="0"/>
          <w:sz w:val="32"/>
          <w:szCs w:val="32"/>
          <w:lang w:val="en-US" w:eastAsia="zh-CN"/>
        </w:rPr>
        <w:t>预算安排</w:t>
      </w:r>
      <w:r>
        <w:rPr>
          <w:rFonts w:ascii="楷体" w:hAnsi="楷体" w:eastAsia="楷体" w:cs="楷体"/>
          <w:b/>
          <w:bCs/>
          <w:color w:val="auto"/>
          <w:kern w:val="0"/>
          <w:sz w:val="32"/>
          <w:szCs w:val="32"/>
        </w:rPr>
        <w:t>重点审核情况</w:t>
      </w:r>
    </w:p>
    <w:p w14:paraId="7100C8CD">
      <w:pPr>
        <w:keepNext w:val="0"/>
        <w:keepLines w:val="0"/>
        <w:pageBreakBefore w:val="0"/>
        <w:shd w:val="clea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z w:val="32"/>
          <w:szCs w:val="32"/>
          <w:highlight w:val="none"/>
          <w:lang w:bidi="ar"/>
        </w:rPr>
        <w:t>按照县人大常委会的要求，对</w:t>
      </w:r>
      <w:r>
        <w:rPr>
          <w:rFonts w:hint="eastAsia" w:ascii="仿宋_GB2312" w:hAnsi="仿宋_GB2312" w:eastAsia="仿宋_GB2312" w:cs="仿宋_GB2312"/>
          <w:color w:val="auto"/>
          <w:spacing w:val="10"/>
          <w:sz w:val="32"/>
          <w:szCs w:val="32"/>
          <w:highlight w:val="none"/>
          <w:lang w:eastAsia="zh-CN"/>
        </w:rPr>
        <w:t>科技和工业信息化部门预算、县级工业发展专项资金</w:t>
      </w:r>
      <w:r>
        <w:rPr>
          <w:rFonts w:hint="eastAsia" w:ascii="仿宋_GB2312" w:hAnsi="仿宋_GB2312" w:eastAsia="仿宋_GB2312" w:cs="仿宋_GB2312"/>
          <w:color w:val="auto"/>
          <w:spacing w:val="10"/>
          <w:sz w:val="32"/>
          <w:szCs w:val="32"/>
          <w:highlight w:val="none"/>
          <w:lang w:val="en-US" w:eastAsia="zh-CN"/>
        </w:rPr>
        <w:t>预算安排</w:t>
      </w:r>
      <w:r>
        <w:rPr>
          <w:rFonts w:hint="eastAsia" w:ascii="仿宋_GB2312" w:hAnsi="仿宋_GB2312" w:eastAsia="仿宋_GB2312" w:cs="仿宋_GB2312"/>
          <w:color w:val="auto"/>
          <w:spacing w:val="10"/>
          <w:sz w:val="32"/>
          <w:szCs w:val="32"/>
          <w:highlight w:val="none"/>
        </w:rPr>
        <w:t>进行重点审核，情况如下：</w:t>
      </w:r>
    </w:p>
    <w:p w14:paraId="3911FCDA">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color w:val="auto"/>
          <w:sz w:val="32"/>
          <w:szCs w:val="32"/>
          <w:highlight w:val="yellow"/>
          <w:lang w:val="en-US" w:eastAsia="zh-CN"/>
        </w:rPr>
      </w:pPr>
      <w:r>
        <w:rPr>
          <w:rFonts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ascii="仿宋_GB2312" w:hAnsi="仿宋_GB2312" w:eastAsia="仿宋_GB2312" w:cs="仿宋_GB2312"/>
          <w:color w:val="auto"/>
          <w:sz w:val="32"/>
          <w:szCs w:val="32"/>
          <w:highlight w:val="none"/>
        </w:rPr>
        <w:t>年预算安排</w:t>
      </w:r>
      <w:r>
        <w:rPr>
          <w:rFonts w:hint="eastAsia" w:ascii="仿宋_GB2312" w:hAnsi="仿宋_GB2312" w:eastAsia="仿宋_GB2312" w:cs="仿宋_GB2312"/>
          <w:color w:val="auto"/>
          <w:sz w:val="32"/>
          <w:szCs w:val="32"/>
          <w:highlight w:val="none"/>
          <w:lang w:val="en-US" w:eastAsia="zh-CN"/>
        </w:rPr>
        <w:t>县科工局（含科创中心）部门预算18112.33万元，其中：基本支出641.43万元，项目支出17470.9万元</w:t>
      </w:r>
      <w:r>
        <w:rPr>
          <w:rFonts w:hint="eastAsia" w:ascii="楷体" w:hAnsi="楷体" w:eastAsia="楷体" w:cs="楷体"/>
          <w:color w:val="auto"/>
          <w:sz w:val="30"/>
          <w:szCs w:val="30"/>
          <w:highlight w:val="none"/>
          <w:lang w:val="en-US" w:eastAsia="zh-CN"/>
        </w:rPr>
        <w:t>（包含援企稳岗经费补助17000万元，氟盐专班、电子信息、服装产业工作经费78.56万元，县企联企协工作经费50万元，工业倍增升级行动领导小组工作经费30万元，其他工信业务经费85万元，科技三项经费90万元、科技奖励基金77.34万元、其他科技业务工作经费60万元）</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此外，为支持招商引资和项目建设，助力工业倍增升级行动，2025年预算安排县商务局招商引资经费2000万元、援企稳岗经费补助7500万元，安排县发改委重点项目前期经费2500万元，预留安排八大行动发展基金1000万元。</w:t>
      </w:r>
    </w:p>
    <w:p w14:paraId="1AA5215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四、稳中求进，凝心聚力做好</w:t>
      </w:r>
      <w:r>
        <w:rPr>
          <w:rFonts w:hint="eastAsia" w:ascii="宋体" w:hAnsi="宋体" w:eastAsia="黑体" w:cs="黑体"/>
          <w:color w:val="auto"/>
          <w:kern w:val="0"/>
          <w:sz w:val="32"/>
          <w:szCs w:val="32"/>
          <w:lang w:eastAsia="zh-CN"/>
        </w:rPr>
        <w:t>202</w:t>
      </w:r>
      <w:r>
        <w:rPr>
          <w:rFonts w:hint="eastAsia" w:ascii="宋体" w:hAnsi="宋体" w:eastAsia="黑体" w:cs="黑体"/>
          <w:color w:val="auto"/>
          <w:kern w:val="0"/>
          <w:sz w:val="32"/>
          <w:szCs w:val="32"/>
          <w:lang w:val="en-US" w:eastAsia="zh-CN"/>
        </w:rPr>
        <w:t>5</w:t>
      </w:r>
      <w:r>
        <w:rPr>
          <w:rFonts w:hint="eastAsia" w:ascii="宋体" w:hAnsi="宋体" w:eastAsia="黑体" w:cs="黑体"/>
          <w:color w:val="auto"/>
          <w:kern w:val="0"/>
          <w:sz w:val="32"/>
          <w:szCs w:val="32"/>
          <w:lang w:eastAsia="zh-CN"/>
        </w:rPr>
        <w:t>年</w:t>
      </w:r>
      <w:r>
        <w:rPr>
          <w:rFonts w:hint="eastAsia" w:ascii="黑体" w:hAnsi="黑体" w:eastAsia="黑体" w:cs="黑体"/>
          <w:color w:val="auto"/>
          <w:kern w:val="0"/>
          <w:sz w:val="32"/>
          <w:szCs w:val="32"/>
        </w:rPr>
        <w:t>财政工作</w:t>
      </w:r>
    </w:p>
    <w:p w14:paraId="560D4CA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我</w:t>
      </w:r>
      <w:r>
        <w:rPr>
          <w:rFonts w:hint="eastAsia" w:ascii="仿宋_GB2312" w:hAnsi="仿宋_GB2312" w:eastAsia="仿宋_GB2312" w:cs="仿宋_GB2312"/>
          <w:color w:val="auto"/>
          <w:sz w:val="32"/>
          <w:szCs w:val="32"/>
        </w:rPr>
        <w:t>们将</w:t>
      </w:r>
      <w:r>
        <w:rPr>
          <w:rFonts w:hint="eastAsia" w:ascii="仿宋_GB2312" w:hAnsi="仿宋_GB2312" w:eastAsia="仿宋_GB2312" w:cs="仿宋_GB2312"/>
          <w:color w:val="auto"/>
          <w:sz w:val="32"/>
          <w:szCs w:val="32"/>
          <w:lang w:val="en-US" w:eastAsia="zh-CN"/>
        </w:rPr>
        <w:t>以习近平新时代中国特色社会主义思想为指导，全面贯彻党的二十大和二十届三中全会精神，认真落实中央和省、市各项决策部署，坚持稳中求进、以进促稳、守正创新、先立后破，系统集成、协同配合，实施更加积极的财政政策，加大财政支出强度，加强重点领域保障，优化财政支出结构，提高资金使用效益，</w:t>
      </w:r>
      <w:r>
        <w:rPr>
          <w:rFonts w:hint="eastAsia" w:ascii="仿宋_GB2312" w:hAnsi="仿宋_GB2312" w:eastAsia="仿宋_GB2312" w:cs="仿宋_GB2312"/>
          <w:color w:val="auto"/>
          <w:sz w:val="32"/>
          <w:szCs w:val="32"/>
        </w:rPr>
        <w:t>持续推动经济实现质的有效提升和量的合理增长。</w:t>
      </w:r>
    </w:p>
    <w:p w14:paraId="3E41D7D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为此，我们将按照县委、县政府的发展战略，统筹谋划推进，努力完成各项财税目标，重点做好以下工作：</w:t>
      </w:r>
    </w:p>
    <w:p w14:paraId="109DA232">
      <w:pPr>
        <w:spacing w:line="560" w:lineRule="exact"/>
        <w:ind w:firstLine="643" w:firstLineChars="200"/>
        <w:rPr>
          <w:rFonts w:hint="default" w:ascii="仿宋_GB2312" w:hAnsi="仿宋_GB2312" w:eastAsia="仿宋_GB2312" w:cs="仿宋_GB2312"/>
          <w:color w:val="auto"/>
          <w:sz w:val="32"/>
          <w:szCs w:val="32"/>
          <w:highlight w:val="yellow"/>
          <w:lang w:val="en-US"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精耕细作拓财源稳大盘</w:t>
      </w:r>
      <w:r>
        <w:rPr>
          <w:rFonts w:hint="eastAsia" w:ascii="楷体" w:hAnsi="楷体" w:eastAsia="楷体" w:cs="楷体"/>
          <w:b/>
          <w:bCs/>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rPr>
        <w:t>是</w:t>
      </w:r>
      <w:r>
        <w:rPr>
          <w:rFonts w:hint="eastAsia" w:ascii="仿宋_GB2312" w:hAnsi="仿宋_GB2312" w:eastAsia="仿宋_GB2312" w:cs="仿宋_GB2312"/>
          <w:b/>
          <w:bCs/>
          <w:color w:val="auto"/>
          <w:sz w:val="32"/>
          <w:szCs w:val="32"/>
          <w:highlight w:val="none"/>
          <w:lang w:val="en-US" w:eastAsia="zh-CN"/>
        </w:rPr>
        <w:t>加大综合治税力度</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充分发挥工作主动性、积极性，</w:t>
      </w:r>
      <w:r>
        <w:rPr>
          <w:rFonts w:hint="eastAsia" w:ascii="仿宋_GB2312" w:hAnsi="仿宋_GB2312" w:eastAsia="仿宋_GB2312" w:cs="仿宋_GB2312"/>
          <w:color w:val="auto"/>
          <w:sz w:val="32"/>
          <w:szCs w:val="32"/>
          <w:highlight w:val="none"/>
        </w:rPr>
        <w:t>加强跨部门协作，</w:t>
      </w:r>
      <w:r>
        <w:rPr>
          <w:rFonts w:hint="eastAsia" w:ascii="仿宋_GB2312" w:hAnsi="仿宋_GB2312" w:eastAsia="仿宋_GB2312" w:cs="仿宋_GB2312"/>
          <w:color w:val="auto"/>
          <w:sz w:val="32"/>
          <w:szCs w:val="32"/>
          <w:highlight w:val="none"/>
          <w:lang w:val="en-US" w:eastAsia="zh-CN"/>
        </w:rPr>
        <w:t>凝聚</w:t>
      </w:r>
      <w:r>
        <w:rPr>
          <w:rFonts w:hint="eastAsia" w:ascii="仿宋_GB2312" w:hAnsi="仿宋_GB2312" w:eastAsia="仿宋_GB2312" w:cs="仿宋_GB2312"/>
          <w:color w:val="auto"/>
          <w:sz w:val="32"/>
          <w:szCs w:val="32"/>
          <w:highlight w:val="none"/>
        </w:rPr>
        <w:t>征管合力，</w:t>
      </w:r>
      <w:r>
        <w:rPr>
          <w:rFonts w:hint="eastAsia" w:ascii="仿宋_GB2312" w:hAnsi="仿宋_GB2312" w:eastAsia="仿宋_GB2312" w:cs="仿宋_GB2312"/>
          <w:color w:val="auto"/>
          <w:sz w:val="32"/>
          <w:szCs w:val="32"/>
          <w:highlight w:val="none"/>
          <w:lang w:val="en-US" w:eastAsia="zh-CN"/>
        </w:rPr>
        <w:t>强化收入定期监测调度，</w:t>
      </w:r>
      <w:r>
        <w:rPr>
          <w:rFonts w:hint="eastAsia" w:ascii="仿宋_GB2312" w:hAnsi="仿宋_GB2312" w:eastAsia="仿宋_GB2312" w:cs="仿宋_GB2312"/>
          <w:color w:val="auto"/>
          <w:sz w:val="32"/>
          <w:szCs w:val="32"/>
          <w:highlight w:val="none"/>
        </w:rPr>
        <w:t>加强重点</w:t>
      </w:r>
      <w:r>
        <w:rPr>
          <w:rFonts w:hint="eastAsia" w:ascii="仿宋_GB2312" w:hAnsi="仿宋_GB2312" w:eastAsia="仿宋_GB2312" w:cs="仿宋_GB2312"/>
          <w:color w:val="auto"/>
          <w:sz w:val="32"/>
          <w:szCs w:val="32"/>
          <w:highlight w:val="none"/>
          <w:lang w:val="en-US" w:eastAsia="zh-CN"/>
        </w:rPr>
        <w:t>税源</w:t>
      </w:r>
      <w:r>
        <w:rPr>
          <w:rFonts w:hint="eastAsia" w:ascii="仿宋_GB2312" w:hAnsi="仿宋_GB2312" w:eastAsia="仿宋_GB2312" w:cs="仿宋_GB2312"/>
          <w:color w:val="auto"/>
          <w:sz w:val="32"/>
          <w:szCs w:val="32"/>
          <w:highlight w:val="none"/>
        </w:rPr>
        <w:t>监测分析，紧盯征管盲区，强化堵漏挖潜</w:t>
      </w:r>
      <w:r>
        <w:rPr>
          <w:rFonts w:hint="eastAsia" w:ascii="仿宋_GB2312" w:hAnsi="仿宋_GB2312" w:eastAsia="仿宋_GB2312" w:cs="仿宋_GB2312"/>
          <w:color w:val="auto"/>
          <w:sz w:val="32"/>
          <w:szCs w:val="32"/>
          <w:highlight w:val="none"/>
          <w:lang w:eastAsia="zh-CN"/>
        </w:rPr>
        <w:t>。加大</w:t>
      </w:r>
      <w:r>
        <w:rPr>
          <w:rFonts w:hint="eastAsia" w:ascii="仿宋_GB2312" w:hAnsi="仿宋_GB2312" w:eastAsia="仿宋_GB2312" w:cs="仿宋_GB2312"/>
          <w:color w:val="auto"/>
          <w:sz w:val="32"/>
          <w:szCs w:val="32"/>
          <w:highlight w:val="none"/>
          <w:lang w:val="en-US" w:eastAsia="zh-CN"/>
        </w:rPr>
        <w:t>重点企业跟踪服务力度，进一步优化营商环境，着力招大引强，强化税基建设。</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是加</w:t>
      </w:r>
      <w:r>
        <w:rPr>
          <w:rFonts w:hint="eastAsia" w:ascii="仿宋_GB2312" w:hAnsi="仿宋_GB2312" w:eastAsia="仿宋_GB2312" w:cs="仿宋_GB2312"/>
          <w:b/>
          <w:bCs/>
          <w:color w:val="auto"/>
          <w:sz w:val="32"/>
          <w:szCs w:val="32"/>
          <w:highlight w:val="none"/>
          <w:lang w:val="en-US" w:eastAsia="zh-CN"/>
        </w:rPr>
        <w:t>强</w:t>
      </w:r>
      <w:r>
        <w:rPr>
          <w:rFonts w:hint="eastAsia" w:ascii="仿宋_GB2312" w:hAnsi="仿宋_GB2312" w:eastAsia="仿宋_GB2312" w:cs="仿宋_GB2312"/>
          <w:b/>
          <w:bCs/>
          <w:color w:val="auto"/>
          <w:sz w:val="32"/>
          <w:szCs w:val="32"/>
          <w:highlight w:val="none"/>
        </w:rPr>
        <w:t>财政</w:t>
      </w:r>
      <w:r>
        <w:rPr>
          <w:rFonts w:hint="eastAsia" w:ascii="仿宋_GB2312" w:hAnsi="仿宋_GB2312" w:eastAsia="仿宋_GB2312" w:cs="仿宋_GB2312"/>
          <w:b/>
          <w:bCs/>
          <w:color w:val="auto"/>
          <w:sz w:val="32"/>
          <w:szCs w:val="32"/>
          <w:highlight w:val="none"/>
          <w:lang w:val="en-US" w:eastAsia="zh-CN"/>
        </w:rPr>
        <w:t>资源统筹</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强化政府性基金预算、国有资本经营预算与一般公共预算的统筹安排。积极盘活各类资金资产资源，充分发挥存量资产效益，让“沉睡”资产变“增收”活水。积极做好土地出让管理，盘活存量用地，充实政府性基金收入，强化非税收入征管，确保应收尽收。</w:t>
      </w:r>
      <w:r>
        <w:rPr>
          <w:rFonts w:hint="eastAsia" w:ascii="仿宋_GB2312" w:hAnsi="仿宋_GB2312" w:eastAsia="仿宋_GB2312" w:cs="仿宋_GB2312"/>
          <w:b/>
          <w:bCs/>
          <w:color w:val="auto"/>
          <w:sz w:val="32"/>
          <w:szCs w:val="32"/>
          <w:highlight w:val="none"/>
          <w:lang w:val="en-US" w:eastAsia="zh-CN"/>
        </w:rPr>
        <w:t>三是抢抓机遇</w:t>
      </w:r>
      <w:r>
        <w:rPr>
          <w:rFonts w:hint="eastAsia" w:ascii="仿宋_GB2312" w:hAnsi="仿宋_GB2312" w:eastAsia="仿宋_GB2312" w:cs="仿宋_GB2312"/>
          <w:b/>
          <w:bCs/>
          <w:color w:val="auto"/>
          <w:sz w:val="32"/>
          <w:szCs w:val="32"/>
          <w:highlight w:val="none"/>
        </w:rPr>
        <w:t>争资争项。</w:t>
      </w:r>
      <w:r>
        <w:rPr>
          <w:rFonts w:hint="eastAsia" w:ascii="仿宋_GB2312" w:hAnsi="仿宋_GB2312" w:eastAsia="仿宋_GB2312" w:cs="仿宋_GB2312"/>
          <w:color w:val="auto"/>
          <w:sz w:val="32"/>
          <w:szCs w:val="32"/>
          <w:highlight w:val="none"/>
          <w:lang w:val="en-US" w:eastAsia="zh-CN"/>
        </w:rPr>
        <w:t>瞄准超长期特别国债、中央预算内投资、专项债券等资金分配政策</w:t>
      </w:r>
      <w:r>
        <w:rPr>
          <w:rFonts w:hint="eastAsia" w:ascii="仿宋_GB2312" w:hAnsi="仿宋_GB2312" w:eastAsia="仿宋_GB2312" w:cs="仿宋_GB2312"/>
          <w:color w:val="auto"/>
          <w:sz w:val="32"/>
          <w:szCs w:val="32"/>
          <w:highlight w:val="none"/>
        </w:rPr>
        <w:t>，持续做好项目谋划申报、额度争取、落地实施等工作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发挥好财政资金的投资拉动效应。做好</w:t>
      </w:r>
      <w:r>
        <w:rPr>
          <w:rFonts w:hint="eastAsia" w:ascii="仿宋_GB2312" w:hAnsi="仿宋_GB2312" w:eastAsia="仿宋_GB2312" w:cs="仿宋_GB2312"/>
          <w:color w:val="auto"/>
          <w:sz w:val="32"/>
          <w:szCs w:val="32"/>
          <w:highlight w:val="none"/>
        </w:rPr>
        <w:t>“十五五”</w:t>
      </w:r>
      <w:r>
        <w:rPr>
          <w:rFonts w:hint="eastAsia" w:ascii="仿宋_GB2312" w:hAnsi="仿宋_GB2312" w:eastAsia="仿宋_GB2312" w:cs="仿宋_GB2312"/>
          <w:color w:val="auto"/>
          <w:sz w:val="32"/>
          <w:szCs w:val="32"/>
          <w:highlight w:val="none"/>
          <w:lang w:val="en-US" w:eastAsia="zh-CN"/>
        </w:rPr>
        <w:t>前期谋划工作，科学系统谋划重大战略任务、重大改革举措、重大工程项目，争取更多项目纳入国家规划盘子。</w:t>
      </w:r>
    </w:p>
    <w:p w14:paraId="7027688B">
      <w:pPr>
        <w:spacing w:line="560" w:lineRule="exact"/>
        <w:ind w:firstLine="643" w:firstLineChars="200"/>
        <w:rPr>
          <w:rFonts w:hint="eastAsia" w:ascii="仿宋_GB2312" w:hAnsi="仿宋_GB2312" w:eastAsia="仿宋_GB2312" w:cs="仿宋_GB2312"/>
          <w:sz w:val="32"/>
          <w:szCs w:val="32"/>
          <w:highlight w:val="none"/>
          <w:lang w:val="en-US" w:eastAsia="zh-CN" w:bidi="ar"/>
        </w:rPr>
      </w:pPr>
      <w:r>
        <w:rPr>
          <w:rFonts w:hint="eastAsia" w:ascii="楷体" w:hAnsi="楷体" w:eastAsia="楷体" w:cs="楷体"/>
          <w:b/>
          <w:bCs/>
          <w:sz w:val="32"/>
          <w:szCs w:val="32"/>
          <w:highlight w:val="none"/>
          <w:lang w:val="en-US" w:eastAsia="zh-CN" w:bidi="ar"/>
        </w:rPr>
        <w:t>（二）精益求精惠民生强后劲。</w:t>
      </w:r>
      <w:r>
        <w:rPr>
          <w:rFonts w:hint="eastAsia" w:ascii="仿宋_GB2312" w:hAnsi="仿宋_GB2312" w:eastAsia="仿宋_GB2312" w:cs="仿宋_GB2312"/>
          <w:b/>
          <w:bCs/>
          <w:sz w:val="32"/>
          <w:szCs w:val="32"/>
          <w:highlight w:val="none"/>
          <w:lang w:val="en-US" w:eastAsia="zh-CN" w:bidi="ar"/>
        </w:rPr>
        <w:t>一是千方百计保障民生。</w:t>
      </w:r>
      <w:r>
        <w:rPr>
          <w:rFonts w:hint="eastAsia" w:ascii="仿宋_GB2312" w:hAnsi="仿宋_GB2312" w:eastAsia="仿宋_GB2312" w:cs="仿宋_GB2312"/>
          <w:b w:val="0"/>
          <w:bCs w:val="0"/>
          <w:sz w:val="32"/>
          <w:szCs w:val="32"/>
          <w:highlight w:val="none"/>
          <w:lang w:val="en-US" w:eastAsia="zh-CN" w:bidi="ar"/>
        </w:rPr>
        <w:t>紧扣民生主线，建立健全基本公共服务体系，围绕就业、教育、文化、卫生、社会保障、乡村振兴等方面，尤其紧盯群众急难愁盼问题，继续将财政支出向民生领域倾斜，民生支出占一般公共预算支出比重持续保持在80%以上，支持改善人民生活品质。</w:t>
      </w:r>
      <w:r>
        <w:rPr>
          <w:rFonts w:hint="eastAsia" w:ascii="仿宋_GB2312" w:hAnsi="仿宋_GB2312" w:eastAsia="仿宋_GB2312" w:cs="仿宋_GB2312"/>
          <w:b/>
          <w:bCs/>
          <w:sz w:val="32"/>
          <w:szCs w:val="32"/>
          <w:highlight w:val="none"/>
          <w:lang w:val="en-US" w:eastAsia="zh-CN" w:bidi="ar"/>
        </w:rPr>
        <w:t>二是健全财政资金直达机制。</w:t>
      </w:r>
      <w:r>
        <w:rPr>
          <w:rFonts w:hint="eastAsia" w:ascii="仿宋_GB2312" w:hAnsi="仿宋_GB2312" w:eastAsia="仿宋_GB2312" w:cs="仿宋_GB2312"/>
          <w:sz w:val="32"/>
          <w:szCs w:val="32"/>
          <w:highlight w:val="none"/>
          <w:lang w:val="en-US" w:eastAsia="zh-CN" w:bidi="ar"/>
        </w:rPr>
        <w:t>加快转移支付资金、直达资金分配下达进度，依托预算管理一体化系统，实施“全流程、全覆盖、全链条”动态监控，确保资金严格按照使用管理要求，第一时间拨付至市场主体和人民群众手中，直接惠企利民</w:t>
      </w:r>
      <w:r>
        <w:rPr>
          <w:rFonts w:hint="eastAsia" w:ascii="仿宋_GB2312" w:hAnsi="仿宋_GB2312" w:eastAsia="仿宋_GB2312" w:cs="仿宋_GB2312"/>
          <w:b/>
          <w:bCs/>
          <w:sz w:val="32"/>
          <w:szCs w:val="32"/>
          <w:highlight w:val="none"/>
          <w:lang w:val="en-US" w:eastAsia="zh-CN" w:bidi="ar"/>
        </w:rPr>
        <w:t>。三是发挥财政资金杠杆作用。</w:t>
      </w:r>
      <w:r>
        <w:rPr>
          <w:rFonts w:hint="eastAsia" w:ascii="仿宋_GB2312" w:hAnsi="仿宋_GB2312" w:eastAsia="仿宋_GB2312" w:cs="仿宋_GB2312"/>
          <w:sz w:val="32"/>
          <w:szCs w:val="32"/>
          <w:highlight w:val="none"/>
          <w:lang w:val="en-US" w:eastAsia="zh-CN" w:bidi="ar"/>
        </w:rPr>
        <w:t>适度加大财政政策扩张力度，保持必要的支出强度，认真落实国家稳经济一揽子政策和接续政策措施，灵活运用基金、担保、奖补、贴息等财政金融政策，加大实体经济支持力度。加力扩围实施“两新”政策，大力提振消费。管好用好超长期特别国债和专项债券资金，支持全县经济社会建设和产业升级，持续形成投资拉动力。</w:t>
      </w:r>
    </w:p>
    <w:p w14:paraId="03D64553">
      <w:pPr>
        <w:spacing w:line="560" w:lineRule="exact"/>
        <w:ind w:firstLine="643" w:firstLineChars="200"/>
        <w:rPr>
          <w:rFonts w:hint="eastAsia" w:ascii="仿宋_GB2312" w:hAnsi="仿宋_GB2312" w:eastAsia="仿宋_GB2312" w:cs="仿宋_GB2312"/>
          <w:b w:val="0"/>
          <w:bCs w:val="0"/>
          <w:color w:val="auto"/>
          <w:kern w:val="2"/>
          <w:sz w:val="32"/>
          <w:szCs w:val="32"/>
          <w:highlight w:val="yellow"/>
          <w:lang w:val="en-US" w:eastAsia="zh-CN" w:bidi="ar-SA"/>
        </w:rPr>
      </w:pPr>
      <w:r>
        <w:rPr>
          <w:rFonts w:hint="eastAsia" w:ascii="楷体" w:hAnsi="楷体" w:eastAsia="楷体" w:cs="楷体"/>
          <w:b/>
          <w:bCs/>
          <w:color w:val="auto"/>
          <w:sz w:val="32"/>
          <w:szCs w:val="32"/>
          <w:highlight w:val="none"/>
          <w:lang w:val="en-US" w:eastAsia="zh-CN"/>
        </w:rPr>
        <w:t>（三）精打细算强监管提绩效</w:t>
      </w:r>
      <w:r>
        <w:rPr>
          <w:rFonts w:hint="eastAsia" w:ascii="楷体" w:hAnsi="楷体" w:eastAsia="楷体" w:cs="楷体"/>
          <w:b/>
          <w:bCs/>
          <w:color w:val="auto"/>
          <w:sz w:val="32"/>
          <w:szCs w:val="32"/>
          <w:highlight w:val="none"/>
        </w:rPr>
        <w:t>。</w:t>
      </w:r>
      <w:r>
        <w:rPr>
          <w:rFonts w:hint="eastAsia" w:ascii="仿宋_GB2312" w:hAnsi="仿宋_GB2312" w:eastAsia="仿宋_GB2312" w:cs="仿宋_GB2312"/>
          <w:b/>
          <w:bCs/>
          <w:sz w:val="32"/>
          <w:szCs w:val="32"/>
          <w:highlight w:val="none"/>
          <w:lang w:val="en-US" w:eastAsia="zh-CN" w:bidi="ar"/>
        </w:rPr>
        <w:t>一是厉行节约过紧日子。</w:t>
      </w:r>
      <w:r>
        <w:rPr>
          <w:rFonts w:hint="eastAsia" w:ascii="仿宋_GB2312" w:hAnsi="仿宋_GB2312" w:eastAsia="仿宋_GB2312" w:cs="仿宋_GB2312"/>
          <w:sz w:val="32"/>
          <w:szCs w:val="32"/>
          <w:highlight w:val="none"/>
          <w:lang w:val="en-US" w:eastAsia="zh-CN" w:bidi="ar"/>
        </w:rPr>
        <w:t>坚持落实政府“过紧日子”要求不放松，以实施零基预算管理为切入点和着力点，大力压减非重点、非刚性支出，从严控制“三公”经费、机关运行经费和其他一般性支出，加强对新增支出特别是政府性投资项目审核把关，节省资金更多用于保障民生实事落实。</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是</w:t>
      </w:r>
      <w:r>
        <w:rPr>
          <w:rFonts w:hint="eastAsia" w:ascii="仿宋_GB2312" w:hAnsi="仿宋_GB2312" w:eastAsia="仿宋_GB2312" w:cs="仿宋_GB2312"/>
          <w:b/>
          <w:bCs/>
          <w:color w:val="auto"/>
          <w:sz w:val="32"/>
          <w:szCs w:val="32"/>
          <w:highlight w:val="none"/>
          <w:lang w:val="en-US" w:eastAsia="zh-CN"/>
        </w:rPr>
        <w:t>强化预算</w:t>
      </w:r>
      <w:r>
        <w:rPr>
          <w:rFonts w:hint="eastAsia" w:ascii="仿宋_GB2312" w:hAnsi="仿宋_GB2312" w:eastAsia="仿宋_GB2312" w:cs="仿宋_GB2312"/>
          <w:b/>
          <w:bCs/>
          <w:color w:val="auto"/>
          <w:sz w:val="32"/>
          <w:szCs w:val="32"/>
          <w:highlight w:val="none"/>
        </w:rPr>
        <w:t>绩效管理。</w:t>
      </w:r>
      <w:r>
        <w:rPr>
          <w:rFonts w:hint="eastAsia" w:ascii="仿宋_GB2312" w:hAnsi="仿宋_GB2312" w:eastAsia="仿宋_GB2312" w:cs="仿宋_GB2312"/>
          <w:b w:val="0"/>
          <w:bCs w:val="0"/>
          <w:color w:val="auto"/>
          <w:sz w:val="32"/>
          <w:szCs w:val="32"/>
          <w:highlight w:val="none"/>
        </w:rPr>
        <w:t>进一步深化预算管理制度改革，</w:t>
      </w:r>
      <w:r>
        <w:rPr>
          <w:rFonts w:hint="eastAsia" w:ascii="仿宋_GB2312" w:hAnsi="仿宋_GB2312" w:eastAsia="仿宋_GB2312" w:cs="仿宋_GB2312"/>
          <w:b w:val="0"/>
          <w:bCs w:val="0"/>
          <w:color w:val="auto"/>
          <w:sz w:val="32"/>
          <w:szCs w:val="32"/>
          <w:highlight w:val="none"/>
          <w:lang w:val="en-US" w:eastAsia="zh-CN"/>
        </w:rPr>
        <w:t>加快</w:t>
      </w:r>
      <w:r>
        <w:rPr>
          <w:rFonts w:hint="eastAsia" w:ascii="仿宋_GB2312" w:hAnsi="仿宋_GB2312" w:eastAsia="仿宋_GB2312" w:cs="仿宋_GB2312"/>
          <w:b w:val="0"/>
          <w:bCs w:val="0"/>
          <w:color w:val="auto"/>
          <w:sz w:val="32"/>
          <w:szCs w:val="32"/>
          <w:highlight w:val="none"/>
        </w:rPr>
        <w:t>预算管理一体化</w:t>
      </w:r>
      <w:r>
        <w:rPr>
          <w:rFonts w:hint="eastAsia" w:ascii="仿宋_GB2312" w:hAnsi="仿宋_GB2312" w:eastAsia="仿宋_GB2312" w:cs="仿宋_GB2312"/>
          <w:b w:val="0"/>
          <w:bCs w:val="0"/>
          <w:color w:val="auto"/>
          <w:sz w:val="32"/>
          <w:szCs w:val="32"/>
          <w:highlight w:val="none"/>
          <w:lang w:val="en-US" w:eastAsia="zh-CN"/>
        </w:rPr>
        <w:t>建设</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加强绩效目标管理和绩效评价结果运用，</w:t>
      </w:r>
      <w:r>
        <w:rPr>
          <w:rFonts w:hint="eastAsia" w:ascii="仿宋_GB2312" w:hAnsi="仿宋_GB2312" w:eastAsia="仿宋_GB2312" w:cs="仿宋_GB2312"/>
          <w:b w:val="0"/>
          <w:bCs w:val="0"/>
          <w:color w:val="auto"/>
          <w:sz w:val="32"/>
          <w:szCs w:val="32"/>
          <w:highlight w:val="none"/>
        </w:rPr>
        <w:t>将评价结果作为预算安排、</w:t>
      </w:r>
      <w:r>
        <w:rPr>
          <w:rFonts w:hint="eastAsia" w:ascii="仿宋_GB2312" w:hAnsi="仿宋_GB2312" w:eastAsia="仿宋_GB2312" w:cs="仿宋_GB2312"/>
          <w:b w:val="0"/>
          <w:bCs w:val="0"/>
          <w:color w:val="auto"/>
          <w:sz w:val="32"/>
          <w:szCs w:val="32"/>
          <w:highlight w:val="none"/>
          <w:lang w:val="en-US" w:eastAsia="zh-CN"/>
        </w:rPr>
        <w:t>资金拨付、</w:t>
      </w:r>
      <w:r>
        <w:rPr>
          <w:rFonts w:hint="eastAsia" w:ascii="仿宋_GB2312" w:hAnsi="仿宋_GB2312" w:eastAsia="仿宋_GB2312" w:cs="仿宋_GB2312"/>
          <w:b w:val="0"/>
          <w:bCs w:val="0"/>
          <w:color w:val="auto"/>
          <w:sz w:val="32"/>
          <w:szCs w:val="32"/>
          <w:highlight w:val="none"/>
        </w:rPr>
        <w:t>政策</w:t>
      </w:r>
      <w:r>
        <w:rPr>
          <w:rFonts w:hint="eastAsia" w:ascii="仿宋_GB2312" w:hAnsi="仿宋_GB2312" w:eastAsia="仿宋_GB2312" w:cs="仿宋_GB2312"/>
          <w:b w:val="0"/>
          <w:bCs w:val="0"/>
          <w:color w:val="auto"/>
          <w:sz w:val="32"/>
          <w:szCs w:val="32"/>
          <w:highlight w:val="none"/>
          <w:lang w:val="en-US" w:eastAsia="zh-CN"/>
        </w:rPr>
        <w:t>制定</w:t>
      </w:r>
      <w:r>
        <w:rPr>
          <w:rFonts w:hint="eastAsia" w:ascii="仿宋_GB2312" w:hAnsi="仿宋_GB2312" w:eastAsia="仿宋_GB2312" w:cs="仿宋_GB2312"/>
          <w:b w:val="0"/>
          <w:bCs w:val="0"/>
          <w:color w:val="auto"/>
          <w:sz w:val="32"/>
          <w:szCs w:val="32"/>
          <w:highlight w:val="none"/>
        </w:rPr>
        <w:t>、管理改善的重要依据，</w:t>
      </w:r>
      <w:r>
        <w:rPr>
          <w:rFonts w:hint="eastAsia" w:ascii="仿宋_GB2312" w:hAnsi="仿宋_GB2312" w:eastAsia="仿宋_GB2312" w:cs="仿宋_GB2312"/>
          <w:color w:val="auto"/>
          <w:sz w:val="32"/>
          <w:szCs w:val="32"/>
          <w:highlight w:val="none"/>
        </w:rPr>
        <w:t>充分发挥财政资源配置效率和使用效益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rPr>
        <w:t>是加</w:t>
      </w:r>
      <w:r>
        <w:rPr>
          <w:rFonts w:hint="eastAsia" w:ascii="仿宋_GB2312" w:hAnsi="仿宋_GB2312" w:eastAsia="仿宋_GB2312" w:cs="仿宋_GB2312"/>
          <w:b/>
          <w:bCs/>
          <w:color w:val="auto"/>
          <w:sz w:val="32"/>
          <w:szCs w:val="32"/>
          <w:highlight w:val="none"/>
          <w:lang w:val="en-US" w:eastAsia="zh-CN"/>
        </w:rPr>
        <w:t>大</w:t>
      </w:r>
      <w:r>
        <w:rPr>
          <w:rFonts w:hint="eastAsia" w:ascii="仿宋_GB2312" w:hAnsi="仿宋_GB2312" w:eastAsia="仿宋_GB2312" w:cs="仿宋_GB2312"/>
          <w:b/>
          <w:bCs/>
          <w:color w:val="auto"/>
          <w:sz w:val="32"/>
          <w:szCs w:val="32"/>
          <w:highlight w:val="none"/>
        </w:rPr>
        <w:t>财会监督</w:t>
      </w:r>
      <w:r>
        <w:rPr>
          <w:rFonts w:hint="eastAsia" w:ascii="仿宋_GB2312" w:hAnsi="仿宋_GB2312" w:eastAsia="仿宋_GB2312" w:cs="仿宋_GB2312"/>
          <w:b/>
          <w:bCs/>
          <w:color w:val="auto"/>
          <w:sz w:val="32"/>
          <w:szCs w:val="32"/>
          <w:highlight w:val="none"/>
          <w:lang w:val="en-US" w:eastAsia="zh-CN"/>
        </w:rPr>
        <w:t>力度</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发挥财政监管组职能作用，对预算单位的财政收支管理和会计活动开展日常监督检查</w:t>
      </w:r>
      <w:r>
        <w:rPr>
          <w:rFonts w:hint="eastAsia" w:ascii="仿宋_GB2312" w:hAnsi="仿宋_GB2312" w:eastAsia="仿宋_GB2312" w:cs="仿宋_GB2312"/>
          <w:b w:val="0"/>
          <w:bCs w:val="0"/>
          <w:color w:val="auto"/>
          <w:kern w:val="2"/>
          <w:sz w:val="32"/>
          <w:szCs w:val="32"/>
          <w:highlight w:val="none"/>
          <w:lang w:val="en-US" w:eastAsia="zh-CN" w:bidi="ar-SA"/>
        </w:rPr>
        <w:t>，开展全县会计人员培训，提高各单位财务管理水平</w:t>
      </w:r>
      <w:r>
        <w:rPr>
          <w:rFonts w:hint="eastAsia" w:ascii="仿宋_GB2312" w:hAnsi="仿宋_GB2312" w:eastAsia="仿宋_GB2312" w:cs="仿宋_GB2312"/>
          <w:b w:val="0"/>
          <w:bCs w:val="0"/>
          <w:color w:val="auto"/>
          <w:sz w:val="32"/>
          <w:szCs w:val="32"/>
          <w:highlight w:val="none"/>
          <w:lang w:val="en-US" w:eastAsia="zh-CN"/>
        </w:rPr>
        <w:t>。一体推进国资管理、政府采购、投资评审等各项建设，提升财政监督效能。</w:t>
      </w:r>
      <w:r>
        <w:rPr>
          <w:rFonts w:hint="eastAsia" w:ascii="仿宋_GB2312" w:hAnsi="仿宋_GB2312" w:eastAsia="仿宋_GB2312" w:cs="仿宋_GB2312"/>
          <w:b w:val="0"/>
          <w:bCs w:val="0"/>
          <w:color w:val="auto"/>
          <w:kern w:val="2"/>
          <w:sz w:val="32"/>
          <w:szCs w:val="32"/>
          <w:highlight w:val="none"/>
          <w:lang w:val="en-US" w:eastAsia="zh-CN" w:bidi="ar-SA"/>
        </w:rPr>
        <w:t>健全财会监督与其他监督贯通协调机制，加强监督成果共享与运用，进一步严肃财经纪律。</w:t>
      </w:r>
    </w:p>
    <w:p w14:paraId="4602EFC3">
      <w:pPr>
        <w:spacing w:line="560" w:lineRule="exact"/>
        <w:ind w:firstLine="643" w:firstLineChars="200"/>
        <w:rPr>
          <w:rFonts w:hint="eastAsia" w:ascii="仿宋_GB2312" w:hAnsi="仿宋_GB2312" w:eastAsia="仿宋_GB2312" w:cs="仿宋_GB2312"/>
          <w:color w:val="auto"/>
          <w:sz w:val="32"/>
          <w:szCs w:val="32"/>
          <w:highlight w:val="yellow"/>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精准发力防风险守底线</w:t>
      </w:r>
      <w:r>
        <w:rPr>
          <w:rFonts w:hint="eastAsia" w:ascii="楷体" w:hAnsi="楷体" w:eastAsia="楷体" w:cs="楷体"/>
          <w:b/>
          <w:bCs/>
          <w:color w:val="auto"/>
          <w:sz w:val="32"/>
          <w:szCs w:val="32"/>
          <w:highlight w:val="none"/>
        </w:rPr>
        <w:t>。</w:t>
      </w:r>
      <w:r>
        <w:rPr>
          <w:rFonts w:hint="eastAsia" w:ascii="仿宋_GB2312" w:hAnsi="仿宋_GB2312" w:eastAsia="仿宋_GB2312" w:cs="仿宋_GB2312"/>
          <w:b/>
          <w:bCs/>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rPr>
        <w:t>是兜牢兜实“三保”底线。</w:t>
      </w:r>
      <w:r>
        <w:rPr>
          <w:rFonts w:hint="eastAsia" w:ascii="仿宋_GB2312" w:hAnsi="仿宋_GB2312" w:eastAsia="仿宋_GB2312" w:cs="仿宋_GB2312"/>
          <w:color w:val="auto"/>
          <w:sz w:val="32"/>
          <w:szCs w:val="32"/>
          <w:highlight w:val="none"/>
        </w:rPr>
        <w:t>坚持财力下沉，</w:t>
      </w:r>
      <w:r>
        <w:rPr>
          <w:rFonts w:hint="eastAsia" w:ascii="仿宋_GB2312" w:hAnsi="仿宋_GB2312" w:eastAsia="仿宋_GB2312" w:cs="仿宋_GB2312"/>
          <w:color w:val="auto"/>
          <w:sz w:val="32"/>
          <w:szCs w:val="32"/>
          <w:highlight w:val="none"/>
          <w:lang w:val="en-US" w:eastAsia="zh-CN"/>
        </w:rPr>
        <w:t>合理划分乡镇财政事权与支出责任，提高乡镇财政保障水平。打足</w:t>
      </w:r>
      <w:r>
        <w:rPr>
          <w:rFonts w:hint="eastAsia" w:ascii="仿宋_GB2312" w:hAnsi="仿宋_GB2312" w:eastAsia="仿宋_GB2312" w:cs="仿宋_GB2312"/>
          <w:color w:val="auto"/>
          <w:sz w:val="32"/>
          <w:szCs w:val="32"/>
          <w:highlight w:val="none"/>
        </w:rPr>
        <w:t>“三保”</w:t>
      </w:r>
      <w:r>
        <w:rPr>
          <w:rFonts w:hint="eastAsia" w:ascii="仿宋_GB2312" w:hAnsi="仿宋_GB2312" w:eastAsia="仿宋_GB2312" w:cs="仿宋_GB2312"/>
          <w:color w:val="auto"/>
          <w:sz w:val="32"/>
          <w:szCs w:val="32"/>
          <w:highlight w:val="none"/>
          <w:lang w:val="en-US" w:eastAsia="zh-CN"/>
        </w:rPr>
        <w:t>支出预算</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坚持</w:t>
      </w:r>
      <w:r>
        <w:rPr>
          <w:rFonts w:hint="eastAsia" w:ascii="仿宋_GB2312" w:hAnsi="仿宋_GB2312" w:eastAsia="仿宋_GB2312" w:cs="仿宋_GB2312"/>
          <w:color w:val="auto"/>
          <w:sz w:val="32"/>
          <w:szCs w:val="32"/>
          <w:highlight w:val="none"/>
        </w:rPr>
        <w:t>“三保”</w:t>
      </w:r>
      <w:r>
        <w:rPr>
          <w:rFonts w:hint="eastAsia" w:ascii="仿宋_GB2312" w:hAnsi="仿宋_GB2312" w:eastAsia="仿宋_GB2312" w:cs="仿宋_GB2312"/>
          <w:color w:val="auto"/>
          <w:sz w:val="32"/>
          <w:szCs w:val="32"/>
          <w:highlight w:val="none"/>
          <w:lang w:val="en-US" w:eastAsia="zh-CN"/>
        </w:rPr>
        <w:t>在财政支出中的优先位置，</w:t>
      </w:r>
      <w:r>
        <w:rPr>
          <w:rFonts w:hint="eastAsia" w:ascii="仿宋_GB2312" w:hAnsi="仿宋_GB2312" w:eastAsia="仿宋_GB2312" w:cs="仿宋_GB2312"/>
          <w:color w:val="auto"/>
          <w:sz w:val="32"/>
          <w:szCs w:val="32"/>
          <w:highlight w:val="none"/>
        </w:rPr>
        <w:t>严格执行财政“三保”资金专户制度，确保</w:t>
      </w:r>
      <w:r>
        <w:rPr>
          <w:rFonts w:hint="eastAsia" w:ascii="仿宋_GB2312" w:hAnsi="仿宋_GB2312" w:eastAsia="仿宋_GB2312" w:cs="仿宋_GB2312"/>
          <w:color w:val="auto"/>
          <w:sz w:val="32"/>
          <w:szCs w:val="32"/>
          <w:highlight w:val="none"/>
          <w:lang w:val="en-US" w:eastAsia="zh-CN"/>
        </w:rPr>
        <w:t>三保支出</w:t>
      </w:r>
      <w:r>
        <w:rPr>
          <w:rFonts w:hint="eastAsia" w:ascii="仿宋_GB2312" w:hAnsi="仿宋_GB2312" w:eastAsia="仿宋_GB2312" w:cs="仿宋_GB2312"/>
          <w:color w:val="auto"/>
          <w:sz w:val="32"/>
          <w:szCs w:val="32"/>
          <w:highlight w:val="none"/>
        </w:rPr>
        <w:t>及时足额拨付。</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是</w:t>
      </w:r>
      <w:r>
        <w:rPr>
          <w:rFonts w:hint="eastAsia" w:ascii="仿宋_GB2312" w:hAnsi="仿宋_GB2312" w:eastAsia="仿宋_GB2312" w:cs="仿宋_GB2312"/>
          <w:b/>
          <w:bCs/>
          <w:color w:val="auto"/>
          <w:sz w:val="32"/>
          <w:szCs w:val="32"/>
          <w:highlight w:val="none"/>
          <w:lang w:val="en-US" w:eastAsia="zh-CN"/>
        </w:rPr>
        <w:t>防范化解债务风险</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强化政府债务率指标监测及预警，规范政府举债融资行为，</w:t>
      </w:r>
      <w:r>
        <w:rPr>
          <w:rFonts w:hint="eastAsia" w:ascii="仿宋_GB2312" w:hAnsi="仿宋_GB2312" w:eastAsia="仿宋_GB2312" w:cs="仿宋_GB2312"/>
          <w:color w:val="auto"/>
          <w:sz w:val="32"/>
          <w:szCs w:val="32"/>
          <w:highlight w:val="none"/>
          <w:lang w:val="en-US" w:eastAsia="zh-CN"/>
        </w:rPr>
        <w:t>推动融资平台市场化转型，</w:t>
      </w:r>
      <w:r>
        <w:rPr>
          <w:rFonts w:hint="eastAsia" w:ascii="仿宋_GB2312" w:hAnsi="仿宋_GB2312" w:eastAsia="仿宋_GB2312" w:cs="仿宋_GB2312"/>
          <w:color w:val="auto"/>
          <w:sz w:val="32"/>
          <w:szCs w:val="32"/>
          <w:highlight w:val="none"/>
        </w:rPr>
        <w:t>坚决遏制隐性债务增量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持续挖掘国有资产盘活潜力</w:t>
      </w:r>
      <w:r>
        <w:rPr>
          <w:rFonts w:hint="eastAsia" w:ascii="仿宋_GB2312" w:hAnsi="仿宋_GB2312" w:eastAsia="仿宋_GB2312" w:cs="仿宋_GB2312"/>
          <w:color w:val="auto"/>
          <w:sz w:val="32"/>
          <w:szCs w:val="32"/>
          <w:highlight w:val="none"/>
          <w:lang w:eastAsia="zh-CN"/>
        </w:rPr>
        <w:t>，合理用好再融资政策和置换债券偿还隐性债务政策，并积极争取新增专项债券补充政府性基金财力额度，</w:t>
      </w:r>
      <w:r>
        <w:rPr>
          <w:rFonts w:hint="eastAsia" w:ascii="仿宋_GB2312" w:hAnsi="仿宋_GB2312" w:eastAsia="仿宋_GB2312" w:cs="仿宋_GB2312"/>
          <w:color w:val="auto"/>
          <w:sz w:val="32"/>
          <w:szCs w:val="32"/>
          <w:highlight w:val="none"/>
        </w:rPr>
        <w:t>稳妥化解隐性债务存量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及时足额偿还到期债务本息。</w:t>
      </w:r>
      <w:r>
        <w:rPr>
          <w:rFonts w:hint="eastAsia" w:ascii="仿宋_GB2312" w:hAnsi="仿宋_GB2312" w:eastAsia="仿宋_GB2312" w:cs="仿宋_GB2312"/>
          <w:b/>
          <w:bCs/>
          <w:color w:val="auto"/>
          <w:sz w:val="32"/>
          <w:szCs w:val="32"/>
          <w:highlight w:val="none"/>
          <w:lang w:val="en-US" w:eastAsia="zh-CN"/>
        </w:rPr>
        <w:t>三是提高财政运行稳健性。</w:t>
      </w:r>
      <w:r>
        <w:rPr>
          <w:rFonts w:hint="eastAsia" w:ascii="仿宋_GB2312" w:hAnsi="仿宋_GB2312" w:eastAsia="仿宋_GB2312" w:cs="仿宋_GB2312"/>
          <w:color w:val="auto"/>
          <w:sz w:val="32"/>
          <w:szCs w:val="32"/>
          <w:highlight w:val="none"/>
        </w:rPr>
        <w:t>加强财政运行日常分析跟踪，对“三保”执行情况、暂付款、国库库款等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开展联动监测和动态预警，及时发现问题、堵塞漏洞，确保财政运行安全。</w:t>
      </w:r>
      <w:r>
        <w:rPr>
          <w:rFonts w:hint="eastAsia" w:ascii="仿宋_GB2312" w:hAnsi="仿宋_GB2312" w:eastAsia="仿宋_GB2312" w:cs="仿宋_GB2312"/>
          <w:color w:val="auto"/>
          <w:sz w:val="32"/>
          <w:szCs w:val="32"/>
          <w:highlight w:val="none"/>
          <w:lang w:val="en-US" w:eastAsia="zh-CN"/>
        </w:rPr>
        <w:t>立足财力实际，科学安排支出，加强跨年度预算平衡，完善预算稳定调节基金机制。</w:t>
      </w:r>
    </w:p>
    <w:p w14:paraId="22B352A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各位代表，</w:t>
      </w:r>
      <w:r>
        <w:rPr>
          <w:rFonts w:hint="eastAsia" w:ascii="仿宋_GB2312" w:hAnsi="仿宋_GB2312" w:eastAsia="仿宋_GB2312" w:cs="仿宋_GB2312"/>
          <w:color w:val="auto"/>
          <w:sz w:val="32"/>
          <w:szCs w:val="32"/>
          <w:lang w:val="en-US" w:eastAsia="zh-CN"/>
        </w:rPr>
        <w:t>2025年</w:t>
      </w:r>
      <w:r>
        <w:rPr>
          <w:rFonts w:hint="eastAsia" w:ascii="仿宋_GB2312" w:hAnsi="仿宋_GB2312" w:eastAsia="仿宋_GB2312" w:cs="仿宋_GB2312"/>
          <w:color w:val="auto"/>
          <w:sz w:val="32"/>
          <w:szCs w:val="32"/>
          <w:lang w:eastAsia="zh-CN"/>
        </w:rPr>
        <w:t>是“十四五”规划的收官之年，也是“十五五”规划布局谋篇之年，做好</w:t>
      </w:r>
      <w:r>
        <w:rPr>
          <w:rFonts w:hint="eastAsia" w:ascii="仿宋_GB2312" w:hAnsi="仿宋_GB2312" w:eastAsia="仿宋_GB2312" w:cs="仿宋_GB2312"/>
          <w:color w:val="auto"/>
          <w:sz w:val="32"/>
          <w:szCs w:val="32"/>
        </w:rPr>
        <w:t>财政工作意义重大、任务艰巨、使命光荣。我们将更加紧密团结在以习近平同志为核心的党中央周围，在</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委、</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政府的正确领导下，在</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人大、</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政协和社会各界的监督支持下，锚定目标、开拓进取、真抓实干、攻坚克难，不断开创财政改革发展各项工作新局面，为</w:t>
      </w:r>
      <w:r>
        <w:rPr>
          <w:rFonts w:hint="eastAsia" w:ascii="仿宋_GB2312" w:hAnsi="仿宋_GB2312" w:eastAsia="仿宋_GB2312" w:cs="仿宋_GB2312"/>
          <w:color w:val="auto"/>
          <w:sz w:val="32"/>
          <w:szCs w:val="32"/>
          <w:lang w:val="en-US" w:eastAsia="zh-CN"/>
        </w:rPr>
        <w:t>加快</w:t>
      </w:r>
      <w:r>
        <w:rPr>
          <w:rFonts w:hint="eastAsia" w:ascii="仿宋_GB2312" w:hAnsi="仿宋_GB2312" w:eastAsia="仿宋_GB2312" w:cs="仿宋_GB2312"/>
          <w:color w:val="auto"/>
          <w:sz w:val="32"/>
          <w:szCs w:val="32"/>
        </w:rPr>
        <w:t>建设</w:t>
      </w:r>
      <w:r>
        <w:rPr>
          <w:rFonts w:hint="eastAsia" w:ascii="仿宋_GB2312" w:hAnsi="仿宋_GB2312" w:eastAsia="仿宋_GB2312" w:cs="仿宋_GB2312"/>
          <w:color w:val="auto"/>
          <w:sz w:val="32"/>
          <w:szCs w:val="32"/>
          <w:lang w:val="en-US" w:eastAsia="zh-CN"/>
        </w:rPr>
        <w:t>革命老区高质量发展先行示范区</w:t>
      </w:r>
      <w:r>
        <w:rPr>
          <w:rFonts w:hint="eastAsia" w:ascii="仿宋_GB2312" w:hAnsi="仿宋_GB2312" w:eastAsia="仿宋_GB2312" w:cs="仿宋_GB2312"/>
          <w:color w:val="auto"/>
          <w:sz w:val="32"/>
          <w:szCs w:val="32"/>
        </w:rPr>
        <w:t>，再创新时代“第一等工作”</w:t>
      </w:r>
      <w:r>
        <w:rPr>
          <w:rFonts w:hint="eastAsia" w:ascii="仿宋_GB2312" w:hAnsi="仿宋_GB2312" w:eastAsia="仿宋_GB2312" w:cs="仿宋_GB2312"/>
          <w:color w:val="auto"/>
          <w:sz w:val="32"/>
          <w:szCs w:val="32"/>
          <w:lang w:val="en-US" w:eastAsia="zh-CN"/>
        </w:rPr>
        <w:t>作出新的更大贡献！</w:t>
      </w:r>
    </w:p>
    <w:p w14:paraId="74B08F1F">
      <w:pPr>
        <w:pStyle w:val="7"/>
        <w:spacing w:line="560" w:lineRule="exact"/>
        <w:rPr>
          <w:rFonts w:hint="eastAsia"/>
          <w:color w:val="auto"/>
        </w:rPr>
      </w:pPr>
    </w:p>
    <w:p w14:paraId="2B519238">
      <w:pPr>
        <w:rPr>
          <w:rFonts w:hint="eastAsia"/>
          <w:color w:val="auto"/>
        </w:rPr>
      </w:pPr>
    </w:p>
    <w:p w14:paraId="34F0BEBE">
      <w:pPr>
        <w:pStyle w:val="2"/>
        <w:rPr>
          <w:rFonts w:hint="eastAsia"/>
          <w:color w:val="auto"/>
        </w:rPr>
      </w:pPr>
    </w:p>
    <w:p w14:paraId="28DB088C">
      <w:pPr>
        <w:rPr>
          <w:rFonts w:hint="eastAsia"/>
          <w:color w:val="auto"/>
        </w:rPr>
      </w:pPr>
    </w:p>
    <w:p w14:paraId="7B5C9464">
      <w:pPr>
        <w:pStyle w:val="2"/>
        <w:rPr>
          <w:rFonts w:hint="eastAsia"/>
          <w:color w:val="auto"/>
        </w:rPr>
      </w:pPr>
    </w:p>
    <w:p w14:paraId="1E753870">
      <w:pPr>
        <w:rPr>
          <w:rFonts w:hint="eastAsia"/>
          <w:color w:val="auto"/>
        </w:rPr>
      </w:pPr>
    </w:p>
    <w:p w14:paraId="0D1FC429">
      <w:pPr>
        <w:pStyle w:val="2"/>
        <w:rPr>
          <w:rFonts w:hint="eastAsia"/>
          <w:color w:val="auto"/>
        </w:rPr>
      </w:pPr>
    </w:p>
    <w:p w14:paraId="1E2273BC">
      <w:pPr>
        <w:rPr>
          <w:rFonts w:hint="eastAsia"/>
          <w:color w:val="auto"/>
        </w:rPr>
      </w:pPr>
    </w:p>
    <w:p w14:paraId="76E45372">
      <w:pPr>
        <w:pStyle w:val="2"/>
        <w:rPr>
          <w:rFonts w:hint="eastAsia"/>
          <w:color w:val="auto"/>
        </w:rPr>
      </w:pPr>
    </w:p>
    <w:p w14:paraId="41FF0CCF">
      <w:pPr>
        <w:rPr>
          <w:rFonts w:hint="eastAsia"/>
          <w:color w:val="auto"/>
        </w:rPr>
      </w:pPr>
    </w:p>
    <w:p w14:paraId="763EA12C">
      <w:pPr>
        <w:pStyle w:val="2"/>
        <w:rPr>
          <w:rFonts w:hint="eastAsia"/>
          <w:color w:val="auto"/>
        </w:rPr>
      </w:pPr>
    </w:p>
    <w:p w14:paraId="5216098B">
      <w:pPr>
        <w:rPr>
          <w:rFonts w:hint="eastAsia"/>
          <w:color w:val="auto"/>
        </w:rPr>
      </w:pPr>
    </w:p>
    <w:p w14:paraId="3DAB980C">
      <w:pPr>
        <w:rPr>
          <w:rFonts w:hint="eastAsia"/>
        </w:rPr>
      </w:pPr>
    </w:p>
    <w:p w14:paraId="3BDA9E67">
      <w:pPr>
        <w:pStyle w:val="2"/>
        <w:rPr>
          <w:rFonts w:hint="eastAsia"/>
        </w:rPr>
      </w:pPr>
    </w:p>
    <w:p w14:paraId="49F3193A">
      <w:pPr>
        <w:rPr>
          <w:rFonts w:hint="eastAsia"/>
        </w:rPr>
      </w:pPr>
    </w:p>
    <w:p w14:paraId="252BA0BA">
      <w:pPr>
        <w:spacing w:line="560" w:lineRule="exact"/>
        <w:jc w:val="center"/>
        <w:rPr>
          <w:rFonts w:hint="eastAsia" w:ascii="微软雅黑" w:hAnsi="微软雅黑" w:eastAsia="微软雅黑" w:cs="微软雅黑"/>
          <w:color w:val="auto"/>
          <w:sz w:val="44"/>
          <w:szCs w:val="44"/>
        </w:rPr>
      </w:pPr>
      <w:r>
        <w:rPr>
          <w:rFonts w:hint="eastAsia" w:ascii="微软雅黑" w:hAnsi="微软雅黑" w:eastAsia="微软雅黑" w:cs="微软雅黑"/>
          <w:color w:val="auto"/>
          <w:sz w:val="44"/>
          <w:szCs w:val="44"/>
        </w:rPr>
        <w:t>《预算报告》有关专用名词注释</w:t>
      </w:r>
    </w:p>
    <w:p w14:paraId="03C637DA">
      <w:pPr>
        <w:tabs>
          <w:tab w:val="left" w:pos="3719"/>
        </w:tabs>
        <w:spacing w:line="560" w:lineRule="exact"/>
        <w:rPr>
          <w:rFonts w:hint="eastAsia" w:ascii="仿宋_GB2312" w:eastAsia="仿宋_GB2312"/>
          <w:color w:val="auto"/>
          <w:sz w:val="32"/>
          <w:szCs w:val="32"/>
        </w:rPr>
      </w:pPr>
      <w:r>
        <w:rPr>
          <w:rFonts w:ascii="仿宋_GB2312" w:eastAsia="仿宋_GB2312"/>
          <w:color w:val="auto"/>
          <w:sz w:val="32"/>
          <w:szCs w:val="32"/>
        </w:rPr>
        <w:tab/>
      </w:r>
    </w:p>
    <w:p w14:paraId="6212BD25">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1</w:t>
      </w:r>
      <w:r>
        <w:rPr>
          <w:rFonts w:hint="eastAsia" w:ascii="黑体" w:hAnsi="黑体" w:eastAsia="黑体" w:cs="黑体"/>
          <w:color w:val="auto"/>
          <w:sz w:val="32"/>
          <w:szCs w:val="32"/>
        </w:rPr>
        <w:t>.一般公共预算：</w:t>
      </w:r>
      <w:r>
        <w:rPr>
          <w:rFonts w:hint="eastAsia" w:ascii="仿宋_GB2312" w:hAnsi="仿宋_GB2312" w:eastAsia="仿宋_GB2312" w:cs="仿宋_GB2312"/>
          <w:color w:val="auto"/>
          <w:sz w:val="32"/>
          <w:szCs w:val="32"/>
        </w:rPr>
        <w:t>是指对以税收为主体的财政收入，安排用于保障和改善民生、推动经济社会发展、维护国家安全、维持国家机构正常运转等方面的收支预算。</w:t>
      </w:r>
    </w:p>
    <w:p w14:paraId="548F1720">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2</w:t>
      </w:r>
      <w:r>
        <w:rPr>
          <w:rFonts w:hint="eastAsia" w:ascii="黑体" w:hAnsi="黑体" w:eastAsia="黑体" w:cs="黑体"/>
          <w:color w:val="auto"/>
          <w:sz w:val="32"/>
          <w:szCs w:val="32"/>
        </w:rPr>
        <w:t>.政府性基金预算：</w:t>
      </w:r>
      <w:r>
        <w:rPr>
          <w:rFonts w:hint="eastAsia" w:ascii="仿宋_GB2312" w:hAnsi="仿宋_GB2312" w:eastAsia="仿宋_GB2312" w:cs="仿宋_GB2312"/>
          <w:color w:val="auto"/>
          <w:sz w:val="32"/>
          <w:szCs w:val="32"/>
        </w:rPr>
        <w:t>是对依照法律、行政法规的规定在一定期限内向特定对象征收、收取或者以其他方式筹集的资金，专项用于特定公共事业发展的收支预算。</w:t>
      </w:r>
    </w:p>
    <w:p w14:paraId="20BC3C63">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3</w:t>
      </w:r>
      <w:r>
        <w:rPr>
          <w:rFonts w:hint="eastAsia" w:ascii="黑体" w:hAnsi="黑体" w:eastAsia="黑体" w:cs="黑体"/>
          <w:color w:val="auto"/>
          <w:sz w:val="32"/>
          <w:szCs w:val="32"/>
        </w:rPr>
        <w:t>.国有资本经营预算：</w:t>
      </w:r>
      <w:r>
        <w:rPr>
          <w:rFonts w:hint="eastAsia" w:ascii="仿宋_GB2312" w:hAnsi="仿宋_GB2312" w:eastAsia="仿宋_GB2312" w:cs="仿宋_GB2312"/>
          <w:color w:val="auto"/>
          <w:sz w:val="32"/>
          <w:szCs w:val="32"/>
        </w:rPr>
        <w:t>是对国有资本收益作出安排的收支预算。</w:t>
      </w:r>
    </w:p>
    <w:p w14:paraId="260029D9">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4</w:t>
      </w:r>
      <w:r>
        <w:rPr>
          <w:rFonts w:hint="eastAsia" w:ascii="黑体" w:hAnsi="黑体" w:eastAsia="黑体" w:cs="黑体"/>
          <w:color w:val="auto"/>
          <w:sz w:val="32"/>
          <w:szCs w:val="32"/>
        </w:rPr>
        <w:t>.社会保险基金预算：</w:t>
      </w:r>
      <w:r>
        <w:rPr>
          <w:rFonts w:hint="eastAsia" w:ascii="仿宋_GB2312" w:hAnsi="仿宋_GB2312" w:eastAsia="仿宋_GB2312" w:cs="仿宋_GB2312"/>
          <w:color w:val="auto"/>
          <w:sz w:val="32"/>
          <w:szCs w:val="32"/>
        </w:rPr>
        <w:t>是对社会保险缴款、一般公共预算安排和其他方式筹集的资金，专项用于社会保险的收支预算。</w:t>
      </w:r>
    </w:p>
    <w:p w14:paraId="5C1937A2">
      <w:pPr>
        <w:spacing w:line="560" w:lineRule="exact"/>
        <w:ind w:firstLine="640" w:firstLineChars="200"/>
        <w:rPr>
          <w:rFonts w:hint="eastAsia" w:ascii="黑体" w:hAnsi="黑体" w:eastAsia="黑体" w:cs="黑体"/>
          <w:color w:val="auto"/>
          <w:sz w:val="32"/>
          <w:szCs w:val="32"/>
        </w:rPr>
      </w:pPr>
      <w:r>
        <w:rPr>
          <w:rFonts w:hint="eastAsia" w:ascii="宋体" w:hAnsi="宋体" w:eastAsia="黑体" w:cs="黑体"/>
          <w:color w:val="auto"/>
          <w:sz w:val="32"/>
          <w:szCs w:val="32"/>
        </w:rPr>
        <w:t>5</w:t>
      </w:r>
      <w:r>
        <w:rPr>
          <w:rFonts w:hint="eastAsia" w:ascii="黑体" w:hAnsi="黑体" w:eastAsia="黑体" w:cs="黑体"/>
          <w:color w:val="auto"/>
          <w:sz w:val="32"/>
          <w:szCs w:val="32"/>
        </w:rPr>
        <w:t>.一般公共预算收入：</w:t>
      </w:r>
      <w:r>
        <w:rPr>
          <w:rFonts w:hint="eastAsia" w:ascii="仿宋_GB2312" w:hAnsi="仿宋_GB2312" w:eastAsia="仿宋_GB2312" w:cs="仿宋_GB2312"/>
          <w:color w:val="auto"/>
          <w:sz w:val="32"/>
          <w:szCs w:val="32"/>
        </w:rPr>
        <w:t>是指地方实际可用财力，扣除了上缴中央、省、市部分的税收收入和非税收入。</w:t>
      </w:r>
    </w:p>
    <w:p w14:paraId="3E0F548B">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6</w:t>
      </w:r>
      <w:r>
        <w:rPr>
          <w:rFonts w:hint="eastAsia" w:ascii="黑体" w:hAnsi="黑体" w:eastAsia="黑体" w:cs="黑体"/>
          <w:color w:val="auto"/>
          <w:sz w:val="32"/>
          <w:szCs w:val="32"/>
        </w:rPr>
        <w:t>.非税收入：</w:t>
      </w:r>
      <w:r>
        <w:rPr>
          <w:rFonts w:hint="eastAsia" w:ascii="仿宋_GB2312" w:hAnsi="仿宋_GB2312" w:eastAsia="仿宋_GB2312" w:cs="仿宋_GB2312"/>
          <w:color w:val="auto"/>
          <w:sz w:val="32"/>
          <w:szCs w:val="32"/>
        </w:rPr>
        <w:t>是指各级政府及其所属部门和单位依法利用行政权力、政府信誉、国家资源、国有资产或提供特定公共服务征收、收取、提取、募集的除税收以外的财政收入，包括：专项收入、行政事业性收费、罚没收入、国有资源（资产）有偿使用收入、政府性基金、以政府名义接受的捐赠收入等。</w:t>
      </w:r>
    </w:p>
    <w:p w14:paraId="55330E66">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7.</w:t>
      </w:r>
      <w:r>
        <w:rPr>
          <w:rFonts w:hint="eastAsia" w:ascii="黑体" w:hAnsi="黑体" w:eastAsia="黑体" w:cs="黑体"/>
          <w:color w:val="auto"/>
          <w:sz w:val="32"/>
          <w:szCs w:val="32"/>
        </w:rPr>
        <w:t>预备费：</w:t>
      </w:r>
      <w:r>
        <w:rPr>
          <w:rFonts w:hint="eastAsia" w:ascii="仿宋_GB2312" w:hAnsi="仿宋_GB2312" w:eastAsia="仿宋_GB2312" w:cs="仿宋_GB2312"/>
          <w:color w:val="auto"/>
          <w:sz w:val="32"/>
          <w:szCs w:val="32"/>
        </w:rPr>
        <w:t>根据</w:t>
      </w:r>
      <w:r>
        <w:rPr>
          <w:rFonts w:ascii="仿宋_GB2312" w:hAnsi="仿宋_GB2312" w:eastAsia="仿宋_GB2312" w:cs="仿宋_GB2312"/>
          <w:color w:val="auto"/>
          <w:sz w:val="32"/>
          <w:szCs w:val="32"/>
        </w:rPr>
        <w:t>《</w:t>
      </w:r>
      <w:r>
        <w:rPr>
          <w:rFonts w:ascii="仿宋_GB2312" w:hAnsi="仿宋_GB2312" w:eastAsia="仿宋_GB2312" w:cs="仿宋_GB2312"/>
          <w:color w:val="auto"/>
          <w:sz w:val="32"/>
          <w:szCs w:val="32"/>
        </w:rPr>
        <w:fldChar w:fldCharType="begin"/>
      </w:r>
      <w:r>
        <w:rPr>
          <w:rFonts w:ascii="仿宋_GB2312" w:hAnsi="仿宋_GB2312" w:eastAsia="仿宋_GB2312" w:cs="仿宋_GB2312"/>
          <w:color w:val="auto"/>
          <w:sz w:val="32"/>
          <w:szCs w:val="32"/>
        </w:rPr>
        <w:instrText xml:space="preserve"> HYPERLINK "http://baike.baidu.com/view/71849.htm" \t "_blank" </w:instrText>
      </w:r>
      <w:r>
        <w:rPr>
          <w:rFonts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lang w:eastAsia="zh-CN"/>
        </w:rPr>
        <w:t>中华人民共和国预算法</w:t>
      </w:r>
      <w:r>
        <w:rPr>
          <w:rFonts w:ascii="仿宋_GB2312" w:hAnsi="仿宋_GB2312" w:eastAsia="仿宋_GB2312" w:cs="仿宋_GB2312"/>
          <w:color w:val="auto"/>
          <w:sz w:val="32"/>
          <w:szCs w:val="32"/>
        </w:rPr>
        <w:fldChar w:fldCharType="end"/>
      </w:r>
      <w:r>
        <w:rPr>
          <w:rFonts w:ascii="仿宋_GB2312" w:hAnsi="仿宋_GB2312" w:eastAsia="仿宋_GB2312" w:cs="仿宋_GB2312"/>
          <w:color w:val="auto"/>
          <w:sz w:val="32"/>
          <w:szCs w:val="32"/>
        </w:rPr>
        <w:t>》规定“各级政府预算应当按照本级政府预算支出额的百分之一至百分之三设置预备费，用于当年预算执行中的自然灾害救灾开支及其他难以预见的特殊开支。”</w:t>
      </w:r>
    </w:p>
    <w:p w14:paraId="4BC3B4AC">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8</w:t>
      </w:r>
      <w:r>
        <w:rPr>
          <w:rFonts w:hint="eastAsia" w:ascii="黑体" w:hAnsi="黑体" w:eastAsia="黑体" w:cs="黑体"/>
          <w:color w:val="auto"/>
          <w:sz w:val="32"/>
          <w:szCs w:val="32"/>
        </w:rPr>
        <w:t>.预算稳定调节基金：</w:t>
      </w:r>
      <w:r>
        <w:rPr>
          <w:rFonts w:ascii="仿宋_GB2312" w:hAnsi="仿宋_GB2312" w:eastAsia="仿宋_GB2312" w:cs="仿宋_GB2312"/>
          <w:color w:val="auto"/>
          <w:sz w:val="32"/>
          <w:szCs w:val="32"/>
        </w:rPr>
        <w:t>是指为实现宏观调控目标，保持年度间政府预算的衔接和稳定，各级一般公共预算设置的储备性资金。一般公共预算的超收收入，除用于冲减赤字外，应当用于设置或补充预算稳定调节基金。一般公共预算的结余资金</w:t>
      </w:r>
      <w:r>
        <w:rPr>
          <w:rFonts w:hint="eastAsia" w:ascii="仿宋_GB2312" w:hAnsi="仿宋_GB2312" w:eastAsia="仿宋_GB2312" w:cs="仿宋_GB2312"/>
          <w:color w:val="auto"/>
          <w:sz w:val="32"/>
          <w:szCs w:val="32"/>
        </w:rPr>
        <w:t>及</w:t>
      </w:r>
      <w:r>
        <w:rPr>
          <w:rFonts w:ascii="仿宋_GB2312" w:hAnsi="仿宋_GB2312" w:eastAsia="仿宋_GB2312" w:cs="仿宋_GB2312"/>
          <w:color w:val="auto"/>
          <w:sz w:val="32"/>
          <w:szCs w:val="32"/>
        </w:rPr>
        <w:t>连续结转两年仍未用完的资金，应当作为结余资金补充预算稳定调节基金。</w:t>
      </w:r>
    </w:p>
    <w:p w14:paraId="148916F5">
      <w:pPr>
        <w:spacing w:line="560" w:lineRule="exact"/>
        <w:ind w:firstLine="640" w:firstLineChars="200"/>
        <w:rPr>
          <w:rFonts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9</w:t>
      </w:r>
      <w:r>
        <w:rPr>
          <w:rFonts w:hint="eastAsia" w:ascii="黑体" w:hAnsi="黑体" w:eastAsia="黑体" w:cs="黑体"/>
          <w:color w:val="auto"/>
          <w:sz w:val="32"/>
          <w:szCs w:val="32"/>
        </w:rPr>
        <w:t>.存量资金：</w:t>
      </w:r>
      <w:r>
        <w:rPr>
          <w:rFonts w:hint="eastAsia" w:ascii="仿宋_GB2312" w:hAnsi="仿宋_GB2312" w:eastAsia="仿宋_GB2312" w:cs="仿宋_GB2312"/>
          <w:color w:val="auto"/>
          <w:sz w:val="32"/>
          <w:szCs w:val="32"/>
        </w:rPr>
        <w:t>是指预算执行已完成形成的财政性结余资金和预算执行未完成而沉淀在部门单位、财政账户等暂时未使</w:t>
      </w:r>
      <w:r>
        <w:rPr>
          <w:rFonts w:hint="eastAsia" w:ascii="仿宋_GB2312" w:hAnsi="仿宋_GB2312" w:eastAsia="仿宋_GB2312" w:cs="仿宋_GB2312"/>
          <w:color w:val="auto"/>
          <w:sz w:val="32"/>
          <w:szCs w:val="32"/>
          <w:lang w:eastAsia="zh-CN"/>
        </w:rPr>
        <w:t>用的</w:t>
      </w:r>
      <w:r>
        <w:rPr>
          <w:rFonts w:hint="eastAsia" w:ascii="仿宋_GB2312" w:hAnsi="仿宋_GB2312" w:eastAsia="仿宋_GB2312" w:cs="仿宋_GB2312"/>
          <w:color w:val="auto"/>
          <w:sz w:val="32"/>
          <w:szCs w:val="32"/>
        </w:rPr>
        <w:t>财政性结转资金。</w:t>
      </w:r>
    </w:p>
    <w:p w14:paraId="4002B0EF">
      <w:pPr>
        <w:spacing w:line="560" w:lineRule="exact"/>
        <w:ind w:firstLine="640" w:firstLineChars="200"/>
        <w:rPr>
          <w:rFonts w:hint="eastAsia" w:ascii="宋体" w:hAnsi="宋体" w:eastAsia="黑体" w:cs="黑体"/>
          <w:color w:val="auto"/>
          <w:sz w:val="32"/>
          <w:szCs w:val="32"/>
        </w:rPr>
      </w:pPr>
      <w:r>
        <w:rPr>
          <w:rFonts w:hint="eastAsia" w:ascii="宋体" w:hAnsi="宋体" w:eastAsia="黑体" w:cs="黑体"/>
          <w:color w:val="auto"/>
          <w:sz w:val="32"/>
          <w:szCs w:val="32"/>
          <w:lang w:val="en-US" w:eastAsia="zh-CN"/>
        </w:rPr>
        <w:t>10.</w:t>
      </w:r>
      <w:r>
        <w:rPr>
          <w:rFonts w:hint="eastAsia" w:ascii="黑体" w:hAnsi="黑体" w:eastAsia="黑体" w:cs="黑体"/>
          <w:color w:val="auto"/>
          <w:sz w:val="32"/>
          <w:szCs w:val="32"/>
        </w:rPr>
        <w:t>民生支出：</w:t>
      </w:r>
      <w:r>
        <w:rPr>
          <w:rFonts w:hint="eastAsia" w:ascii="仿宋_GB2312" w:hAnsi="仿宋_GB2312" w:eastAsia="仿宋_GB2312" w:cs="仿宋_GB2312"/>
          <w:color w:val="auto"/>
          <w:sz w:val="32"/>
          <w:szCs w:val="32"/>
        </w:rPr>
        <w:t>参照财政部有关统计办法，将13个大类及其所有款项级科目列为民生领域支出统计范围，包括：教育、科学技术、文化旅游体育与传媒、社会保障和就业、卫生健康、节能环保、城乡社区、农林水、交通运输、商业服务、自然资源、住房保障、粮油物资储备。</w:t>
      </w:r>
    </w:p>
    <w:p w14:paraId="52DDB4F1">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1</w:t>
      </w:r>
      <w:r>
        <w:rPr>
          <w:rFonts w:hint="eastAsia" w:ascii="宋体" w:hAnsi="宋体" w:eastAsia="黑体" w:cs="黑体"/>
          <w:color w:val="auto"/>
          <w:sz w:val="32"/>
          <w:szCs w:val="32"/>
          <w:lang w:val="en-US" w:eastAsia="zh-CN"/>
        </w:rPr>
        <w:t>1</w:t>
      </w:r>
      <w:r>
        <w:rPr>
          <w:rFonts w:hint="eastAsia" w:ascii="黑体" w:hAnsi="黑体" w:eastAsia="黑体" w:cs="黑体"/>
          <w:color w:val="auto"/>
          <w:sz w:val="32"/>
          <w:szCs w:val="32"/>
        </w:rPr>
        <w:t>.“三公”经费：</w:t>
      </w:r>
      <w:r>
        <w:rPr>
          <w:rFonts w:hint="eastAsia" w:ascii="仿宋_GB2312" w:hAnsi="仿宋_GB2312" w:eastAsia="仿宋_GB2312" w:cs="仿宋_GB2312"/>
          <w:color w:val="auto"/>
          <w:sz w:val="32"/>
          <w:szCs w:val="32"/>
        </w:rPr>
        <w:t>是指因公出国（境）费、公务用车购置及运行费和公务接待费。</w:t>
      </w:r>
    </w:p>
    <w:p w14:paraId="6C9E88E8">
      <w:pPr>
        <w:spacing w:line="560" w:lineRule="exact"/>
        <w:ind w:firstLine="640" w:firstLineChars="200"/>
        <w:rPr>
          <w:rFonts w:ascii="仿宋_GB2312" w:hAnsi="仿宋_GB2312" w:eastAsia="仿宋_GB2312" w:cs="仿宋_GB2312"/>
          <w:color w:val="auto"/>
          <w:sz w:val="32"/>
          <w:szCs w:val="32"/>
        </w:rPr>
      </w:pPr>
      <w:r>
        <w:rPr>
          <w:rFonts w:hint="eastAsia" w:ascii="宋体" w:hAnsi="宋体" w:eastAsia="黑体" w:cs="黑体"/>
          <w:color w:val="auto"/>
          <w:sz w:val="32"/>
          <w:szCs w:val="32"/>
        </w:rPr>
        <w:t>1</w:t>
      </w:r>
      <w:r>
        <w:rPr>
          <w:rFonts w:hint="eastAsia" w:ascii="宋体" w:hAnsi="宋体" w:eastAsia="黑体" w:cs="黑体"/>
          <w:color w:val="auto"/>
          <w:sz w:val="32"/>
          <w:szCs w:val="32"/>
          <w:lang w:val="en-US" w:eastAsia="zh-CN"/>
        </w:rPr>
        <w:t>2</w:t>
      </w:r>
      <w:r>
        <w:rPr>
          <w:rFonts w:hint="eastAsia" w:ascii="黑体" w:hAnsi="黑体" w:eastAsia="黑体" w:cs="黑体"/>
          <w:color w:val="auto"/>
          <w:sz w:val="32"/>
          <w:szCs w:val="32"/>
        </w:rPr>
        <w:t>.民生类支出：</w:t>
      </w:r>
      <w:r>
        <w:rPr>
          <w:rFonts w:hint="eastAsia" w:ascii="仿宋_GB2312" w:hAnsi="仿宋_GB2312" w:eastAsia="仿宋_GB2312" w:cs="仿宋_GB2312"/>
          <w:color w:val="auto"/>
          <w:sz w:val="32"/>
          <w:szCs w:val="32"/>
        </w:rPr>
        <w:t>是指按</w:t>
      </w:r>
      <w:r>
        <w:rPr>
          <w:rFonts w:hint="eastAsia" w:ascii="宋体" w:hAnsi="宋体" w:eastAsia="仿宋_GB2312" w:cs="仿宋_GB2312"/>
          <w:color w:val="auto"/>
          <w:sz w:val="32"/>
          <w:szCs w:val="32"/>
        </w:rPr>
        <w:t>2016</w:t>
      </w:r>
      <w:r>
        <w:rPr>
          <w:rFonts w:hint="eastAsia" w:ascii="仿宋_GB2312" w:hAnsi="仿宋_GB2312" w:eastAsia="仿宋_GB2312" w:cs="仿宋_GB2312"/>
          <w:color w:val="auto"/>
          <w:sz w:val="32"/>
          <w:szCs w:val="32"/>
        </w:rPr>
        <w:t>年起省口径统计，含教育、科技、文化、社保、卫生、环保、城乡社区、农林水、交通、商业、自然资源、住房、粮油等支出。</w:t>
      </w:r>
    </w:p>
    <w:p w14:paraId="3098245F">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13</w:t>
      </w:r>
      <w:r>
        <w:rPr>
          <w:rFonts w:hint="eastAsia" w:ascii="黑体" w:hAnsi="黑体" w:eastAsia="黑体" w:cs="黑体"/>
          <w:color w:val="auto"/>
          <w:sz w:val="32"/>
          <w:szCs w:val="32"/>
        </w:rPr>
        <w:t>.三大战略：</w:t>
      </w:r>
      <w:r>
        <w:rPr>
          <w:rFonts w:hint="eastAsia" w:ascii="仿宋_GB2312" w:hAnsi="仿宋_GB2312" w:eastAsia="仿宋_GB2312" w:cs="仿宋_GB2312"/>
          <w:color w:val="auto"/>
          <w:sz w:val="32"/>
          <w:szCs w:val="32"/>
        </w:rPr>
        <w:t>是指新时代赣南苏区振兴发展、打造对接融入粤港澳大湾区桥头堡、建设省域副中心城市。</w:t>
      </w:r>
    </w:p>
    <w:p w14:paraId="1108662F">
      <w:pPr>
        <w:spacing w:line="560" w:lineRule="exact"/>
        <w:ind w:firstLine="640" w:firstLineChars="200"/>
        <w:rPr>
          <w:rFonts w:hint="default"/>
          <w:color w:val="auto"/>
          <w:lang w:val="en-US" w:eastAsia="zh-CN"/>
        </w:rPr>
      </w:pPr>
      <w:r>
        <w:rPr>
          <w:rFonts w:hint="eastAsia" w:ascii="宋体" w:hAnsi="宋体" w:eastAsia="黑体" w:cs="黑体"/>
          <w:color w:val="auto"/>
          <w:sz w:val="32"/>
          <w:szCs w:val="32"/>
        </w:rPr>
        <w:t>1</w:t>
      </w:r>
      <w:r>
        <w:rPr>
          <w:rFonts w:hint="eastAsia" w:ascii="宋体" w:hAnsi="宋体" w:eastAsia="黑体" w:cs="黑体"/>
          <w:color w:val="auto"/>
          <w:sz w:val="32"/>
          <w:szCs w:val="32"/>
          <w:lang w:val="en-US" w:eastAsia="zh-CN"/>
        </w:rPr>
        <w:t>4</w:t>
      </w:r>
      <w:r>
        <w:rPr>
          <w:rFonts w:hint="eastAsia" w:ascii="黑体" w:hAnsi="黑体" w:eastAsia="黑体" w:cs="黑体"/>
          <w:color w:val="auto"/>
          <w:sz w:val="32"/>
          <w:szCs w:val="32"/>
        </w:rPr>
        <w:t>.八大行动：</w:t>
      </w:r>
      <w:r>
        <w:rPr>
          <w:rFonts w:hint="eastAsia" w:ascii="仿宋_GB2312" w:hAnsi="仿宋_GB2312" w:eastAsia="仿宋_GB2312" w:cs="仿宋_GB2312"/>
          <w:color w:val="auto"/>
          <w:sz w:val="32"/>
          <w:szCs w:val="32"/>
        </w:rPr>
        <w:t>是指工业倍增升级、科技创新赋能、深化改革开放、乡村全面振兴、城市能级提升、美丽赣州建设、提高民生品质、党建质量过硬。</w:t>
      </w:r>
    </w:p>
    <w:sectPr>
      <w:footerReference r:id="rId3" w:type="default"/>
      <w:footerReference r:id="rId4" w:type="even"/>
      <w:pgSz w:w="11849" w:h="16781"/>
      <w:pgMar w:top="1327" w:right="1689" w:bottom="1327" w:left="1689" w:header="851" w:footer="992" w:gutter="0"/>
      <w:pgNumType w:fmt="numberInDash"/>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B396B9-17B7-4422-803E-D26C1B1B7A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embedRegular r:id="rId2" w:fontKey="{5B4FD092-C562-4D74-ACC8-EB25C9FE5ED8}"/>
  </w:font>
  <w:font w:name="微软雅黑">
    <w:panose1 w:val="020B0503020204020204"/>
    <w:charset w:val="86"/>
    <w:family w:val="swiss"/>
    <w:pitch w:val="default"/>
    <w:sig w:usb0="80000287" w:usb1="2ACF3C50" w:usb2="00000016" w:usb3="00000000" w:csb0="0004001F" w:csb1="00000000"/>
    <w:embedRegular r:id="rId3" w:fontKey="{82AE4835-7B2C-4A2E-820A-87497AA588E9}"/>
  </w:font>
  <w:font w:name="方正公文小标宋">
    <w:panose1 w:val="02000500000000000000"/>
    <w:charset w:val="86"/>
    <w:family w:val="auto"/>
    <w:pitch w:val="default"/>
    <w:sig w:usb0="A00002BF" w:usb1="38CF7CFA" w:usb2="00000016" w:usb3="00000000" w:csb0="00040001" w:csb1="00000000"/>
    <w:embedRegular r:id="rId4" w:fontKey="{D4945FBF-72D3-43D8-8A6D-1BB5BCAA11B2}"/>
  </w:font>
  <w:font w:name="楷体">
    <w:panose1 w:val="02010609060101010101"/>
    <w:charset w:val="86"/>
    <w:family w:val="modern"/>
    <w:pitch w:val="default"/>
    <w:sig w:usb0="800002BF" w:usb1="38CF7CFA" w:usb2="00000016" w:usb3="00000000" w:csb0="00040001" w:csb1="00000000"/>
    <w:embedRegular r:id="rId5" w:fontKey="{17CA7AF1-75D8-437C-A273-D02BF47BB1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01795">
    <w:pPr>
      <w:pStyle w:val="12"/>
      <w:tabs>
        <w:tab w:val="left" w:pos="2943"/>
        <w:tab w:val="clear" w:pos="4153"/>
      </w:tabs>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posOffset>4910455</wp:posOffset>
              </wp:positionH>
              <wp:positionV relativeFrom="paragraph">
                <wp:posOffset>0</wp:posOffset>
              </wp:positionV>
              <wp:extent cx="46863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468630" cy="1828800"/>
                      </a:xfrm>
                      <a:prstGeom prst="rect">
                        <a:avLst/>
                      </a:prstGeom>
                      <a:noFill/>
                      <a:ln w="15875">
                        <a:noFill/>
                      </a:ln>
                    </wps:spPr>
                    <wps:txbx>
                      <w:txbxContent>
                        <w:p w14:paraId="796D6697">
                          <w:pPr>
                            <w:snapToGrid w:val="0"/>
                            <w:rPr>
                              <w:rFonts w:hint="eastAsia"/>
                              <w:sz w:val="18"/>
                            </w:rPr>
                          </w:pPr>
                          <w:r>
                            <w:rPr>
                              <w:rFonts w:hint="eastAsia"/>
                              <w:sz w:val="28"/>
                            </w:rPr>
                            <w:fldChar w:fldCharType="begin"/>
                          </w:r>
                          <w:r>
                            <w:rPr>
                              <w:rFonts w:hint="eastAsia"/>
                              <w:sz w:val="28"/>
                            </w:rPr>
                            <w:instrText xml:space="preserve"> PAGE  \* MERGEFORMAT </w:instrText>
                          </w:r>
                          <w:r>
                            <w:rPr>
                              <w:rFonts w:hint="eastAsia"/>
                              <w:sz w:val="28"/>
                            </w:rPr>
                            <w:fldChar w:fldCharType="separate"/>
                          </w:r>
                          <w:r>
                            <w:rPr>
                              <w:sz w:val="28"/>
                            </w:rPr>
                            <w:t>- 13 -</w:t>
                          </w:r>
                          <w:r>
                            <w:rPr>
                              <w:rFonts w:hint="eastAsia"/>
                              <w:sz w:val="28"/>
                            </w:rPr>
                            <w:fldChar w:fldCharType="end"/>
                          </w:r>
                        </w:p>
                      </w:txbxContent>
                    </wps:txbx>
                    <wps:bodyPr wrap="square" lIns="0" tIns="0" rIns="0" bIns="0" upright="0">
                      <a:spAutoFit/>
                    </wps:bodyPr>
                  </wps:wsp>
                </a:graphicData>
              </a:graphic>
            </wp:anchor>
          </w:drawing>
        </mc:Choice>
        <mc:Fallback>
          <w:pict>
            <v:shape id="文本框 2" o:spid="_x0000_s1026" o:spt="202" type="#_x0000_t202" style="position:absolute;left:0pt;margin-left:386.65pt;margin-top:0pt;height:144pt;width:36.9pt;mso-position-horizontal-relative:margin;z-index:251659264;mso-width-relative:page;mso-height-relative:page;" filled="f" stroked="f" coordsize="21600,21600" o:gfxdata="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r6NjHYAAAACAEAAA8AAAAAAAAA&#10;AQAgAAAAIgAAAGRycy9kb3ducmV2LnhtbFBLAQIUABQAAAAIAIdO4kAkaXfL2AEAAKQDAAAOAAAA&#10;AAAAAAEAIAAAACcBAABkcnMvZTJvRG9jLnhtbFBLBQYAAAAABgAGAFkBAABxBQAAAAA=&#10;">
              <v:fill on="f" focussize="0,0"/>
              <v:stroke on="f" weight="1.25pt"/>
              <v:imagedata o:title=""/>
              <o:lock v:ext="edit" aspectratio="f"/>
              <v:textbox inset="0mm,0mm,0mm,0mm" style="mso-fit-shape-to-text:t;">
                <w:txbxContent>
                  <w:p w14:paraId="796D6697">
                    <w:pPr>
                      <w:snapToGrid w:val="0"/>
                      <w:rPr>
                        <w:rFonts w:hint="eastAsia"/>
                        <w:sz w:val="18"/>
                      </w:rPr>
                    </w:pPr>
                    <w:r>
                      <w:rPr>
                        <w:rFonts w:hint="eastAsia"/>
                        <w:sz w:val="28"/>
                      </w:rPr>
                      <w:fldChar w:fldCharType="begin"/>
                    </w:r>
                    <w:r>
                      <w:rPr>
                        <w:rFonts w:hint="eastAsia"/>
                        <w:sz w:val="28"/>
                      </w:rPr>
                      <w:instrText xml:space="preserve"> PAGE  \* MERGEFORMAT </w:instrText>
                    </w:r>
                    <w:r>
                      <w:rPr>
                        <w:rFonts w:hint="eastAsia"/>
                        <w:sz w:val="28"/>
                      </w:rPr>
                      <w:fldChar w:fldCharType="separate"/>
                    </w:r>
                    <w:r>
                      <w:rPr>
                        <w:sz w:val="28"/>
                      </w:rPr>
                      <w:t>- 13 -</w:t>
                    </w:r>
                    <w:r>
                      <w:rPr>
                        <w:rFonts w:hint="eastAsia"/>
                        <w:sz w:val="28"/>
                      </w:rPr>
                      <w:fldChar w:fldCharType="end"/>
                    </w:r>
                  </w:p>
                </w:txbxContent>
              </v:textbox>
            </v:shape>
          </w:pict>
        </mc:Fallback>
      </mc:AlternateContent>
    </w:r>
    <w:r>
      <w:rPr>
        <w:rFonts w:hint="eastAsia"/>
        <w:sz w:val="2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F6E78">
    <w:pPr>
      <w:pStyle w:val="1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45955F3">
                          <w:pPr>
                            <w:snapToGrid w:val="0"/>
                            <w:rPr>
                              <w:rFonts w:hint="eastAsia"/>
                              <w:sz w:val="18"/>
                            </w:rPr>
                          </w:pPr>
                          <w:r>
                            <w:rPr>
                              <w:rFonts w:hint="eastAsia"/>
                              <w:sz w:val="28"/>
                            </w:rPr>
                            <w:t xml:space="preserve">  </w:t>
                          </w:r>
                          <w:r>
                            <w:rPr>
                              <w:rFonts w:hint="eastAsia"/>
                              <w:sz w:val="28"/>
                            </w:rPr>
                            <w:fldChar w:fldCharType="begin"/>
                          </w:r>
                          <w:r>
                            <w:rPr>
                              <w:rFonts w:hint="eastAsia"/>
                              <w:sz w:val="28"/>
                            </w:rPr>
                            <w:instrText xml:space="preserve"> PAGE  \* MERGEFORMAT </w:instrText>
                          </w:r>
                          <w:r>
                            <w:rPr>
                              <w:rFonts w:hint="eastAsia"/>
                              <w:sz w:val="28"/>
                            </w:rPr>
                            <w:fldChar w:fldCharType="separate"/>
                          </w:r>
                          <w:r>
                            <w:rPr>
                              <w:sz w:val="28"/>
                            </w:rPr>
                            <w:t>- 14 -</w:t>
                          </w:r>
                          <w:r>
                            <w:rPr>
                              <w:rFonts w:hint="eastAsia"/>
                              <w:sz w:val="28"/>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k08bHSAQAAowMAAA4AAABkcnMvZTJvRG9jLnhtbK1TS27bMBDd&#10;F8gdCO5jKS7S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W1Dl5RYZnDgp58/Tr/+&#10;nH5/J2+TPL2HGrMePebF4YMbcGnme8DLxHqQwaQv8iEYR3GPZ3HFEAlPj6plVZUY4hibHcQvnp77&#10;APFeOEOS0dCA08uissNHiGPqnJKqWXentM4T1Jb0iHpdvb/OL84hRNcWiyQWY7fJisN2mKhtXXtE&#10;Zj2uQEMtbjwl+sGiwmlbZiPMxnY29j6oXZfXKbUC/nYfsZ3cZaowwk6FcXaZ57RnaTn+9XPW07+1&#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TTxsdIBAACjAwAADgAAAAAAAAABACAAAAAi&#10;AQAAZHJzL2Uyb0RvYy54bWxQSwUGAAAAAAYABgBZAQAAZgUAAAAA&#10;">
              <v:fill on="f" focussize="0,0"/>
              <v:stroke on="f" weight="1.25pt"/>
              <v:imagedata o:title=""/>
              <o:lock v:ext="edit" aspectratio="f"/>
              <v:textbox inset="0mm,0mm,0mm,0mm" style="mso-fit-shape-to-text:t;">
                <w:txbxContent>
                  <w:p w14:paraId="545955F3">
                    <w:pPr>
                      <w:snapToGrid w:val="0"/>
                      <w:rPr>
                        <w:rFonts w:hint="eastAsia"/>
                        <w:sz w:val="18"/>
                      </w:rPr>
                    </w:pPr>
                    <w:r>
                      <w:rPr>
                        <w:rFonts w:hint="eastAsia"/>
                        <w:sz w:val="28"/>
                      </w:rPr>
                      <w:t xml:space="preserve">  </w:t>
                    </w:r>
                    <w:r>
                      <w:rPr>
                        <w:rFonts w:hint="eastAsia"/>
                        <w:sz w:val="28"/>
                      </w:rPr>
                      <w:fldChar w:fldCharType="begin"/>
                    </w:r>
                    <w:r>
                      <w:rPr>
                        <w:rFonts w:hint="eastAsia"/>
                        <w:sz w:val="28"/>
                      </w:rPr>
                      <w:instrText xml:space="preserve"> PAGE  \* MERGEFORMAT </w:instrText>
                    </w:r>
                    <w:r>
                      <w:rPr>
                        <w:rFonts w:hint="eastAsia"/>
                        <w:sz w:val="28"/>
                      </w:rPr>
                      <w:fldChar w:fldCharType="separate"/>
                    </w:r>
                    <w:r>
                      <w:rPr>
                        <w:sz w:val="28"/>
                      </w:rPr>
                      <w:t>- 14 -</w:t>
                    </w:r>
                    <w:r>
                      <w:rPr>
                        <w:rFonts w:hint="eastAsia"/>
                        <w:sz w:val="28"/>
                      </w:rPr>
                      <w:fldChar w:fldCharType="end"/>
                    </w:r>
                  </w:p>
                </w:txbxContent>
              </v:textbox>
            </v:shape>
          </w:pict>
        </mc:Fallback>
      </mc:AlternateContent>
    </w: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hlODExODA5MjA5MjRhZWIzYTY3NjYwNGQ0YmEifQ=="/>
  </w:docVars>
  <w:rsids>
    <w:rsidRoot w:val="00C551AD"/>
    <w:rsid w:val="00000E13"/>
    <w:rsid w:val="000051D3"/>
    <w:rsid w:val="00087E4B"/>
    <w:rsid w:val="000D6EF4"/>
    <w:rsid w:val="000E666B"/>
    <w:rsid w:val="001125B5"/>
    <w:rsid w:val="001364B5"/>
    <w:rsid w:val="001A0DD2"/>
    <w:rsid w:val="001A6D1B"/>
    <w:rsid w:val="001B02B8"/>
    <w:rsid w:val="001C1210"/>
    <w:rsid w:val="001D7729"/>
    <w:rsid w:val="001E320C"/>
    <w:rsid w:val="002205ED"/>
    <w:rsid w:val="002333B2"/>
    <w:rsid w:val="00255261"/>
    <w:rsid w:val="00262E36"/>
    <w:rsid w:val="002812AA"/>
    <w:rsid w:val="002A6370"/>
    <w:rsid w:val="002B08B0"/>
    <w:rsid w:val="002C31C7"/>
    <w:rsid w:val="002E0C2B"/>
    <w:rsid w:val="003550AC"/>
    <w:rsid w:val="00362B66"/>
    <w:rsid w:val="00383259"/>
    <w:rsid w:val="00422492"/>
    <w:rsid w:val="00474DA5"/>
    <w:rsid w:val="00484E1F"/>
    <w:rsid w:val="004C0FE8"/>
    <w:rsid w:val="004D72A7"/>
    <w:rsid w:val="004F457A"/>
    <w:rsid w:val="00500003"/>
    <w:rsid w:val="00505EC2"/>
    <w:rsid w:val="00551FCB"/>
    <w:rsid w:val="005C2E77"/>
    <w:rsid w:val="005F02BD"/>
    <w:rsid w:val="0062495D"/>
    <w:rsid w:val="00630B1E"/>
    <w:rsid w:val="00634437"/>
    <w:rsid w:val="006837B6"/>
    <w:rsid w:val="00686600"/>
    <w:rsid w:val="006929A5"/>
    <w:rsid w:val="006A2F3A"/>
    <w:rsid w:val="006D6996"/>
    <w:rsid w:val="00715B0C"/>
    <w:rsid w:val="007520FA"/>
    <w:rsid w:val="007A791D"/>
    <w:rsid w:val="007C512F"/>
    <w:rsid w:val="007F2766"/>
    <w:rsid w:val="008206BC"/>
    <w:rsid w:val="008449C1"/>
    <w:rsid w:val="00855FD3"/>
    <w:rsid w:val="0088280B"/>
    <w:rsid w:val="008B3F2B"/>
    <w:rsid w:val="00907D8D"/>
    <w:rsid w:val="0091193C"/>
    <w:rsid w:val="00932E31"/>
    <w:rsid w:val="00936575"/>
    <w:rsid w:val="00951956"/>
    <w:rsid w:val="009669F9"/>
    <w:rsid w:val="00A17D59"/>
    <w:rsid w:val="00A43B3E"/>
    <w:rsid w:val="00A46F7A"/>
    <w:rsid w:val="00A523A9"/>
    <w:rsid w:val="00A53821"/>
    <w:rsid w:val="00A94EEA"/>
    <w:rsid w:val="00AA37D1"/>
    <w:rsid w:val="00AD0AC2"/>
    <w:rsid w:val="00B11AC6"/>
    <w:rsid w:val="00B331EE"/>
    <w:rsid w:val="00B406C6"/>
    <w:rsid w:val="00B611DB"/>
    <w:rsid w:val="00B64155"/>
    <w:rsid w:val="00B76DB4"/>
    <w:rsid w:val="00C00A21"/>
    <w:rsid w:val="00C12485"/>
    <w:rsid w:val="00C2410B"/>
    <w:rsid w:val="00C551AD"/>
    <w:rsid w:val="00C67673"/>
    <w:rsid w:val="00CA1A7C"/>
    <w:rsid w:val="00CE499D"/>
    <w:rsid w:val="00D35551"/>
    <w:rsid w:val="00D71FE0"/>
    <w:rsid w:val="00DE3026"/>
    <w:rsid w:val="00E44761"/>
    <w:rsid w:val="00E60D9E"/>
    <w:rsid w:val="00E8160A"/>
    <w:rsid w:val="00F12F7F"/>
    <w:rsid w:val="00F1594B"/>
    <w:rsid w:val="00F25147"/>
    <w:rsid w:val="00F30C19"/>
    <w:rsid w:val="00F63DE1"/>
    <w:rsid w:val="00FB0447"/>
    <w:rsid w:val="00FC1A78"/>
    <w:rsid w:val="00FD14F1"/>
    <w:rsid w:val="01026585"/>
    <w:rsid w:val="01073939"/>
    <w:rsid w:val="010D6029"/>
    <w:rsid w:val="011E2A15"/>
    <w:rsid w:val="012362E8"/>
    <w:rsid w:val="015E3254"/>
    <w:rsid w:val="01704F6B"/>
    <w:rsid w:val="017A5EE1"/>
    <w:rsid w:val="017D1035"/>
    <w:rsid w:val="01934841"/>
    <w:rsid w:val="01A321C0"/>
    <w:rsid w:val="01A45F0C"/>
    <w:rsid w:val="01A65EE9"/>
    <w:rsid w:val="01A70EBD"/>
    <w:rsid w:val="01B1034C"/>
    <w:rsid w:val="01B3073E"/>
    <w:rsid w:val="01BC25F2"/>
    <w:rsid w:val="01C04B77"/>
    <w:rsid w:val="01C36F7C"/>
    <w:rsid w:val="01C44F11"/>
    <w:rsid w:val="01C905F4"/>
    <w:rsid w:val="01D71C8E"/>
    <w:rsid w:val="01DD5D91"/>
    <w:rsid w:val="01E91BD2"/>
    <w:rsid w:val="01F84CCA"/>
    <w:rsid w:val="021111F4"/>
    <w:rsid w:val="021D229B"/>
    <w:rsid w:val="0220385F"/>
    <w:rsid w:val="022C1602"/>
    <w:rsid w:val="022D67CE"/>
    <w:rsid w:val="0234023C"/>
    <w:rsid w:val="024E4954"/>
    <w:rsid w:val="02522C1D"/>
    <w:rsid w:val="02535CBD"/>
    <w:rsid w:val="025D08EA"/>
    <w:rsid w:val="0275209C"/>
    <w:rsid w:val="028E49B0"/>
    <w:rsid w:val="029E24DB"/>
    <w:rsid w:val="02A20953"/>
    <w:rsid w:val="02A21979"/>
    <w:rsid w:val="02AC112D"/>
    <w:rsid w:val="02C64590"/>
    <w:rsid w:val="02C92560"/>
    <w:rsid w:val="02CB30B3"/>
    <w:rsid w:val="02CD6133"/>
    <w:rsid w:val="02DA375D"/>
    <w:rsid w:val="02EF7454"/>
    <w:rsid w:val="03012368"/>
    <w:rsid w:val="03104CE8"/>
    <w:rsid w:val="031E5C84"/>
    <w:rsid w:val="03200D4D"/>
    <w:rsid w:val="032218AE"/>
    <w:rsid w:val="032C2EEE"/>
    <w:rsid w:val="032D42D4"/>
    <w:rsid w:val="03304250"/>
    <w:rsid w:val="0333073E"/>
    <w:rsid w:val="0333738A"/>
    <w:rsid w:val="033F3136"/>
    <w:rsid w:val="034004E6"/>
    <w:rsid w:val="03437ECE"/>
    <w:rsid w:val="034C35E3"/>
    <w:rsid w:val="035622E0"/>
    <w:rsid w:val="036B7C01"/>
    <w:rsid w:val="03887F9B"/>
    <w:rsid w:val="038B218A"/>
    <w:rsid w:val="039C658F"/>
    <w:rsid w:val="03A55BE7"/>
    <w:rsid w:val="03AB6A9E"/>
    <w:rsid w:val="03B037DA"/>
    <w:rsid w:val="03B25C95"/>
    <w:rsid w:val="03B544CB"/>
    <w:rsid w:val="03C95AF7"/>
    <w:rsid w:val="03DC6164"/>
    <w:rsid w:val="03E621FD"/>
    <w:rsid w:val="03EB5323"/>
    <w:rsid w:val="03F0056A"/>
    <w:rsid w:val="03F57A29"/>
    <w:rsid w:val="03FE1E5C"/>
    <w:rsid w:val="043D35C8"/>
    <w:rsid w:val="04466EA1"/>
    <w:rsid w:val="04466F0B"/>
    <w:rsid w:val="04535DCA"/>
    <w:rsid w:val="04613B41"/>
    <w:rsid w:val="0463553E"/>
    <w:rsid w:val="0466328C"/>
    <w:rsid w:val="046A426C"/>
    <w:rsid w:val="04956A18"/>
    <w:rsid w:val="04A24CDA"/>
    <w:rsid w:val="04A45689"/>
    <w:rsid w:val="04AE0F51"/>
    <w:rsid w:val="04B213C1"/>
    <w:rsid w:val="04B801D4"/>
    <w:rsid w:val="04C365FC"/>
    <w:rsid w:val="04C677F3"/>
    <w:rsid w:val="04D4604F"/>
    <w:rsid w:val="0508764E"/>
    <w:rsid w:val="0509642B"/>
    <w:rsid w:val="050A30DE"/>
    <w:rsid w:val="05105CB3"/>
    <w:rsid w:val="05207D97"/>
    <w:rsid w:val="05323D6B"/>
    <w:rsid w:val="05375FBA"/>
    <w:rsid w:val="055446CC"/>
    <w:rsid w:val="05547667"/>
    <w:rsid w:val="056A3E8B"/>
    <w:rsid w:val="05845C52"/>
    <w:rsid w:val="05874B72"/>
    <w:rsid w:val="05910CAE"/>
    <w:rsid w:val="05B56CA4"/>
    <w:rsid w:val="05C97924"/>
    <w:rsid w:val="05CD45AB"/>
    <w:rsid w:val="05CE0CE0"/>
    <w:rsid w:val="05DB3B27"/>
    <w:rsid w:val="05E61E44"/>
    <w:rsid w:val="05EC0902"/>
    <w:rsid w:val="05F2086C"/>
    <w:rsid w:val="05F50E0B"/>
    <w:rsid w:val="05F872A7"/>
    <w:rsid w:val="05F95594"/>
    <w:rsid w:val="06241FDD"/>
    <w:rsid w:val="0631342B"/>
    <w:rsid w:val="063319C6"/>
    <w:rsid w:val="063E5FC3"/>
    <w:rsid w:val="06420522"/>
    <w:rsid w:val="064A310D"/>
    <w:rsid w:val="064D557B"/>
    <w:rsid w:val="065B3AA4"/>
    <w:rsid w:val="065B6D80"/>
    <w:rsid w:val="06676DD0"/>
    <w:rsid w:val="066E3E00"/>
    <w:rsid w:val="06726444"/>
    <w:rsid w:val="06793BF7"/>
    <w:rsid w:val="068648B3"/>
    <w:rsid w:val="069C1AB1"/>
    <w:rsid w:val="069F1F64"/>
    <w:rsid w:val="06A87EB1"/>
    <w:rsid w:val="06DE46EF"/>
    <w:rsid w:val="06EF1BFA"/>
    <w:rsid w:val="06FB140E"/>
    <w:rsid w:val="06FD08ED"/>
    <w:rsid w:val="070457D8"/>
    <w:rsid w:val="070553D2"/>
    <w:rsid w:val="07062D43"/>
    <w:rsid w:val="070A3E4D"/>
    <w:rsid w:val="070D5977"/>
    <w:rsid w:val="070F6823"/>
    <w:rsid w:val="071719EF"/>
    <w:rsid w:val="07351E4A"/>
    <w:rsid w:val="074B2399"/>
    <w:rsid w:val="07513835"/>
    <w:rsid w:val="0756228D"/>
    <w:rsid w:val="075E5538"/>
    <w:rsid w:val="076F3776"/>
    <w:rsid w:val="07803957"/>
    <w:rsid w:val="0782359B"/>
    <w:rsid w:val="078271F4"/>
    <w:rsid w:val="078311D0"/>
    <w:rsid w:val="0788352A"/>
    <w:rsid w:val="07891B4F"/>
    <w:rsid w:val="079404E3"/>
    <w:rsid w:val="07A57248"/>
    <w:rsid w:val="07BD6854"/>
    <w:rsid w:val="07CA3ABF"/>
    <w:rsid w:val="07D53466"/>
    <w:rsid w:val="07D82E58"/>
    <w:rsid w:val="07E83483"/>
    <w:rsid w:val="07EA70C4"/>
    <w:rsid w:val="08054004"/>
    <w:rsid w:val="0818024B"/>
    <w:rsid w:val="082A4EA5"/>
    <w:rsid w:val="082B768C"/>
    <w:rsid w:val="08355733"/>
    <w:rsid w:val="083C0672"/>
    <w:rsid w:val="0844376C"/>
    <w:rsid w:val="08574746"/>
    <w:rsid w:val="085A3B66"/>
    <w:rsid w:val="087627CB"/>
    <w:rsid w:val="08795152"/>
    <w:rsid w:val="087E5CDB"/>
    <w:rsid w:val="088E5F97"/>
    <w:rsid w:val="08950021"/>
    <w:rsid w:val="08955D7F"/>
    <w:rsid w:val="08994096"/>
    <w:rsid w:val="089C15A7"/>
    <w:rsid w:val="089D4136"/>
    <w:rsid w:val="08AB6332"/>
    <w:rsid w:val="08B530D7"/>
    <w:rsid w:val="08C07E24"/>
    <w:rsid w:val="08D10C7C"/>
    <w:rsid w:val="08D13662"/>
    <w:rsid w:val="08EC50BE"/>
    <w:rsid w:val="08EE40BA"/>
    <w:rsid w:val="08FC1410"/>
    <w:rsid w:val="09036616"/>
    <w:rsid w:val="090E2C6D"/>
    <w:rsid w:val="090F5477"/>
    <w:rsid w:val="091C3B6F"/>
    <w:rsid w:val="09221146"/>
    <w:rsid w:val="09221B43"/>
    <w:rsid w:val="093B2254"/>
    <w:rsid w:val="094008BD"/>
    <w:rsid w:val="09402206"/>
    <w:rsid w:val="094B475E"/>
    <w:rsid w:val="09624905"/>
    <w:rsid w:val="097A7A65"/>
    <w:rsid w:val="097A7DB4"/>
    <w:rsid w:val="099A2423"/>
    <w:rsid w:val="09A114E8"/>
    <w:rsid w:val="09A910F2"/>
    <w:rsid w:val="09AC21E6"/>
    <w:rsid w:val="09AF42AD"/>
    <w:rsid w:val="09BE680A"/>
    <w:rsid w:val="09C25C8C"/>
    <w:rsid w:val="09DA58D6"/>
    <w:rsid w:val="09E0252C"/>
    <w:rsid w:val="09EF09C1"/>
    <w:rsid w:val="09F34F1A"/>
    <w:rsid w:val="0A006073"/>
    <w:rsid w:val="0A0F076F"/>
    <w:rsid w:val="0A14795A"/>
    <w:rsid w:val="0A287A2F"/>
    <w:rsid w:val="0A316600"/>
    <w:rsid w:val="0A3E7253"/>
    <w:rsid w:val="0A4331B0"/>
    <w:rsid w:val="0A491B70"/>
    <w:rsid w:val="0A537A88"/>
    <w:rsid w:val="0A5C545F"/>
    <w:rsid w:val="0A6273E5"/>
    <w:rsid w:val="0A7308BD"/>
    <w:rsid w:val="0A7E460A"/>
    <w:rsid w:val="0A857205"/>
    <w:rsid w:val="0A8F2703"/>
    <w:rsid w:val="0AAA534E"/>
    <w:rsid w:val="0ABB5473"/>
    <w:rsid w:val="0AE855B6"/>
    <w:rsid w:val="0AEB1A28"/>
    <w:rsid w:val="0AEE7CD2"/>
    <w:rsid w:val="0AF731A5"/>
    <w:rsid w:val="0AFB0B12"/>
    <w:rsid w:val="0AFD408F"/>
    <w:rsid w:val="0B03580B"/>
    <w:rsid w:val="0B0E6B22"/>
    <w:rsid w:val="0B0F6490"/>
    <w:rsid w:val="0B101674"/>
    <w:rsid w:val="0B3319BF"/>
    <w:rsid w:val="0B3534F9"/>
    <w:rsid w:val="0B395399"/>
    <w:rsid w:val="0B423EAE"/>
    <w:rsid w:val="0B44317F"/>
    <w:rsid w:val="0B4465B1"/>
    <w:rsid w:val="0B6B55CC"/>
    <w:rsid w:val="0B836CDB"/>
    <w:rsid w:val="0B893969"/>
    <w:rsid w:val="0B903ADE"/>
    <w:rsid w:val="0B924951"/>
    <w:rsid w:val="0B9734A5"/>
    <w:rsid w:val="0B9D1DE4"/>
    <w:rsid w:val="0BA37F8B"/>
    <w:rsid w:val="0BA61D0B"/>
    <w:rsid w:val="0BD702C5"/>
    <w:rsid w:val="0BE7321B"/>
    <w:rsid w:val="0BF2368F"/>
    <w:rsid w:val="0BFD7D1A"/>
    <w:rsid w:val="0C1320A0"/>
    <w:rsid w:val="0C145633"/>
    <w:rsid w:val="0C34155B"/>
    <w:rsid w:val="0C6A0921"/>
    <w:rsid w:val="0C6D2E3F"/>
    <w:rsid w:val="0C7B4F7B"/>
    <w:rsid w:val="0C806D80"/>
    <w:rsid w:val="0C8B6791"/>
    <w:rsid w:val="0C8F7A34"/>
    <w:rsid w:val="0C9662AD"/>
    <w:rsid w:val="0C9927BA"/>
    <w:rsid w:val="0CB00B08"/>
    <w:rsid w:val="0CBD2A85"/>
    <w:rsid w:val="0CF3574A"/>
    <w:rsid w:val="0CFA107F"/>
    <w:rsid w:val="0CFC3CC5"/>
    <w:rsid w:val="0D0235AC"/>
    <w:rsid w:val="0D0B3FBD"/>
    <w:rsid w:val="0D1312A3"/>
    <w:rsid w:val="0D2B7F62"/>
    <w:rsid w:val="0D2C1E27"/>
    <w:rsid w:val="0D3D27A1"/>
    <w:rsid w:val="0D3E2A93"/>
    <w:rsid w:val="0D43445F"/>
    <w:rsid w:val="0D457785"/>
    <w:rsid w:val="0D4E1EA3"/>
    <w:rsid w:val="0D6624B0"/>
    <w:rsid w:val="0D6C2329"/>
    <w:rsid w:val="0D6F5634"/>
    <w:rsid w:val="0D7116ED"/>
    <w:rsid w:val="0D724825"/>
    <w:rsid w:val="0D726386"/>
    <w:rsid w:val="0D746601"/>
    <w:rsid w:val="0D945E5C"/>
    <w:rsid w:val="0D97664D"/>
    <w:rsid w:val="0DB35682"/>
    <w:rsid w:val="0DBC1251"/>
    <w:rsid w:val="0DC7755F"/>
    <w:rsid w:val="0DE9051D"/>
    <w:rsid w:val="0DF41772"/>
    <w:rsid w:val="0E1055E0"/>
    <w:rsid w:val="0E2F2746"/>
    <w:rsid w:val="0E361D41"/>
    <w:rsid w:val="0E387376"/>
    <w:rsid w:val="0E44162C"/>
    <w:rsid w:val="0E4C5684"/>
    <w:rsid w:val="0E4D7C82"/>
    <w:rsid w:val="0E527771"/>
    <w:rsid w:val="0E543298"/>
    <w:rsid w:val="0E650C2A"/>
    <w:rsid w:val="0E9A3205"/>
    <w:rsid w:val="0E9E29CC"/>
    <w:rsid w:val="0EA113A5"/>
    <w:rsid w:val="0EA13631"/>
    <w:rsid w:val="0EA514F4"/>
    <w:rsid w:val="0EA9796C"/>
    <w:rsid w:val="0EB04EFF"/>
    <w:rsid w:val="0EB34C1E"/>
    <w:rsid w:val="0EB47643"/>
    <w:rsid w:val="0EB85D58"/>
    <w:rsid w:val="0EBB4752"/>
    <w:rsid w:val="0EDE2DB2"/>
    <w:rsid w:val="0EE62F86"/>
    <w:rsid w:val="0EEB19F6"/>
    <w:rsid w:val="0EF6412A"/>
    <w:rsid w:val="0EF962CE"/>
    <w:rsid w:val="0EFD4C7A"/>
    <w:rsid w:val="0F0B6105"/>
    <w:rsid w:val="0F312F05"/>
    <w:rsid w:val="0F35300F"/>
    <w:rsid w:val="0F3A448D"/>
    <w:rsid w:val="0F4201D8"/>
    <w:rsid w:val="0F4A0006"/>
    <w:rsid w:val="0F507BF7"/>
    <w:rsid w:val="0F5372FC"/>
    <w:rsid w:val="0F5A68DD"/>
    <w:rsid w:val="0F5D4AAA"/>
    <w:rsid w:val="0F6012D9"/>
    <w:rsid w:val="0F645405"/>
    <w:rsid w:val="0F697713"/>
    <w:rsid w:val="0F790002"/>
    <w:rsid w:val="0F7B5DD3"/>
    <w:rsid w:val="0F7C0AAB"/>
    <w:rsid w:val="0F8035BA"/>
    <w:rsid w:val="0F8740DC"/>
    <w:rsid w:val="0F910C78"/>
    <w:rsid w:val="0F933657"/>
    <w:rsid w:val="0F9B1CA8"/>
    <w:rsid w:val="0FA140FF"/>
    <w:rsid w:val="0FAD4388"/>
    <w:rsid w:val="0FB71AAB"/>
    <w:rsid w:val="0FB747D6"/>
    <w:rsid w:val="0FC70C96"/>
    <w:rsid w:val="0FDE5652"/>
    <w:rsid w:val="0FE95C97"/>
    <w:rsid w:val="100E1930"/>
    <w:rsid w:val="100F2D66"/>
    <w:rsid w:val="101308AE"/>
    <w:rsid w:val="101C357C"/>
    <w:rsid w:val="102444D4"/>
    <w:rsid w:val="1037079D"/>
    <w:rsid w:val="104135F9"/>
    <w:rsid w:val="10430F71"/>
    <w:rsid w:val="104332F9"/>
    <w:rsid w:val="104E02CD"/>
    <w:rsid w:val="10601A53"/>
    <w:rsid w:val="10701A6B"/>
    <w:rsid w:val="108A5CD6"/>
    <w:rsid w:val="10933CC8"/>
    <w:rsid w:val="109C463C"/>
    <w:rsid w:val="109F7A8E"/>
    <w:rsid w:val="10C20D1F"/>
    <w:rsid w:val="10E843C0"/>
    <w:rsid w:val="11081E6F"/>
    <w:rsid w:val="11371C04"/>
    <w:rsid w:val="1149406E"/>
    <w:rsid w:val="11594B04"/>
    <w:rsid w:val="11721EE9"/>
    <w:rsid w:val="11961AC6"/>
    <w:rsid w:val="11A0594F"/>
    <w:rsid w:val="11A8150F"/>
    <w:rsid w:val="11AA6189"/>
    <w:rsid w:val="11AC53EA"/>
    <w:rsid w:val="11BC34F8"/>
    <w:rsid w:val="11C35858"/>
    <w:rsid w:val="11D0462C"/>
    <w:rsid w:val="11D51CD8"/>
    <w:rsid w:val="11E019AD"/>
    <w:rsid w:val="11EF72F9"/>
    <w:rsid w:val="11F01C89"/>
    <w:rsid w:val="11FA3D7B"/>
    <w:rsid w:val="1202723F"/>
    <w:rsid w:val="12030439"/>
    <w:rsid w:val="12055C3D"/>
    <w:rsid w:val="121019C5"/>
    <w:rsid w:val="121F5BBC"/>
    <w:rsid w:val="12317A34"/>
    <w:rsid w:val="124B31D4"/>
    <w:rsid w:val="12572A47"/>
    <w:rsid w:val="12584B22"/>
    <w:rsid w:val="1275081E"/>
    <w:rsid w:val="127E4C67"/>
    <w:rsid w:val="128814F2"/>
    <w:rsid w:val="128F4AEF"/>
    <w:rsid w:val="12930D2F"/>
    <w:rsid w:val="12A743E5"/>
    <w:rsid w:val="12B06E00"/>
    <w:rsid w:val="12BF7968"/>
    <w:rsid w:val="12ED1BF1"/>
    <w:rsid w:val="13001300"/>
    <w:rsid w:val="130623CB"/>
    <w:rsid w:val="13192412"/>
    <w:rsid w:val="13311779"/>
    <w:rsid w:val="133A7976"/>
    <w:rsid w:val="13481E86"/>
    <w:rsid w:val="13543D44"/>
    <w:rsid w:val="135703EF"/>
    <w:rsid w:val="135B6285"/>
    <w:rsid w:val="1367030D"/>
    <w:rsid w:val="136B6D29"/>
    <w:rsid w:val="136B6F3E"/>
    <w:rsid w:val="138049AA"/>
    <w:rsid w:val="13A42DDE"/>
    <w:rsid w:val="13AF1FEB"/>
    <w:rsid w:val="13AF6159"/>
    <w:rsid w:val="13B328F1"/>
    <w:rsid w:val="13B81E24"/>
    <w:rsid w:val="13D56436"/>
    <w:rsid w:val="13E02F66"/>
    <w:rsid w:val="13E643CA"/>
    <w:rsid w:val="13EC0359"/>
    <w:rsid w:val="13F653D3"/>
    <w:rsid w:val="140E5EE8"/>
    <w:rsid w:val="14106EB6"/>
    <w:rsid w:val="14153B2B"/>
    <w:rsid w:val="141775F0"/>
    <w:rsid w:val="142077BA"/>
    <w:rsid w:val="142425D3"/>
    <w:rsid w:val="14330B78"/>
    <w:rsid w:val="14454B5E"/>
    <w:rsid w:val="145333F8"/>
    <w:rsid w:val="14543EE1"/>
    <w:rsid w:val="1458787C"/>
    <w:rsid w:val="146975C2"/>
    <w:rsid w:val="1478624B"/>
    <w:rsid w:val="147D4EE1"/>
    <w:rsid w:val="14850045"/>
    <w:rsid w:val="14A7532A"/>
    <w:rsid w:val="14AA3642"/>
    <w:rsid w:val="14C74E04"/>
    <w:rsid w:val="14E54C73"/>
    <w:rsid w:val="14F64C4A"/>
    <w:rsid w:val="14F77C6A"/>
    <w:rsid w:val="14FE5683"/>
    <w:rsid w:val="150F2E19"/>
    <w:rsid w:val="152155DB"/>
    <w:rsid w:val="152D6875"/>
    <w:rsid w:val="15356371"/>
    <w:rsid w:val="153F6B7A"/>
    <w:rsid w:val="15414DD4"/>
    <w:rsid w:val="15495F44"/>
    <w:rsid w:val="156269CE"/>
    <w:rsid w:val="156D5289"/>
    <w:rsid w:val="157B6A82"/>
    <w:rsid w:val="157B75AD"/>
    <w:rsid w:val="15854DA9"/>
    <w:rsid w:val="15883946"/>
    <w:rsid w:val="158E7B6D"/>
    <w:rsid w:val="15902FD5"/>
    <w:rsid w:val="1594184F"/>
    <w:rsid w:val="15952A39"/>
    <w:rsid w:val="1599086A"/>
    <w:rsid w:val="15A17122"/>
    <w:rsid w:val="15A229B1"/>
    <w:rsid w:val="15AD0291"/>
    <w:rsid w:val="15B34F99"/>
    <w:rsid w:val="15FF5B48"/>
    <w:rsid w:val="16083062"/>
    <w:rsid w:val="1632221E"/>
    <w:rsid w:val="165F1468"/>
    <w:rsid w:val="16610D57"/>
    <w:rsid w:val="1663715F"/>
    <w:rsid w:val="16682151"/>
    <w:rsid w:val="167372B2"/>
    <w:rsid w:val="167F5AC9"/>
    <w:rsid w:val="168F1E49"/>
    <w:rsid w:val="16986218"/>
    <w:rsid w:val="169E79F7"/>
    <w:rsid w:val="16AF4B7B"/>
    <w:rsid w:val="16B06EC7"/>
    <w:rsid w:val="16B21DA0"/>
    <w:rsid w:val="16B37E05"/>
    <w:rsid w:val="16B45853"/>
    <w:rsid w:val="16B8525E"/>
    <w:rsid w:val="16C867F1"/>
    <w:rsid w:val="16E91B19"/>
    <w:rsid w:val="170E03DC"/>
    <w:rsid w:val="171518E5"/>
    <w:rsid w:val="17195864"/>
    <w:rsid w:val="171A0FE3"/>
    <w:rsid w:val="172A4DE7"/>
    <w:rsid w:val="1730771C"/>
    <w:rsid w:val="173F6840"/>
    <w:rsid w:val="17400DFD"/>
    <w:rsid w:val="17481EDC"/>
    <w:rsid w:val="17497DAE"/>
    <w:rsid w:val="175D344A"/>
    <w:rsid w:val="176C4FC1"/>
    <w:rsid w:val="177E331D"/>
    <w:rsid w:val="178139B5"/>
    <w:rsid w:val="17852268"/>
    <w:rsid w:val="178F37BE"/>
    <w:rsid w:val="179A64AA"/>
    <w:rsid w:val="17A44AA6"/>
    <w:rsid w:val="17C76AD9"/>
    <w:rsid w:val="17DC16F2"/>
    <w:rsid w:val="17EA0FC8"/>
    <w:rsid w:val="17F87FF9"/>
    <w:rsid w:val="17FA3505"/>
    <w:rsid w:val="18041513"/>
    <w:rsid w:val="18050F1F"/>
    <w:rsid w:val="1811420A"/>
    <w:rsid w:val="18212E7D"/>
    <w:rsid w:val="184D2CCD"/>
    <w:rsid w:val="1853036D"/>
    <w:rsid w:val="185C36C6"/>
    <w:rsid w:val="18683AAB"/>
    <w:rsid w:val="186A046A"/>
    <w:rsid w:val="186E2EB5"/>
    <w:rsid w:val="186F08E9"/>
    <w:rsid w:val="18741031"/>
    <w:rsid w:val="187632FF"/>
    <w:rsid w:val="1877100A"/>
    <w:rsid w:val="18775A6B"/>
    <w:rsid w:val="18814EDA"/>
    <w:rsid w:val="188350F6"/>
    <w:rsid w:val="188A4390"/>
    <w:rsid w:val="18901C97"/>
    <w:rsid w:val="18945A48"/>
    <w:rsid w:val="18B26813"/>
    <w:rsid w:val="18BD1C8B"/>
    <w:rsid w:val="18D078F4"/>
    <w:rsid w:val="18DA6902"/>
    <w:rsid w:val="18F74591"/>
    <w:rsid w:val="18F90F15"/>
    <w:rsid w:val="18FC1DC4"/>
    <w:rsid w:val="19000699"/>
    <w:rsid w:val="19027B3C"/>
    <w:rsid w:val="190E1244"/>
    <w:rsid w:val="191B4BBD"/>
    <w:rsid w:val="19267CD5"/>
    <w:rsid w:val="192F0F2F"/>
    <w:rsid w:val="194B54E8"/>
    <w:rsid w:val="196779EF"/>
    <w:rsid w:val="19732CF3"/>
    <w:rsid w:val="199D1DD7"/>
    <w:rsid w:val="19A620CB"/>
    <w:rsid w:val="19BA45F5"/>
    <w:rsid w:val="19C2617D"/>
    <w:rsid w:val="19D42B02"/>
    <w:rsid w:val="19D72AD6"/>
    <w:rsid w:val="19EE34FF"/>
    <w:rsid w:val="19FA5152"/>
    <w:rsid w:val="1A005AC8"/>
    <w:rsid w:val="1A0119B8"/>
    <w:rsid w:val="1A046C70"/>
    <w:rsid w:val="1A065826"/>
    <w:rsid w:val="1A0A63E2"/>
    <w:rsid w:val="1A170D54"/>
    <w:rsid w:val="1A227D47"/>
    <w:rsid w:val="1A273A29"/>
    <w:rsid w:val="1A345F7C"/>
    <w:rsid w:val="1A3C6290"/>
    <w:rsid w:val="1A3E72FA"/>
    <w:rsid w:val="1A4932A0"/>
    <w:rsid w:val="1A584F56"/>
    <w:rsid w:val="1A6254DF"/>
    <w:rsid w:val="1A713745"/>
    <w:rsid w:val="1A781D72"/>
    <w:rsid w:val="1A804351"/>
    <w:rsid w:val="1A836528"/>
    <w:rsid w:val="1A8526FE"/>
    <w:rsid w:val="1A8F58DA"/>
    <w:rsid w:val="1A93093A"/>
    <w:rsid w:val="1AA14E4D"/>
    <w:rsid w:val="1AAD645B"/>
    <w:rsid w:val="1AB03877"/>
    <w:rsid w:val="1AB07E2D"/>
    <w:rsid w:val="1AB1333C"/>
    <w:rsid w:val="1AB2594F"/>
    <w:rsid w:val="1AB83707"/>
    <w:rsid w:val="1ABC3FDC"/>
    <w:rsid w:val="1AC32460"/>
    <w:rsid w:val="1AC52DA3"/>
    <w:rsid w:val="1AEB698D"/>
    <w:rsid w:val="1AF539D8"/>
    <w:rsid w:val="1B1069E9"/>
    <w:rsid w:val="1B1A7004"/>
    <w:rsid w:val="1B262483"/>
    <w:rsid w:val="1B2E0E84"/>
    <w:rsid w:val="1B303C99"/>
    <w:rsid w:val="1B414DF5"/>
    <w:rsid w:val="1B4433F4"/>
    <w:rsid w:val="1B46240B"/>
    <w:rsid w:val="1B5375DA"/>
    <w:rsid w:val="1B593EEC"/>
    <w:rsid w:val="1B69338B"/>
    <w:rsid w:val="1B7627C1"/>
    <w:rsid w:val="1B7E0F11"/>
    <w:rsid w:val="1B81648E"/>
    <w:rsid w:val="1B8540BA"/>
    <w:rsid w:val="1B8A1024"/>
    <w:rsid w:val="1B9227DD"/>
    <w:rsid w:val="1B927ACA"/>
    <w:rsid w:val="1BA17641"/>
    <w:rsid w:val="1BAA299A"/>
    <w:rsid w:val="1BB073C8"/>
    <w:rsid w:val="1BB81C0F"/>
    <w:rsid w:val="1BD57567"/>
    <w:rsid w:val="1BDD519D"/>
    <w:rsid w:val="1BDE43F2"/>
    <w:rsid w:val="1BF52F8A"/>
    <w:rsid w:val="1C0025BA"/>
    <w:rsid w:val="1C2D3615"/>
    <w:rsid w:val="1C3039CA"/>
    <w:rsid w:val="1C3B03DD"/>
    <w:rsid w:val="1C3D5348"/>
    <w:rsid w:val="1C4076CB"/>
    <w:rsid w:val="1C5365F7"/>
    <w:rsid w:val="1C5D1FC3"/>
    <w:rsid w:val="1C691FE2"/>
    <w:rsid w:val="1C6C3060"/>
    <w:rsid w:val="1C7612DB"/>
    <w:rsid w:val="1C79060E"/>
    <w:rsid w:val="1C7E71F2"/>
    <w:rsid w:val="1C8E1074"/>
    <w:rsid w:val="1C8F1687"/>
    <w:rsid w:val="1CA15CD3"/>
    <w:rsid w:val="1CA2284B"/>
    <w:rsid w:val="1CAD724B"/>
    <w:rsid w:val="1CB02232"/>
    <w:rsid w:val="1CB12626"/>
    <w:rsid w:val="1CC22B60"/>
    <w:rsid w:val="1CC47A8B"/>
    <w:rsid w:val="1CCB706C"/>
    <w:rsid w:val="1CCC78CE"/>
    <w:rsid w:val="1CD31A7D"/>
    <w:rsid w:val="1CD372D9"/>
    <w:rsid w:val="1CEB7434"/>
    <w:rsid w:val="1CEC2380"/>
    <w:rsid w:val="1CF15789"/>
    <w:rsid w:val="1CF75960"/>
    <w:rsid w:val="1CF8129C"/>
    <w:rsid w:val="1CFF7501"/>
    <w:rsid w:val="1D0460DA"/>
    <w:rsid w:val="1D0E02C4"/>
    <w:rsid w:val="1D100F23"/>
    <w:rsid w:val="1D1250C3"/>
    <w:rsid w:val="1D1B34DB"/>
    <w:rsid w:val="1D24008B"/>
    <w:rsid w:val="1D2447E2"/>
    <w:rsid w:val="1D2D0F81"/>
    <w:rsid w:val="1D3B604D"/>
    <w:rsid w:val="1D507571"/>
    <w:rsid w:val="1D587CFF"/>
    <w:rsid w:val="1D615C0B"/>
    <w:rsid w:val="1D6175C2"/>
    <w:rsid w:val="1D754CC0"/>
    <w:rsid w:val="1D8747B8"/>
    <w:rsid w:val="1D8F0D6E"/>
    <w:rsid w:val="1D972DEA"/>
    <w:rsid w:val="1D9D13F1"/>
    <w:rsid w:val="1DA5166B"/>
    <w:rsid w:val="1DB01DBE"/>
    <w:rsid w:val="1DB969DB"/>
    <w:rsid w:val="1DD417EB"/>
    <w:rsid w:val="1DD7575C"/>
    <w:rsid w:val="1DDA3467"/>
    <w:rsid w:val="1DE2134C"/>
    <w:rsid w:val="1DE635A3"/>
    <w:rsid w:val="1DE933AF"/>
    <w:rsid w:val="1E24145B"/>
    <w:rsid w:val="1E3C3274"/>
    <w:rsid w:val="1E761259"/>
    <w:rsid w:val="1E8E55FB"/>
    <w:rsid w:val="1EB01CDB"/>
    <w:rsid w:val="1EBF2F3A"/>
    <w:rsid w:val="1EC61661"/>
    <w:rsid w:val="1ECD711C"/>
    <w:rsid w:val="1ED046BF"/>
    <w:rsid w:val="1EE16B66"/>
    <w:rsid w:val="1EE16FB7"/>
    <w:rsid w:val="1EFA2311"/>
    <w:rsid w:val="1F00634E"/>
    <w:rsid w:val="1F0819A7"/>
    <w:rsid w:val="1F297C54"/>
    <w:rsid w:val="1F4D40E8"/>
    <w:rsid w:val="1F517F08"/>
    <w:rsid w:val="1F647A3E"/>
    <w:rsid w:val="1F882FF2"/>
    <w:rsid w:val="1F910542"/>
    <w:rsid w:val="1F957045"/>
    <w:rsid w:val="1FA2768B"/>
    <w:rsid w:val="1FAD7C53"/>
    <w:rsid w:val="1FBE07BE"/>
    <w:rsid w:val="1FC475AA"/>
    <w:rsid w:val="1FD51A80"/>
    <w:rsid w:val="1FFA0C50"/>
    <w:rsid w:val="2000527E"/>
    <w:rsid w:val="200D799B"/>
    <w:rsid w:val="200E61C6"/>
    <w:rsid w:val="20193680"/>
    <w:rsid w:val="201A444A"/>
    <w:rsid w:val="20216FA3"/>
    <w:rsid w:val="20226A7F"/>
    <w:rsid w:val="20320E9B"/>
    <w:rsid w:val="20330EE3"/>
    <w:rsid w:val="2035566D"/>
    <w:rsid w:val="20461FEA"/>
    <w:rsid w:val="205729C5"/>
    <w:rsid w:val="2057679F"/>
    <w:rsid w:val="206152CC"/>
    <w:rsid w:val="20A032E9"/>
    <w:rsid w:val="20AD0D92"/>
    <w:rsid w:val="20B10DD1"/>
    <w:rsid w:val="20BA64B6"/>
    <w:rsid w:val="20C80141"/>
    <w:rsid w:val="20C95EAD"/>
    <w:rsid w:val="20D57744"/>
    <w:rsid w:val="20D90C8E"/>
    <w:rsid w:val="20D914BD"/>
    <w:rsid w:val="20E56F68"/>
    <w:rsid w:val="20EC4740"/>
    <w:rsid w:val="20FD17BE"/>
    <w:rsid w:val="210E4605"/>
    <w:rsid w:val="21110B26"/>
    <w:rsid w:val="21276E25"/>
    <w:rsid w:val="2139763B"/>
    <w:rsid w:val="214A3F2E"/>
    <w:rsid w:val="21547DA9"/>
    <w:rsid w:val="215F2CAE"/>
    <w:rsid w:val="216058A9"/>
    <w:rsid w:val="216776DE"/>
    <w:rsid w:val="21701406"/>
    <w:rsid w:val="217171C6"/>
    <w:rsid w:val="21812B13"/>
    <w:rsid w:val="2188552B"/>
    <w:rsid w:val="21886475"/>
    <w:rsid w:val="219F701D"/>
    <w:rsid w:val="21A33569"/>
    <w:rsid w:val="21A36C41"/>
    <w:rsid w:val="21AE3C52"/>
    <w:rsid w:val="21B24CE0"/>
    <w:rsid w:val="21BB6372"/>
    <w:rsid w:val="21C430DA"/>
    <w:rsid w:val="21CF315A"/>
    <w:rsid w:val="21DD6273"/>
    <w:rsid w:val="21E87D78"/>
    <w:rsid w:val="223102EF"/>
    <w:rsid w:val="223D39FC"/>
    <w:rsid w:val="2247129B"/>
    <w:rsid w:val="22483BEB"/>
    <w:rsid w:val="224B625B"/>
    <w:rsid w:val="224F7DF7"/>
    <w:rsid w:val="22531398"/>
    <w:rsid w:val="22550914"/>
    <w:rsid w:val="22576D5E"/>
    <w:rsid w:val="227914EF"/>
    <w:rsid w:val="228C741B"/>
    <w:rsid w:val="22924D39"/>
    <w:rsid w:val="22A91F57"/>
    <w:rsid w:val="22AE5276"/>
    <w:rsid w:val="22AF5D59"/>
    <w:rsid w:val="22C26D78"/>
    <w:rsid w:val="22C55A01"/>
    <w:rsid w:val="22CB467C"/>
    <w:rsid w:val="22CC31F6"/>
    <w:rsid w:val="22D14300"/>
    <w:rsid w:val="22DB0C27"/>
    <w:rsid w:val="22E76282"/>
    <w:rsid w:val="22FD382D"/>
    <w:rsid w:val="230E3AD5"/>
    <w:rsid w:val="23116C14"/>
    <w:rsid w:val="23190781"/>
    <w:rsid w:val="23246F9A"/>
    <w:rsid w:val="232F7124"/>
    <w:rsid w:val="233D435E"/>
    <w:rsid w:val="2340308F"/>
    <w:rsid w:val="2345689A"/>
    <w:rsid w:val="235A5E8C"/>
    <w:rsid w:val="235D4796"/>
    <w:rsid w:val="23600403"/>
    <w:rsid w:val="23607DE2"/>
    <w:rsid w:val="23720A3C"/>
    <w:rsid w:val="23743AAA"/>
    <w:rsid w:val="23747909"/>
    <w:rsid w:val="237657BC"/>
    <w:rsid w:val="238B32B3"/>
    <w:rsid w:val="23A26197"/>
    <w:rsid w:val="23A3664D"/>
    <w:rsid w:val="23A5059F"/>
    <w:rsid w:val="23A9729F"/>
    <w:rsid w:val="23B819CC"/>
    <w:rsid w:val="23BA5744"/>
    <w:rsid w:val="23C82347"/>
    <w:rsid w:val="23D31E63"/>
    <w:rsid w:val="23DC6465"/>
    <w:rsid w:val="24055140"/>
    <w:rsid w:val="240B7858"/>
    <w:rsid w:val="24294678"/>
    <w:rsid w:val="242D503F"/>
    <w:rsid w:val="24476997"/>
    <w:rsid w:val="244A12C1"/>
    <w:rsid w:val="24561E09"/>
    <w:rsid w:val="24581F81"/>
    <w:rsid w:val="245F7C32"/>
    <w:rsid w:val="246C1A3B"/>
    <w:rsid w:val="246F652F"/>
    <w:rsid w:val="247527C3"/>
    <w:rsid w:val="248A12CA"/>
    <w:rsid w:val="248F0177"/>
    <w:rsid w:val="24904219"/>
    <w:rsid w:val="249069D4"/>
    <w:rsid w:val="24920B3C"/>
    <w:rsid w:val="249C51C6"/>
    <w:rsid w:val="24B37EEB"/>
    <w:rsid w:val="24BC219B"/>
    <w:rsid w:val="24D1402E"/>
    <w:rsid w:val="24D21183"/>
    <w:rsid w:val="24D25416"/>
    <w:rsid w:val="24D947C1"/>
    <w:rsid w:val="24E92BE7"/>
    <w:rsid w:val="24F536AF"/>
    <w:rsid w:val="250D216B"/>
    <w:rsid w:val="25185CBA"/>
    <w:rsid w:val="251B0465"/>
    <w:rsid w:val="25280D4C"/>
    <w:rsid w:val="252B7153"/>
    <w:rsid w:val="253D03B3"/>
    <w:rsid w:val="25430923"/>
    <w:rsid w:val="25676C13"/>
    <w:rsid w:val="258640EA"/>
    <w:rsid w:val="258B5575"/>
    <w:rsid w:val="25966ECC"/>
    <w:rsid w:val="25B03DE2"/>
    <w:rsid w:val="25B30DB6"/>
    <w:rsid w:val="25C6700E"/>
    <w:rsid w:val="25EA65C0"/>
    <w:rsid w:val="25F162E7"/>
    <w:rsid w:val="25F82554"/>
    <w:rsid w:val="26135FB7"/>
    <w:rsid w:val="26315F61"/>
    <w:rsid w:val="26342E27"/>
    <w:rsid w:val="2639067A"/>
    <w:rsid w:val="263B3C74"/>
    <w:rsid w:val="26413EFB"/>
    <w:rsid w:val="265D72DC"/>
    <w:rsid w:val="26821FE9"/>
    <w:rsid w:val="269149E0"/>
    <w:rsid w:val="269D1654"/>
    <w:rsid w:val="26A10E3D"/>
    <w:rsid w:val="26AC79F8"/>
    <w:rsid w:val="26CC05B2"/>
    <w:rsid w:val="26D25B67"/>
    <w:rsid w:val="26E37F9A"/>
    <w:rsid w:val="26F64CE5"/>
    <w:rsid w:val="27052A3F"/>
    <w:rsid w:val="270F7B55"/>
    <w:rsid w:val="27184EB6"/>
    <w:rsid w:val="27187FC2"/>
    <w:rsid w:val="271B09A4"/>
    <w:rsid w:val="272621CD"/>
    <w:rsid w:val="272C0D99"/>
    <w:rsid w:val="272F597E"/>
    <w:rsid w:val="274071E7"/>
    <w:rsid w:val="27640806"/>
    <w:rsid w:val="27670D2C"/>
    <w:rsid w:val="276F3DFD"/>
    <w:rsid w:val="278621F6"/>
    <w:rsid w:val="27894419"/>
    <w:rsid w:val="278C44DB"/>
    <w:rsid w:val="27902DB4"/>
    <w:rsid w:val="27973C0C"/>
    <w:rsid w:val="279A0675"/>
    <w:rsid w:val="27A967FD"/>
    <w:rsid w:val="27AC6CF4"/>
    <w:rsid w:val="27B4197F"/>
    <w:rsid w:val="27C016C2"/>
    <w:rsid w:val="27CA6D35"/>
    <w:rsid w:val="27D11B30"/>
    <w:rsid w:val="27DD762A"/>
    <w:rsid w:val="27E2390D"/>
    <w:rsid w:val="27F331A7"/>
    <w:rsid w:val="27F45608"/>
    <w:rsid w:val="27F80F82"/>
    <w:rsid w:val="27FF40CA"/>
    <w:rsid w:val="2804163F"/>
    <w:rsid w:val="28112E8A"/>
    <w:rsid w:val="28156ACF"/>
    <w:rsid w:val="281C3523"/>
    <w:rsid w:val="281E51E0"/>
    <w:rsid w:val="28207F25"/>
    <w:rsid w:val="282E5004"/>
    <w:rsid w:val="28661C19"/>
    <w:rsid w:val="286D6424"/>
    <w:rsid w:val="2874680A"/>
    <w:rsid w:val="28917C19"/>
    <w:rsid w:val="28A52F16"/>
    <w:rsid w:val="28A5616E"/>
    <w:rsid w:val="28A80261"/>
    <w:rsid w:val="28B953A3"/>
    <w:rsid w:val="28BA7E1C"/>
    <w:rsid w:val="28D728F5"/>
    <w:rsid w:val="28F34063"/>
    <w:rsid w:val="28F53C88"/>
    <w:rsid w:val="28FD1261"/>
    <w:rsid w:val="2900639B"/>
    <w:rsid w:val="29032A1C"/>
    <w:rsid w:val="290960CB"/>
    <w:rsid w:val="292B7231"/>
    <w:rsid w:val="293B10D5"/>
    <w:rsid w:val="293F6EA9"/>
    <w:rsid w:val="29417DB1"/>
    <w:rsid w:val="29690940"/>
    <w:rsid w:val="296A0B25"/>
    <w:rsid w:val="29736AD1"/>
    <w:rsid w:val="29752991"/>
    <w:rsid w:val="29783FAE"/>
    <w:rsid w:val="298235C3"/>
    <w:rsid w:val="298F28F6"/>
    <w:rsid w:val="2995295A"/>
    <w:rsid w:val="29981DA5"/>
    <w:rsid w:val="29A9603F"/>
    <w:rsid w:val="29BC58A8"/>
    <w:rsid w:val="29C42E79"/>
    <w:rsid w:val="29CC6EEE"/>
    <w:rsid w:val="29D74414"/>
    <w:rsid w:val="29DE2F86"/>
    <w:rsid w:val="29E67538"/>
    <w:rsid w:val="29EC3DDB"/>
    <w:rsid w:val="29F179E6"/>
    <w:rsid w:val="29F95296"/>
    <w:rsid w:val="2A0A47A9"/>
    <w:rsid w:val="2A0C1EBC"/>
    <w:rsid w:val="2A2A3FBC"/>
    <w:rsid w:val="2A4C6A81"/>
    <w:rsid w:val="2A59786E"/>
    <w:rsid w:val="2A5E0834"/>
    <w:rsid w:val="2A7E5C85"/>
    <w:rsid w:val="2A9605AE"/>
    <w:rsid w:val="2A97233B"/>
    <w:rsid w:val="2A9C3DF6"/>
    <w:rsid w:val="2AA43179"/>
    <w:rsid w:val="2AA44A58"/>
    <w:rsid w:val="2AC829A9"/>
    <w:rsid w:val="2AD463B2"/>
    <w:rsid w:val="2AD7158C"/>
    <w:rsid w:val="2AD74CAC"/>
    <w:rsid w:val="2AD92315"/>
    <w:rsid w:val="2AE17A5A"/>
    <w:rsid w:val="2AE65071"/>
    <w:rsid w:val="2AEA7121"/>
    <w:rsid w:val="2AED102B"/>
    <w:rsid w:val="2AEE3C4E"/>
    <w:rsid w:val="2AF33C54"/>
    <w:rsid w:val="2AFA7066"/>
    <w:rsid w:val="2B0E725F"/>
    <w:rsid w:val="2B212681"/>
    <w:rsid w:val="2B2B20C0"/>
    <w:rsid w:val="2B3A704E"/>
    <w:rsid w:val="2B6915CB"/>
    <w:rsid w:val="2B7715B5"/>
    <w:rsid w:val="2B953D3B"/>
    <w:rsid w:val="2B964513"/>
    <w:rsid w:val="2B986778"/>
    <w:rsid w:val="2BA232A1"/>
    <w:rsid w:val="2BA7616E"/>
    <w:rsid w:val="2BAF3647"/>
    <w:rsid w:val="2BB07887"/>
    <w:rsid w:val="2BB86AE9"/>
    <w:rsid w:val="2BB941D6"/>
    <w:rsid w:val="2BC92F3E"/>
    <w:rsid w:val="2BCA4C69"/>
    <w:rsid w:val="2BD45038"/>
    <w:rsid w:val="2BD772BC"/>
    <w:rsid w:val="2BDD1EC6"/>
    <w:rsid w:val="2BF42D7D"/>
    <w:rsid w:val="2BF51A0F"/>
    <w:rsid w:val="2C084B5E"/>
    <w:rsid w:val="2C113E01"/>
    <w:rsid w:val="2C161986"/>
    <w:rsid w:val="2C175D66"/>
    <w:rsid w:val="2C203113"/>
    <w:rsid w:val="2C2103A2"/>
    <w:rsid w:val="2C226B47"/>
    <w:rsid w:val="2C326D55"/>
    <w:rsid w:val="2C3615F2"/>
    <w:rsid w:val="2C3C6D6E"/>
    <w:rsid w:val="2C432794"/>
    <w:rsid w:val="2C674A8D"/>
    <w:rsid w:val="2C715D5B"/>
    <w:rsid w:val="2C75309F"/>
    <w:rsid w:val="2C7F4490"/>
    <w:rsid w:val="2C833E38"/>
    <w:rsid w:val="2C994A91"/>
    <w:rsid w:val="2C9D6B5A"/>
    <w:rsid w:val="2CAD28F3"/>
    <w:rsid w:val="2CC27EA7"/>
    <w:rsid w:val="2CC7417C"/>
    <w:rsid w:val="2CD30175"/>
    <w:rsid w:val="2CE423AC"/>
    <w:rsid w:val="2CEB4C5F"/>
    <w:rsid w:val="2CEE7CF2"/>
    <w:rsid w:val="2CFF6684"/>
    <w:rsid w:val="2D0A1AA9"/>
    <w:rsid w:val="2D161C74"/>
    <w:rsid w:val="2D161FA2"/>
    <w:rsid w:val="2D1A173F"/>
    <w:rsid w:val="2D1B2F06"/>
    <w:rsid w:val="2D276026"/>
    <w:rsid w:val="2D621E8F"/>
    <w:rsid w:val="2D6A7911"/>
    <w:rsid w:val="2D763A66"/>
    <w:rsid w:val="2D854846"/>
    <w:rsid w:val="2DB46B73"/>
    <w:rsid w:val="2DBB0D47"/>
    <w:rsid w:val="2DC86CB0"/>
    <w:rsid w:val="2DE15296"/>
    <w:rsid w:val="2DEA131C"/>
    <w:rsid w:val="2E0F6F79"/>
    <w:rsid w:val="2E264FD1"/>
    <w:rsid w:val="2E2F77CC"/>
    <w:rsid w:val="2E43014C"/>
    <w:rsid w:val="2E4950B8"/>
    <w:rsid w:val="2E4C3922"/>
    <w:rsid w:val="2E5170FD"/>
    <w:rsid w:val="2E556795"/>
    <w:rsid w:val="2E5D4623"/>
    <w:rsid w:val="2E6B36DF"/>
    <w:rsid w:val="2E921D59"/>
    <w:rsid w:val="2EC26F18"/>
    <w:rsid w:val="2EC8159D"/>
    <w:rsid w:val="2ED55B28"/>
    <w:rsid w:val="2ED95618"/>
    <w:rsid w:val="2EF266DA"/>
    <w:rsid w:val="2EFB40AB"/>
    <w:rsid w:val="2EFC6143"/>
    <w:rsid w:val="2EFE507F"/>
    <w:rsid w:val="2F027240"/>
    <w:rsid w:val="2F032B91"/>
    <w:rsid w:val="2F161B8B"/>
    <w:rsid w:val="2F2168B8"/>
    <w:rsid w:val="2F231ED3"/>
    <w:rsid w:val="2F240CF9"/>
    <w:rsid w:val="2F2A14AA"/>
    <w:rsid w:val="2F2A4E99"/>
    <w:rsid w:val="2F401278"/>
    <w:rsid w:val="2F452CAE"/>
    <w:rsid w:val="2F62480D"/>
    <w:rsid w:val="2F7C310B"/>
    <w:rsid w:val="2F973712"/>
    <w:rsid w:val="2F991101"/>
    <w:rsid w:val="2F994DA8"/>
    <w:rsid w:val="2F9F440D"/>
    <w:rsid w:val="2FAD4648"/>
    <w:rsid w:val="2FAF40C2"/>
    <w:rsid w:val="2FB0243E"/>
    <w:rsid w:val="2FBF2A4B"/>
    <w:rsid w:val="2FBF319E"/>
    <w:rsid w:val="2FC5316F"/>
    <w:rsid w:val="2FCA235C"/>
    <w:rsid w:val="2FD15183"/>
    <w:rsid w:val="2FD55059"/>
    <w:rsid w:val="2FF414C5"/>
    <w:rsid w:val="301457A6"/>
    <w:rsid w:val="301E0C2D"/>
    <w:rsid w:val="302C138F"/>
    <w:rsid w:val="303316BF"/>
    <w:rsid w:val="30337F08"/>
    <w:rsid w:val="30374237"/>
    <w:rsid w:val="3038509E"/>
    <w:rsid w:val="304E1E53"/>
    <w:rsid w:val="30516EDD"/>
    <w:rsid w:val="30521794"/>
    <w:rsid w:val="305945D4"/>
    <w:rsid w:val="305C0552"/>
    <w:rsid w:val="30645023"/>
    <w:rsid w:val="306549B3"/>
    <w:rsid w:val="30897424"/>
    <w:rsid w:val="30901C10"/>
    <w:rsid w:val="30926D12"/>
    <w:rsid w:val="30935850"/>
    <w:rsid w:val="30A57735"/>
    <w:rsid w:val="30B023A9"/>
    <w:rsid w:val="30C53C7B"/>
    <w:rsid w:val="30D22A0B"/>
    <w:rsid w:val="30D430DA"/>
    <w:rsid w:val="30E60CAF"/>
    <w:rsid w:val="30EE3E82"/>
    <w:rsid w:val="30F44283"/>
    <w:rsid w:val="30FC7F4C"/>
    <w:rsid w:val="30FF406B"/>
    <w:rsid w:val="31032220"/>
    <w:rsid w:val="31057ECC"/>
    <w:rsid w:val="310D77FB"/>
    <w:rsid w:val="31226852"/>
    <w:rsid w:val="312360E7"/>
    <w:rsid w:val="3161201B"/>
    <w:rsid w:val="31734D6B"/>
    <w:rsid w:val="317E3716"/>
    <w:rsid w:val="3182625D"/>
    <w:rsid w:val="318721FB"/>
    <w:rsid w:val="318D337A"/>
    <w:rsid w:val="31914C82"/>
    <w:rsid w:val="319941E5"/>
    <w:rsid w:val="31A35CEA"/>
    <w:rsid w:val="31A83080"/>
    <w:rsid w:val="31C06D38"/>
    <w:rsid w:val="31C854D0"/>
    <w:rsid w:val="31CE52E1"/>
    <w:rsid w:val="31D83A26"/>
    <w:rsid w:val="31DC0CFC"/>
    <w:rsid w:val="31DE4ED8"/>
    <w:rsid w:val="31DF728E"/>
    <w:rsid w:val="31E00A6C"/>
    <w:rsid w:val="31E12227"/>
    <w:rsid w:val="31FE2644"/>
    <w:rsid w:val="3200640F"/>
    <w:rsid w:val="32096215"/>
    <w:rsid w:val="32237DEE"/>
    <w:rsid w:val="322B3D09"/>
    <w:rsid w:val="322C6961"/>
    <w:rsid w:val="324677ED"/>
    <w:rsid w:val="32472899"/>
    <w:rsid w:val="32486F80"/>
    <w:rsid w:val="324E2A04"/>
    <w:rsid w:val="325052B0"/>
    <w:rsid w:val="32573817"/>
    <w:rsid w:val="32584AA6"/>
    <w:rsid w:val="329360B5"/>
    <w:rsid w:val="32942615"/>
    <w:rsid w:val="329670AD"/>
    <w:rsid w:val="32BA12BD"/>
    <w:rsid w:val="32C4452A"/>
    <w:rsid w:val="32C959A4"/>
    <w:rsid w:val="32D152D2"/>
    <w:rsid w:val="32EB7B92"/>
    <w:rsid w:val="32F769EB"/>
    <w:rsid w:val="32FB5DEF"/>
    <w:rsid w:val="33114378"/>
    <w:rsid w:val="33231227"/>
    <w:rsid w:val="33264E85"/>
    <w:rsid w:val="3350577D"/>
    <w:rsid w:val="336C72AF"/>
    <w:rsid w:val="338078D0"/>
    <w:rsid w:val="338636E3"/>
    <w:rsid w:val="338F1359"/>
    <w:rsid w:val="33900270"/>
    <w:rsid w:val="339F5F93"/>
    <w:rsid w:val="33AC270D"/>
    <w:rsid w:val="33AC630D"/>
    <w:rsid w:val="33E10B78"/>
    <w:rsid w:val="33E451AE"/>
    <w:rsid w:val="33EC4F45"/>
    <w:rsid w:val="33EE6022"/>
    <w:rsid w:val="33F24785"/>
    <w:rsid w:val="33FA09EC"/>
    <w:rsid w:val="340032DD"/>
    <w:rsid w:val="340212AB"/>
    <w:rsid w:val="34262CBE"/>
    <w:rsid w:val="343C4796"/>
    <w:rsid w:val="343F381F"/>
    <w:rsid w:val="3443153B"/>
    <w:rsid w:val="34474DD2"/>
    <w:rsid w:val="34482EC4"/>
    <w:rsid w:val="3449127B"/>
    <w:rsid w:val="344D12E5"/>
    <w:rsid w:val="344E2E20"/>
    <w:rsid w:val="345D45F6"/>
    <w:rsid w:val="3469623E"/>
    <w:rsid w:val="347B2C27"/>
    <w:rsid w:val="348A2F11"/>
    <w:rsid w:val="349D1B35"/>
    <w:rsid w:val="34AF66D4"/>
    <w:rsid w:val="34C375FB"/>
    <w:rsid w:val="34C819B8"/>
    <w:rsid w:val="34DC6853"/>
    <w:rsid w:val="34E24B32"/>
    <w:rsid w:val="34E3761E"/>
    <w:rsid w:val="34F13FFE"/>
    <w:rsid w:val="34FA1E45"/>
    <w:rsid w:val="34FC1038"/>
    <w:rsid w:val="34FC50C1"/>
    <w:rsid w:val="34FD5D15"/>
    <w:rsid w:val="34FE0AB1"/>
    <w:rsid w:val="35092088"/>
    <w:rsid w:val="35100259"/>
    <w:rsid w:val="352374D3"/>
    <w:rsid w:val="35253F37"/>
    <w:rsid w:val="353368CE"/>
    <w:rsid w:val="354128CD"/>
    <w:rsid w:val="3550415A"/>
    <w:rsid w:val="356A5445"/>
    <w:rsid w:val="35714F81"/>
    <w:rsid w:val="357240D1"/>
    <w:rsid w:val="3573149B"/>
    <w:rsid w:val="358C12F7"/>
    <w:rsid w:val="35937652"/>
    <w:rsid w:val="359A3628"/>
    <w:rsid w:val="35AE736B"/>
    <w:rsid w:val="35B622DF"/>
    <w:rsid w:val="35B6513A"/>
    <w:rsid w:val="35D72EE3"/>
    <w:rsid w:val="35F5260C"/>
    <w:rsid w:val="360867E3"/>
    <w:rsid w:val="36213401"/>
    <w:rsid w:val="363725FC"/>
    <w:rsid w:val="364500D6"/>
    <w:rsid w:val="36483847"/>
    <w:rsid w:val="365B6837"/>
    <w:rsid w:val="366D26F8"/>
    <w:rsid w:val="36754800"/>
    <w:rsid w:val="367F7271"/>
    <w:rsid w:val="36890493"/>
    <w:rsid w:val="369167D9"/>
    <w:rsid w:val="369175D7"/>
    <w:rsid w:val="369B0E12"/>
    <w:rsid w:val="36C322D2"/>
    <w:rsid w:val="36C845B3"/>
    <w:rsid w:val="36D5597A"/>
    <w:rsid w:val="36DB2CED"/>
    <w:rsid w:val="36E56B24"/>
    <w:rsid w:val="36F67227"/>
    <w:rsid w:val="36FE7567"/>
    <w:rsid w:val="370D45A6"/>
    <w:rsid w:val="3717786B"/>
    <w:rsid w:val="37193F4D"/>
    <w:rsid w:val="374225BE"/>
    <w:rsid w:val="37441A9D"/>
    <w:rsid w:val="374F51B5"/>
    <w:rsid w:val="374F7277"/>
    <w:rsid w:val="37521BDE"/>
    <w:rsid w:val="37537571"/>
    <w:rsid w:val="37597BE6"/>
    <w:rsid w:val="376A7B08"/>
    <w:rsid w:val="376C0A25"/>
    <w:rsid w:val="378620B5"/>
    <w:rsid w:val="37912640"/>
    <w:rsid w:val="37AC2B5A"/>
    <w:rsid w:val="37AD490E"/>
    <w:rsid w:val="37B34088"/>
    <w:rsid w:val="37B3740F"/>
    <w:rsid w:val="37B8438D"/>
    <w:rsid w:val="37C70EEE"/>
    <w:rsid w:val="37E334F4"/>
    <w:rsid w:val="37EB6CD4"/>
    <w:rsid w:val="37F17960"/>
    <w:rsid w:val="37F46968"/>
    <w:rsid w:val="380E651D"/>
    <w:rsid w:val="382968F9"/>
    <w:rsid w:val="382B5936"/>
    <w:rsid w:val="382E491D"/>
    <w:rsid w:val="3838034C"/>
    <w:rsid w:val="383F4065"/>
    <w:rsid w:val="38417D8A"/>
    <w:rsid w:val="385A10AC"/>
    <w:rsid w:val="385E2F98"/>
    <w:rsid w:val="38604049"/>
    <w:rsid w:val="386341A5"/>
    <w:rsid w:val="38637649"/>
    <w:rsid w:val="38793870"/>
    <w:rsid w:val="388133D9"/>
    <w:rsid w:val="388774EA"/>
    <w:rsid w:val="388B02BA"/>
    <w:rsid w:val="388B134B"/>
    <w:rsid w:val="389030DC"/>
    <w:rsid w:val="389972E7"/>
    <w:rsid w:val="38B97EC5"/>
    <w:rsid w:val="38BA4935"/>
    <w:rsid w:val="38DB01DF"/>
    <w:rsid w:val="38E9787E"/>
    <w:rsid w:val="38F2355B"/>
    <w:rsid w:val="38F556D8"/>
    <w:rsid w:val="38FD1F03"/>
    <w:rsid w:val="391820E2"/>
    <w:rsid w:val="391E21F3"/>
    <w:rsid w:val="39262466"/>
    <w:rsid w:val="392A25A3"/>
    <w:rsid w:val="39386D6D"/>
    <w:rsid w:val="393B0C7E"/>
    <w:rsid w:val="39475895"/>
    <w:rsid w:val="394929EE"/>
    <w:rsid w:val="396822BE"/>
    <w:rsid w:val="398B35CB"/>
    <w:rsid w:val="39987E7E"/>
    <w:rsid w:val="39A62EAE"/>
    <w:rsid w:val="39AF131C"/>
    <w:rsid w:val="39B1223B"/>
    <w:rsid w:val="39BB7346"/>
    <w:rsid w:val="39CA287F"/>
    <w:rsid w:val="39DB031D"/>
    <w:rsid w:val="39E402B2"/>
    <w:rsid w:val="3A06292B"/>
    <w:rsid w:val="3A1179FE"/>
    <w:rsid w:val="3A150309"/>
    <w:rsid w:val="3A1A6AE5"/>
    <w:rsid w:val="3A235273"/>
    <w:rsid w:val="3A274F09"/>
    <w:rsid w:val="3A29670C"/>
    <w:rsid w:val="3A2B7DE4"/>
    <w:rsid w:val="3A315DD8"/>
    <w:rsid w:val="3A3E1E8F"/>
    <w:rsid w:val="3A3E2FE9"/>
    <w:rsid w:val="3A4E147C"/>
    <w:rsid w:val="3A50672B"/>
    <w:rsid w:val="3A68348B"/>
    <w:rsid w:val="3A7C74AD"/>
    <w:rsid w:val="3A8479BE"/>
    <w:rsid w:val="3A904DA0"/>
    <w:rsid w:val="3A977DF6"/>
    <w:rsid w:val="3A9D2297"/>
    <w:rsid w:val="3AA76DD5"/>
    <w:rsid w:val="3AB40CE8"/>
    <w:rsid w:val="3AB710E9"/>
    <w:rsid w:val="3AC309F9"/>
    <w:rsid w:val="3ADF0BA6"/>
    <w:rsid w:val="3AE262C1"/>
    <w:rsid w:val="3AEA4709"/>
    <w:rsid w:val="3AF22332"/>
    <w:rsid w:val="3B117EE8"/>
    <w:rsid w:val="3B154F21"/>
    <w:rsid w:val="3B220AE5"/>
    <w:rsid w:val="3B275CCE"/>
    <w:rsid w:val="3B2C3EA1"/>
    <w:rsid w:val="3B381D36"/>
    <w:rsid w:val="3B4D09C0"/>
    <w:rsid w:val="3B633533"/>
    <w:rsid w:val="3B6B6168"/>
    <w:rsid w:val="3B760217"/>
    <w:rsid w:val="3B7E42D2"/>
    <w:rsid w:val="3B861E68"/>
    <w:rsid w:val="3B926EFE"/>
    <w:rsid w:val="3B980AB5"/>
    <w:rsid w:val="3BAB5807"/>
    <w:rsid w:val="3BAE3633"/>
    <w:rsid w:val="3BB537D3"/>
    <w:rsid w:val="3BC11269"/>
    <w:rsid w:val="3BCD2953"/>
    <w:rsid w:val="3BDA794F"/>
    <w:rsid w:val="3BE930F6"/>
    <w:rsid w:val="3BEC4A65"/>
    <w:rsid w:val="3BF42FEE"/>
    <w:rsid w:val="3C057986"/>
    <w:rsid w:val="3C0D6901"/>
    <w:rsid w:val="3C2B4FD9"/>
    <w:rsid w:val="3C2F7D6A"/>
    <w:rsid w:val="3C3A3415"/>
    <w:rsid w:val="3C3D486E"/>
    <w:rsid w:val="3C45664B"/>
    <w:rsid w:val="3C656EE9"/>
    <w:rsid w:val="3C760C88"/>
    <w:rsid w:val="3C805325"/>
    <w:rsid w:val="3C824FCA"/>
    <w:rsid w:val="3C846E6B"/>
    <w:rsid w:val="3C884BEF"/>
    <w:rsid w:val="3C9F2581"/>
    <w:rsid w:val="3CA52B38"/>
    <w:rsid w:val="3CAF5C0A"/>
    <w:rsid w:val="3CB07833"/>
    <w:rsid w:val="3CBD7B0A"/>
    <w:rsid w:val="3CC53C79"/>
    <w:rsid w:val="3CEB3ACE"/>
    <w:rsid w:val="3CF442FD"/>
    <w:rsid w:val="3CF50B0B"/>
    <w:rsid w:val="3CF55FAE"/>
    <w:rsid w:val="3CFD2A1A"/>
    <w:rsid w:val="3D037770"/>
    <w:rsid w:val="3D064F9B"/>
    <w:rsid w:val="3D165AF4"/>
    <w:rsid w:val="3D2163C9"/>
    <w:rsid w:val="3D274A4B"/>
    <w:rsid w:val="3D460D52"/>
    <w:rsid w:val="3D4944DA"/>
    <w:rsid w:val="3D541C38"/>
    <w:rsid w:val="3D615F08"/>
    <w:rsid w:val="3D624A2B"/>
    <w:rsid w:val="3D6A5DA8"/>
    <w:rsid w:val="3D756BB2"/>
    <w:rsid w:val="3D887E59"/>
    <w:rsid w:val="3DA60DBB"/>
    <w:rsid w:val="3DAB5F50"/>
    <w:rsid w:val="3DAF5796"/>
    <w:rsid w:val="3DB32019"/>
    <w:rsid w:val="3DDF607B"/>
    <w:rsid w:val="3DE60FB3"/>
    <w:rsid w:val="3DE84A4F"/>
    <w:rsid w:val="3DFA13D8"/>
    <w:rsid w:val="3E067AF0"/>
    <w:rsid w:val="3E137CD4"/>
    <w:rsid w:val="3E221BA0"/>
    <w:rsid w:val="3E363D5D"/>
    <w:rsid w:val="3E3D464D"/>
    <w:rsid w:val="3E3F114A"/>
    <w:rsid w:val="3E432AAE"/>
    <w:rsid w:val="3E5135E7"/>
    <w:rsid w:val="3E644BF6"/>
    <w:rsid w:val="3E65027F"/>
    <w:rsid w:val="3E7B365E"/>
    <w:rsid w:val="3E7D6974"/>
    <w:rsid w:val="3E880AC6"/>
    <w:rsid w:val="3E920121"/>
    <w:rsid w:val="3EA87220"/>
    <w:rsid w:val="3EAA6B0B"/>
    <w:rsid w:val="3EB6446C"/>
    <w:rsid w:val="3EB947B4"/>
    <w:rsid w:val="3EBC39C5"/>
    <w:rsid w:val="3ED6591D"/>
    <w:rsid w:val="3EE027F5"/>
    <w:rsid w:val="3EE50641"/>
    <w:rsid w:val="3EF13F46"/>
    <w:rsid w:val="3EF50364"/>
    <w:rsid w:val="3EF557F3"/>
    <w:rsid w:val="3EFC4A0B"/>
    <w:rsid w:val="3F0A3462"/>
    <w:rsid w:val="3F166C52"/>
    <w:rsid w:val="3F460DDB"/>
    <w:rsid w:val="3F4E50BE"/>
    <w:rsid w:val="3F5B752C"/>
    <w:rsid w:val="3F626C68"/>
    <w:rsid w:val="3F6B1946"/>
    <w:rsid w:val="3F6F1681"/>
    <w:rsid w:val="3F6F7630"/>
    <w:rsid w:val="3F700CE2"/>
    <w:rsid w:val="3F870779"/>
    <w:rsid w:val="3FA60A9F"/>
    <w:rsid w:val="3FA674EF"/>
    <w:rsid w:val="3FA85A07"/>
    <w:rsid w:val="3FAF0E99"/>
    <w:rsid w:val="3FB61BF7"/>
    <w:rsid w:val="3FC76DC7"/>
    <w:rsid w:val="3FD140EA"/>
    <w:rsid w:val="3FDD17F4"/>
    <w:rsid w:val="3FF57DD8"/>
    <w:rsid w:val="3FF64263"/>
    <w:rsid w:val="3FFA0F4B"/>
    <w:rsid w:val="40055B41"/>
    <w:rsid w:val="400C266D"/>
    <w:rsid w:val="400D3D38"/>
    <w:rsid w:val="40120963"/>
    <w:rsid w:val="401627C4"/>
    <w:rsid w:val="4030351A"/>
    <w:rsid w:val="40336F39"/>
    <w:rsid w:val="4037219F"/>
    <w:rsid w:val="40436D96"/>
    <w:rsid w:val="404B7DB0"/>
    <w:rsid w:val="404F7D01"/>
    <w:rsid w:val="4052291D"/>
    <w:rsid w:val="4056248D"/>
    <w:rsid w:val="40591B7C"/>
    <w:rsid w:val="4066159A"/>
    <w:rsid w:val="408C75F0"/>
    <w:rsid w:val="40AE5FE5"/>
    <w:rsid w:val="40B234E9"/>
    <w:rsid w:val="40B4690A"/>
    <w:rsid w:val="40B90339"/>
    <w:rsid w:val="40B90AAB"/>
    <w:rsid w:val="40BF0A05"/>
    <w:rsid w:val="40CB37D0"/>
    <w:rsid w:val="40D405E8"/>
    <w:rsid w:val="40D432EC"/>
    <w:rsid w:val="40D60EC1"/>
    <w:rsid w:val="40F74C28"/>
    <w:rsid w:val="40FA4F7A"/>
    <w:rsid w:val="40FB7670"/>
    <w:rsid w:val="41013F36"/>
    <w:rsid w:val="4118674B"/>
    <w:rsid w:val="411B792E"/>
    <w:rsid w:val="411E79D5"/>
    <w:rsid w:val="41246D42"/>
    <w:rsid w:val="41252455"/>
    <w:rsid w:val="413761CE"/>
    <w:rsid w:val="41452699"/>
    <w:rsid w:val="414835F1"/>
    <w:rsid w:val="414A7CB0"/>
    <w:rsid w:val="41601485"/>
    <w:rsid w:val="4171348E"/>
    <w:rsid w:val="418621DF"/>
    <w:rsid w:val="41A24FCE"/>
    <w:rsid w:val="41A72118"/>
    <w:rsid w:val="41A86ECE"/>
    <w:rsid w:val="41AA3D53"/>
    <w:rsid w:val="41B4453B"/>
    <w:rsid w:val="41C23BD6"/>
    <w:rsid w:val="41C602F5"/>
    <w:rsid w:val="41C72566"/>
    <w:rsid w:val="41D40F22"/>
    <w:rsid w:val="41F83BB0"/>
    <w:rsid w:val="420428C8"/>
    <w:rsid w:val="421C6E98"/>
    <w:rsid w:val="4224068F"/>
    <w:rsid w:val="42254367"/>
    <w:rsid w:val="42396EF1"/>
    <w:rsid w:val="42416129"/>
    <w:rsid w:val="42436CE0"/>
    <w:rsid w:val="42510572"/>
    <w:rsid w:val="42553EF4"/>
    <w:rsid w:val="426B011D"/>
    <w:rsid w:val="42701998"/>
    <w:rsid w:val="42734996"/>
    <w:rsid w:val="4281050D"/>
    <w:rsid w:val="4287069B"/>
    <w:rsid w:val="428C52FB"/>
    <w:rsid w:val="428E1E1E"/>
    <w:rsid w:val="42943F6C"/>
    <w:rsid w:val="429C278D"/>
    <w:rsid w:val="429E659A"/>
    <w:rsid w:val="42A74960"/>
    <w:rsid w:val="42B77A4D"/>
    <w:rsid w:val="42B850ED"/>
    <w:rsid w:val="42D50D41"/>
    <w:rsid w:val="42D57A4D"/>
    <w:rsid w:val="42D81437"/>
    <w:rsid w:val="42DC7EE6"/>
    <w:rsid w:val="42DD425B"/>
    <w:rsid w:val="42F35160"/>
    <w:rsid w:val="42FC0702"/>
    <w:rsid w:val="43024C05"/>
    <w:rsid w:val="431C2FC0"/>
    <w:rsid w:val="43217C13"/>
    <w:rsid w:val="43252782"/>
    <w:rsid w:val="43322284"/>
    <w:rsid w:val="43380557"/>
    <w:rsid w:val="433C0165"/>
    <w:rsid w:val="433E087C"/>
    <w:rsid w:val="4342633D"/>
    <w:rsid w:val="436A2251"/>
    <w:rsid w:val="437378C0"/>
    <w:rsid w:val="437C5F89"/>
    <w:rsid w:val="43804DFF"/>
    <w:rsid w:val="43827DCD"/>
    <w:rsid w:val="438D012A"/>
    <w:rsid w:val="4393117C"/>
    <w:rsid w:val="43944E1A"/>
    <w:rsid w:val="43BC6225"/>
    <w:rsid w:val="43C201EC"/>
    <w:rsid w:val="43C36B4A"/>
    <w:rsid w:val="43C401ED"/>
    <w:rsid w:val="43D04979"/>
    <w:rsid w:val="43D53752"/>
    <w:rsid w:val="43E56213"/>
    <w:rsid w:val="43FE16F2"/>
    <w:rsid w:val="4453006F"/>
    <w:rsid w:val="44536E1E"/>
    <w:rsid w:val="44832E7C"/>
    <w:rsid w:val="449F07AE"/>
    <w:rsid w:val="44A725B1"/>
    <w:rsid w:val="44B94834"/>
    <w:rsid w:val="44BC7116"/>
    <w:rsid w:val="44D037BC"/>
    <w:rsid w:val="44D50C54"/>
    <w:rsid w:val="44E126D9"/>
    <w:rsid w:val="44E66C45"/>
    <w:rsid w:val="44E82FA0"/>
    <w:rsid w:val="44F266A5"/>
    <w:rsid w:val="44FC2274"/>
    <w:rsid w:val="44FF3707"/>
    <w:rsid w:val="4519227B"/>
    <w:rsid w:val="4523162D"/>
    <w:rsid w:val="452D764B"/>
    <w:rsid w:val="45401AF6"/>
    <w:rsid w:val="45457A79"/>
    <w:rsid w:val="4555102D"/>
    <w:rsid w:val="455C226A"/>
    <w:rsid w:val="4569246F"/>
    <w:rsid w:val="456926CF"/>
    <w:rsid w:val="457B7DC6"/>
    <w:rsid w:val="45822E8C"/>
    <w:rsid w:val="458448B3"/>
    <w:rsid w:val="45912555"/>
    <w:rsid w:val="45A66494"/>
    <w:rsid w:val="45DD6B22"/>
    <w:rsid w:val="45EC42C8"/>
    <w:rsid w:val="45ED2A8F"/>
    <w:rsid w:val="45F8417E"/>
    <w:rsid w:val="46345061"/>
    <w:rsid w:val="463D13D7"/>
    <w:rsid w:val="46463AFB"/>
    <w:rsid w:val="46555140"/>
    <w:rsid w:val="465A5E72"/>
    <w:rsid w:val="469C799D"/>
    <w:rsid w:val="46A542D6"/>
    <w:rsid w:val="46A6191A"/>
    <w:rsid w:val="46A61E2C"/>
    <w:rsid w:val="46AB7443"/>
    <w:rsid w:val="46BD102E"/>
    <w:rsid w:val="46C57900"/>
    <w:rsid w:val="46C917C5"/>
    <w:rsid w:val="46D258E8"/>
    <w:rsid w:val="46E23706"/>
    <w:rsid w:val="46E974C6"/>
    <w:rsid w:val="46FB3090"/>
    <w:rsid w:val="470F5713"/>
    <w:rsid w:val="47112DA6"/>
    <w:rsid w:val="47124204"/>
    <w:rsid w:val="471E3F00"/>
    <w:rsid w:val="472471F5"/>
    <w:rsid w:val="472731F5"/>
    <w:rsid w:val="472F2EBA"/>
    <w:rsid w:val="47344BCD"/>
    <w:rsid w:val="47364202"/>
    <w:rsid w:val="473D6D62"/>
    <w:rsid w:val="47503B46"/>
    <w:rsid w:val="47601521"/>
    <w:rsid w:val="478C6D87"/>
    <w:rsid w:val="47992A5D"/>
    <w:rsid w:val="47A26C58"/>
    <w:rsid w:val="47AB18A4"/>
    <w:rsid w:val="47B04021"/>
    <w:rsid w:val="47B47A23"/>
    <w:rsid w:val="47B9793D"/>
    <w:rsid w:val="47CA3C0B"/>
    <w:rsid w:val="47CC5001"/>
    <w:rsid w:val="47DC362C"/>
    <w:rsid w:val="47E14FF5"/>
    <w:rsid w:val="47F04D3B"/>
    <w:rsid w:val="47F22C73"/>
    <w:rsid w:val="48014737"/>
    <w:rsid w:val="48200310"/>
    <w:rsid w:val="482E20D9"/>
    <w:rsid w:val="4831238F"/>
    <w:rsid w:val="484769A4"/>
    <w:rsid w:val="48490816"/>
    <w:rsid w:val="48541414"/>
    <w:rsid w:val="48641BA5"/>
    <w:rsid w:val="488C4EF5"/>
    <w:rsid w:val="488C6E00"/>
    <w:rsid w:val="488F069E"/>
    <w:rsid w:val="48A22AB8"/>
    <w:rsid w:val="48C51872"/>
    <w:rsid w:val="48C9697B"/>
    <w:rsid w:val="48E252F1"/>
    <w:rsid w:val="48E74F6C"/>
    <w:rsid w:val="48F67F8C"/>
    <w:rsid w:val="490123D6"/>
    <w:rsid w:val="4910358D"/>
    <w:rsid w:val="49105C83"/>
    <w:rsid w:val="492002D6"/>
    <w:rsid w:val="4924150C"/>
    <w:rsid w:val="492B35A8"/>
    <w:rsid w:val="49437240"/>
    <w:rsid w:val="494E6A65"/>
    <w:rsid w:val="495A6676"/>
    <w:rsid w:val="496564DD"/>
    <w:rsid w:val="49686FC3"/>
    <w:rsid w:val="497C7E57"/>
    <w:rsid w:val="498737AF"/>
    <w:rsid w:val="499A6F5B"/>
    <w:rsid w:val="499C7ED1"/>
    <w:rsid w:val="49C20776"/>
    <w:rsid w:val="49EA77A0"/>
    <w:rsid w:val="4A08051B"/>
    <w:rsid w:val="4A0B5F30"/>
    <w:rsid w:val="4A0D4576"/>
    <w:rsid w:val="4A226EB8"/>
    <w:rsid w:val="4A283338"/>
    <w:rsid w:val="4A3B288C"/>
    <w:rsid w:val="4A4635F7"/>
    <w:rsid w:val="4A4C13AE"/>
    <w:rsid w:val="4A566BDD"/>
    <w:rsid w:val="4A6E16BC"/>
    <w:rsid w:val="4A74693E"/>
    <w:rsid w:val="4A7C67A2"/>
    <w:rsid w:val="4A84728D"/>
    <w:rsid w:val="4A8B0E23"/>
    <w:rsid w:val="4AB50890"/>
    <w:rsid w:val="4AC220D3"/>
    <w:rsid w:val="4AD0313B"/>
    <w:rsid w:val="4AD124CC"/>
    <w:rsid w:val="4AD14F9E"/>
    <w:rsid w:val="4AE16CBF"/>
    <w:rsid w:val="4B01301B"/>
    <w:rsid w:val="4B0E0CAE"/>
    <w:rsid w:val="4B0E1F10"/>
    <w:rsid w:val="4B106A2A"/>
    <w:rsid w:val="4B123BE5"/>
    <w:rsid w:val="4B1C7F3B"/>
    <w:rsid w:val="4B2F3D8F"/>
    <w:rsid w:val="4B30147D"/>
    <w:rsid w:val="4B3459B4"/>
    <w:rsid w:val="4B3471FE"/>
    <w:rsid w:val="4B3671C0"/>
    <w:rsid w:val="4B483184"/>
    <w:rsid w:val="4B4A4417"/>
    <w:rsid w:val="4B561969"/>
    <w:rsid w:val="4B5A1437"/>
    <w:rsid w:val="4B5C5E2E"/>
    <w:rsid w:val="4B72052F"/>
    <w:rsid w:val="4B8C790D"/>
    <w:rsid w:val="4BA06B6B"/>
    <w:rsid w:val="4BA10E14"/>
    <w:rsid w:val="4BA91AA4"/>
    <w:rsid w:val="4BB20665"/>
    <w:rsid w:val="4BB80288"/>
    <w:rsid w:val="4BBE3774"/>
    <w:rsid w:val="4BBE4E45"/>
    <w:rsid w:val="4BCE5EC3"/>
    <w:rsid w:val="4BD17E71"/>
    <w:rsid w:val="4BD84FA8"/>
    <w:rsid w:val="4BE84C15"/>
    <w:rsid w:val="4BEA2F4C"/>
    <w:rsid w:val="4BEF34AC"/>
    <w:rsid w:val="4C0143E4"/>
    <w:rsid w:val="4C050CBB"/>
    <w:rsid w:val="4C14070C"/>
    <w:rsid w:val="4C176A3C"/>
    <w:rsid w:val="4C327084"/>
    <w:rsid w:val="4C4C7AB9"/>
    <w:rsid w:val="4C4E0A8E"/>
    <w:rsid w:val="4C52354E"/>
    <w:rsid w:val="4C540890"/>
    <w:rsid w:val="4C546F7C"/>
    <w:rsid w:val="4C5544BA"/>
    <w:rsid w:val="4C5809D5"/>
    <w:rsid w:val="4C60775F"/>
    <w:rsid w:val="4C634876"/>
    <w:rsid w:val="4C673E0C"/>
    <w:rsid w:val="4C70789B"/>
    <w:rsid w:val="4C7216C9"/>
    <w:rsid w:val="4C8C5620"/>
    <w:rsid w:val="4CA13751"/>
    <w:rsid w:val="4CA1768A"/>
    <w:rsid w:val="4CDD4D5F"/>
    <w:rsid w:val="4CDF4FEB"/>
    <w:rsid w:val="4CE549A1"/>
    <w:rsid w:val="4CED08A3"/>
    <w:rsid w:val="4CED4394"/>
    <w:rsid w:val="4CF662CC"/>
    <w:rsid w:val="4D015ABE"/>
    <w:rsid w:val="4D027F16"/>
    <w:rsid w:val="4D153ECF"/>
    <w:rsid w:val="4D223A25"/>
    <w:rsid w:val="4D232668"/>
    <w:rsid w:val="4D3859FA"/>
    <w:rsid w:val="4D3E3CCA"/>
    <w:rsid w:val="4D445D23"/>
    <w:rsid w:val="4D4476AC"/>
    <w:rsid w:val="4D500625"/>
    <w:rsid w:val="4D6338BB"/>
    <w:rsid w:val="4D634A6E"/>
    <w:rsid w:val="4D8A5F2E"/>
    <w:rsid w:val="4D8D37D6"/>
    <w:rsid w:val="4D912357"/>
    <w:rsid w:val="4D925585"/>
    <w:rsid w:val="4D983973"/>
    <w:rsid w:val="4D99525E"/>
    <w:rsid w:val="4DAC0452"/>
    <w:rsid w:val="4DAE68D6"/>
    <w:rsid w:val="4DC966A3"/>
    <w:rsid w:val="4DF14191"/>
    <w:rsid w:val="4E1F057E"/>
    <w:rsid w:val="4E317215"/>
    <w:rsid w:val="4E3650DD"/>
    <w:rsid w:val="4E3D388E"/>
    <w:rsid w:val="4E4269BE"/>
    <w:rsid w:val="4E455296"/>
    <w:rsid w:val="4E5B171E"/>
    <w:rsid w:val="4E6114A9"/>
    <w:rsid w:val="4E613C09"/>
    <w:rsid w:val="4E6D1608"/>
    <w:rsid w:val="4E8428DD"/>
    <w:rsid w:val="4E8F0A85"/>
    <w:rsid w:val="4E9C1CA1"/>
    <w:rsid w:val="4EA04198"/>
    <w:rsid w:val="4EA96FDE"/>
    <w:rsid w:val="4EB15464"/>
    <w:rsid w:val="4ED2753C"/>
    <w:rsid w:val="4ED4371D"/>
    <w:rsid w:val="4EE95E85"/>
    <w:rsid w:val="4EEC7DDC"/>
    <w:rsid w:val="4F04116C"/>
    <w:rsid w:val="4F0E1669"/>
    <w:rsid w:val="4F0F1BE6"/>
    <w:rsid w:val="4F170B9D"/>
    <w:rsid w:val="4F2F2297"/>
    <w:rsid w:val="4F3F1599"/>
    <w:rsid w:val="4F41009A"/>
    <w:rsid w:val="4F6678C1"/>
    <w:rsid w:val="4F685F7D"/>
    <w:rsid w:val="4F6E54B1"/>
    <w:rsid w:val="4F6F5409"/>
    <w:rsid w:val="4F8451F3"/>
    <w:rsid w:val="4F90157F"/>
    <w:rsid w:val="4F9613F2"/>
    <w:rsid w:val="4FB307B9"/>
    <w:rsid w:val="4FB45201"/>
    <w:rsid w:val="4FBB392B"/>
    <w:rsid w:val="4FC9365F"/>
    <w:rsid w:val="4FCF62FC"/>
    <w:rsid w:val="4FD20F38"/>
    <w:rsid w:val="4FF3729D"/>
    <w:rsid w:val="4FF60846"/>
    <w:rsid w:val="5002718E"/>
    <w:rsid w:val="500348ED"/>
    <w:rsid w:val="50043266"/>
    <w:rsid w:val="50074213"/>
    <w:rsid w:val="500F1A5D"/>
    <w:rsid w:val="50133F71"/>
    <w:rsid w:val="50166FA2"/>
    <w:rsid w:val="501778F7"/>
    <w:rsid w:val="502B6F60"/>
    <w:rsid w:val="502C38B9"/>
    <w:rsid w:val="503424F6"/>
    <w:rsid w:val="503B389F"/>
    <w:rsid w:val="503F7351"/>
    <w:rsid w:val="50504BB7"/>
    <w:rsid w:val="505C6AB9"/>
    <w:rsid w:val="505D59E6"/>
    <w:rsid w:val="50765927"/>
    <w:rsid w:val="508D1967"/>
    <w:rsid w:val="508F6DFA"/>
    <w:rsid w:val="50917F43"/>
    <w:rsid w:val="509C6158"/>
    <w:rsid w:val="50A07C0E"/>
    <w:rsid w:val="50A71185"/>
    <w:rsid w:val="50B14AE2"/>
    <w:rsid w:val="50BB2DE8"/>
    <w:rsid w:val="50C55D29"/>
    <w:rsid w:val="50CE0CBA"/>
    <w:rsid w:val="50E222CC"/>
    <w:rsid w:val="50F578EA"/>
    <w:rsid w:val="51065959"/>
    <w:rsid w:val="510820FD"/>
    <w:rsid w:val="511247D0"/>
    <w:rsid w:val="511B6AC1"/>
    <w:rsid w:val="513D513B"/>
    <w:rsid w:val="51431A8C"/>
    <w:rsid w:val="515B6C5A"/>
    <w:rsid w:val="516A1BDB"/>
    <w:rsid w:val="516F518C"/>
    <w:rsid w:val="51736DAF"/>
    <w:rsid w:val="51905292"/>
    <w:rsid w:val="51A2354A"/>
    <w:rsid w:val="51A94722"/>
    <w:rsid w:val="51B04C37"/>
    <w:rsid w:val="51D9562E"/>
    <w:rsid w:val="51F61B17"/>
    <w:rsid w:val="520343E0"/>
    <w:rsid w:val="52070A73"/>
    <w:rsid w:val="520B2E5D"/>
    <w:rsid w:val="52172FCE"/>
    <w:rsid w:val="521B69AA"/>
    <w:rsid w:val="521D266E"/>
    <w:rsid w:val="521E1ABB"/>
    <w:rsid w:val="5229534F"/>
    <w:rsid w:val="52387FD8"/>
    <w:rsid w:val="523F1946"/>
    <w:rsid w:val="5268575C"/>
    <w:rsid w:val="52750491"/>
    <w:rsid w:val="5285653E"/>
    <w:rsid w:val="529056FF"/>
    <w:rsid w:val="529B37F3"/>
    <w:rsid w:val="52AB6BFD"/>
    <w:rsid w:val="52B15F46"/>
    <w:rsid w:val="52B648C1"/>
    <w:rsid w:val="52BD5E7B"/>
    <w:rsid w:val="52CC13CF"/>
    <w:rsid w:val="52D523AF"/>
    <w:rsid w:val="52D545C8"/>
    <w:rsid w:val="52E43B5E"/>
    <w:rsid w:val="53074A00"/>
    <w:rsid w:val="530D3526"/>
    <w:rsid w:val="5336474C"/>
    <w:rsid w:val="533C110A"/>
    <w:rsid w:val="534E2175"/>
    <w:rsid w:val="534E79AB"/>
    <w:rsid w:val="535F4268"/>
    <w:rsid w:val="53634C01"/>
    <w:rsid w:val="53637312"/>
    <w:rsid w:val="53650BBA"/>
    <w:rsid w:val="53690469"/>
    <w:rsid w:val="53AC1956"/>
    <w:rsid w:val="53AC47FA"/>
    <w:rsid w:val="53DA3115"/>
    <w:rsid w:val="53DA3854"/>
    <w:rsid w:val="53E54C90"/>
    <w:rsid w:val="53E833C0"/>
    <w:rsid w:val="53F32429"/>
    <w:rsid w:val="53FA3C53"/>
    <w:rsid w:val="54004E78"/>
    <w:rsid w:val="54201F5E"/>
    <w:rsid w:val="5438325E"/>
    <w:rsid w:val="543C310B"/>
    <w:rsid w:val="54433D15"/>
    <w:rsid w:val="544666A3"/>
    <w:rsid w:val="54520EFE"/>
    <w:rsid w:val="547033F5"/>
    <w:rsid w:val="547D408D"/>
    <w:rsid w:val="547E7F44"/>
    <w:rsid w:val="54801AD9"/>
    <w:rsid w:val="549E1E19"/>
    <w:rsid w:val="54A26F2C"/>
    <w:rsid w:val="54C32ADB"/>
    <w:rsid w:val="54C35D4A"/>
    <w:rsid w:val="54C57657"/>
    <w:rsid w:val="54CB46C0"/>
    <w:rsid w:val="54CE3E24"/>
    <w:rsid w:val="54EA55DA"/>
    <w:rsid w:val="550C3C11"/>
    <w:rsid w:val="55161A5A"/>
    <w:rsid w:val="55181EDC"/>
    <w:rsid w:val="551B166B"/>
    <w:rsid w:val="55214297"/>
    <w:rsid w:val="553678B8"/>
    <w:rsid w:val="553C304B"/>
    <w:rsid w:val="55451564"/>
    <w:rsid w:val="55466588"/>
    <w:rsid w:val="558077B3"/>
    <w:rsid w:val="55813CD0"/>
    <w:rsid w:val="55825812"/>
    <w:rsid w:val="55952A91"/>
    <w:rsid w:val="55A62C47"/>
    <w:rsid w:val="55A72C0D"/>
    <w:rsid w:val="55B17758"/>
    <w:rsid w:val="55B22FA5"/>
    <w:rsid w:val="55BA1450"/>
    <w:rsid w:val="55CB5B63"/>
    <w:rsid w:val="55E913F6"/>
    <w:rsid w:val="55F2627A"/>
    <w:rsid w:val="55F46582"/>
    <w:rsid w:val="56065FF5"/>
    <w:rsid w:val="560C1580"/>
    <w:rsid w:val="560E7ECE"/>
    <w:rsid w:val="562329D9"/>
    <w:rsid w:val="56246373"/>
    <w:rsid w:val="563A7E9B"/>
    <w:rsid w:val="563B73FB"/>
    <w:rsid w:val="563D516E"/>
    <w:rsid w:val="56445DE9"/>
    <w:rsid w:val="56452A64"/>
    <w:rsid w:val="564B0375"/>
    <w:rsid w:val="564B39AD"/>
    <w:rsid w:val="564C65A3"/>
    <w:rsid w:val="564D6ECB"/>
    <w:rsid w:val="5655096B"/>
    <w:rsid w:val="565B03F8"/>
    <w:rsid w:val="5671683F"/>
    <w:rsid w:val="567974EA"/>
    <w:rsid w:val="56797C30"/>
    <w:rsid w:val="567F1D52"/>
    <w:rsid w:val="56890D54"/>
    <w:rsid w:val="568F468B"/>
    <w:rsid w:val="56943F1D"/>
    <w:rsid w:val="569775E0"/>
    <w:rsid w:val="56B16BE1"/>
    <w:rsid w:val="56B86EAD"/>
    <w:rsid w:val="56BC707B"/>
    <w:rsid w:val="56C407CD"/>
    <w:rsid w:val="56D3269D"/>
    <w:rsid w:val="56D85EE8"/>
    <w:rsid w:val="56DA1FCD"/>
    <w:rsid w:val="56EA50D6"/>
    <w:rsid w:val="56EE55DC"/>
    <w:rsid w:val="56FA762A"/>
    <w:rsid w:val="570C4354"/>
    <w:rsid w:val="570D1BDA"/>
    <w:rsid w:val="570D3D8D"/>
    <w:rsid w:val="571701DC"/>
    <w:rsid w:val="571860C2"/>
    <w:rsid w:val="5730701E"/>
    <w:rsid w:val="574640C5"/>
    <w:rsid w:val="574966F6"/>
    <w:rsid w:val="575463FC"/>
    <w:rsid w:val="57572CCF"/>
    <w:rsid w:val="57586B58"/>
    <w:rsid w:val="575907F5"/>
    <w:rsid w:val="575A0C37"/>
    <w:rsid w:val="576361C3"/>
    <w:rsid w:val="576448D0"/>
    <w:rsid w:val="577111B1"/>
    <w:rsid w:val="577D37E4"/>
    <w:rsid w:val="577D6A70"/>
    <w:rsid w:val="577E46FF"/>
    <w:rsid w:val="579637F7"/>
    <w:rsid w:val="579E765B"/>
    <w:rsid w:val="579F1A9C"/>
    <w:rsid w:val="57AA31CD"/>
    <w:rsid w:val="57AF6D44"/>
    <w:rsid w:val="57BB0FD8"/>
    <w:rsid w:val="57BC68A0"/>
    <w:rsid w:val="57CA6D5B"/>
    <w:rsid w:val="57CC7219"/>
    <w:rsid w:val="57D823C7"/>
    <w:rsid w:val="57E126C0"/>
    <w:rsid w:val="580A2E0F"/>
    <w:rsid w:val="580A73E2"/>
    <w:rsid w:val="58250BB5"/>
    <w:rsid w:val="5838323F"/>
    <w:rsid w:val="583A0F55"/>
    <w:rsid w:val="585B5F86"/>
    <w:rsid w:val="58621320"/>
    <w:rsid w:val="586258A9"/>
    <w:rsid w:val="58657283"/>
    <w:rsid w:val="58670860"/>
    <w:rsid w:val="586C5ECC"/>
    <w:rsid w:val="58801E3E"/>
    <w:rsid w:val="589324BF"/>
    <w:rsid w:val="58A4017C"/>
    <w:rsid w:val="58A678B0"/>
    <w:rsid w:val="58B107EF"/>
    <w:rsid w:val="58B54524"/>
    <w:rsid w:val="58C05E3C"/>
    <w:rsid w:val="58E35C50"/>
    <w:rsid w:val="58FC0441"/>
    <w:rsid w:val="58FC190F"/>
    <w:rsid w:val="5901128C"/>
    <w:rsid w:val="59024ED5"/>
    <w:rsid w:val="5915584F"/>
    <w:rsid w:val="59177677"/>
    <w:rsid w:val="591B447B"/>
    <w:rsid w:val="591F1D3C"/>
    <w:rsid w:val="592645A0"/>
    <w:rsid w:val="592866D1"/>
    <w:rsid w:val="59310E28"/>
    <w:rsid w:val="593B47FB"/>
    <w:rsid w:val="594A6610"/>
    <w:rsid w:val="594B4D8F"/>
    <w:rsid w:val="59537098"/>
    <w:rsid w:val="595F646B"/>
    <w:rsid w:val="596A1206"/>
    <w:rsid w:val="5980764A"/>
    <w:rsid w:val="59883613"/>
    <w:rsid w:val="599E6A3E"/>
    <w:rsid w:val="59AA17DC"/>
    <w:rsid w:val="59AC0F41"/>
    <w:rsid w:val="59B15C12"/>
    <w:rsid w:val="59B4294C"/>
    <w:rsid w:val="59B51754"/>
    <w:rsid w:val="59BF6A63"/>
    <w:rsid w:val="59C603BD"/>
    <w:rsid w:val="59C767A4"/>
    <w:rsid w:val="59CC52AE"/>
    <w:rsid w:val="59CD660F"/>
    <w:rsid w:val="59EC60FF"/>
    <w:rsid w:val="59ED6CFF"/>
    <w:rsid w:val="5A0046C2"/>
    <w:rsid w:val="5A016EE7"/>
    <w:rsid w:val="5A180AE5"/>
    <w:rsid w:val="5A2850A5"/>
    <w:rsid w:val="5A3908C7"/>
    <w:rsid w:val="5A454E3E"/>
    <w:rsid w:val="5A455072"/>
    <w:rsid w:val="5A500403"/>
    <w:rsid w:val="5A530BB4"/>
    <w:rsid w:val="5A6B5BFF"/>
    <w:rsid w:val="5A727FD2"/>
    <w:rsid w:val="5A8D7133"/>
    <w:rsid w:val="5A981C7C"/>
    <w:rsid w:val="5A9F18E2"/>
    <w:rsid w:val="5AA86799"/>
    <w:rsid w:val="5AC213B7"/>
    <w:rsid w:val="5AC60CD7"/>
    <w:rsid w:val="5AD04427"/>
    <w:rsid w:val="5ADE70A7"/>
    <w:rsid w:val="5AF15995"/>
    <w:rsid w:val="5AF459BF"/>
    <w:rsid w:val="5B162657"/>
    <w:rsid w:val="5B2F04EA"/>
    <w:rsid w:val="5B3B6679"/>
    <w:rsid w:val="5B405096"/>
    <w:rsid w:val="5B445318"/>
    <w:rsid w:val="5B684BEF"/>
    <w:rsid w:val="5B705474"/>
    <w:rsid w:val="5B795AE6"/>
    <w:rsid w:val="5B9E2C7A"/>
    <w:rsid w:val="5B9F53E3"/>
    <w:rsid w:val="5BAC7055"/>
    <w:rsid w:val="5BB02907"/>
    <w:rsid w:val="5BC2459B"/>
    <w:rsid w:val="5BD10F7B"/>
    <w:rsid w:val="5BD24840"/>
    <w:rsid w:val="5BE60FFA"/>
    <w:rsid w:val="5BE8620F"/>
    <w:rsid w:val="5BEF2582"/>
    <w:rsid w:val="5BFB2DB5"/>
    <w:rsid w:val="5C052271"/>
    <w:rsid w:val="5C0E705E"/>
    <w:rsid w:val="5C115B42"/>
    <w:rsid w:val="5C163FA3"/>
    <w:rsid w:val="5C1E1703"/>
    <w:rsid w:val="5C21219C"/>
    <w:rsid w:val="5C367357"/>
    <w:rsid w:val="5C4557EC"/>
    <w:rsid w:val="5C5078C9"/>
    <w:rsid w:val="5C5E3E11"/>
    <w:rsid w:val="5C6F3385"/>
    <w:rsid w:val="5C7F2C45"/>
    <w:rsid w:val="5C910B15"/>
    <w:rsid w:val="5C925380"/>
    <w:rsid w:val="5C9E0E24"/>
    <w:rsid w:val="5C9E39FA"/>
    <w:rsid w:val="5CBC2F38"/>
    <w:rsid w:val="5CD544A4"/>
    <w:rsid w:val="5CDC05EC"/>
    <w:rsid w:val="5CDD5A24"/>
    <w:rsid w:val="5CED5510"/>
    <w:rsid w:val="5D0004DF"/>
    <w:rsid w:val="5D037B59"/>
    <w:rsid w:val="5D04470E"/>
    <w:rsid w:val="5D1274C7"/>
    <w:rsid w:val="5D1D37EF"/>
    <w:rsid w:val="5D211ED7"/>
    <w:rsid w:val="5D313E80"/>
    <w:rsid w:val="5D3B5FD7"/>
    <w:rsid w:val="5D3F6EE2"/>
    <w:rsid w:val="5D46140E"/>
    <w:rsid w:val="5D461E37"/>
    <w:rsid w:val="5D4B72EF"/>
    <w:rsid w:val="5D544677"/>
    <w:rsid w:val="5D623872"/>
    <w:rsid w:val="5D77781F"/>
    <w:rsid w:val="5D8F47C8"/>
    <w:rsid w:val="5D95782D"/>
    <w:rsid w:val="5DA14CA4"/>
    <w:rsid w:val="5DA45D05"/>
    <w:rsid w:val="5DA64068"/>
    <w:rsid w:val="5DB1138B"/>
    <w:rsid w:val="5DB37248"/>
    <w:rsid w:val="5DBD441B"/>
    <w:rsid w:val="5DC57E79"/>
    <w:rsid w:val="5DD31091"/>
    <w:rsid w:val="5DDC5CDC"/>
    <w:rsid w:val="5DEA5739"/>
    <w:rsid w:val="5DF507CE"/>
    <w:rsid w:val="5E070926"/>
    <w:rsid w:val="5E0A28E3"/>
    <w:rsid w:val="5E166723"/>
    <w:rsid w:val="5E18759C"/>
    <w:rsid w:val="5E224C5C"/>
    <w:rsid w:val="5E26554A"/>
    <w:rsid w:val="5E3C31CA"/>
    <w:rsid w:val="5E580CDF"/>
    <w:rsid w:val="5E5A354E"/>
    <w:rsid w:val="5E642042"/>
    <w:rsid w:val="5E87179F"/>
    <w:rsid w:val="5E956C8B"/>
    <w:rsid w:val="5EA17D79"/>
    <w:rsid w:val="5EB822A5"/>
    <w:rsid w:val="5EEF5526"/>
    <w:rsid w:val="5F150214"/>
    <w:rsid w:val="5F206BDB"/>
    <w:rsid w:val="5F3162AD"/>
    <w:rsid w:val="5F3B2B17"/>
    <w:rsid w:val="5F4418AD"/>
    <w:rsid w:val="5F477FC5"/>
    <w:rsid w:val="5F512000"/>
    <w:rsid w:val="5F540156"/>
    <w:rsid w:val="5F5D0513"/>
    <w:rsid w:val="5F5F7BAF"/>
    <w:rsid w:val="5F60401B"/>
    <w:rsid w:val="5F644699"/>
    <w:rsid w:val="5F690CFF"/>
    <w:rsid w:val="5F6D7533"/>
    <w:rsid w:val="5F750196"/>
    <w:rsid w:val="5F751F44"/>
    <w:rsid w:val="5F8416C1"/>
    <w:rsid w:val="5F8C6D8D"/>
    <w:rsid w:val="5F933D49"/>
    <w:rsid w:val="5FAA3D3F"/>
    <w:rsid w:val="5FAA6915"/>
    <w:rsid w:val="5FB13E0E"/>
    <w:rsid w:val="5FB63810"/>
    <w:rsid w:val="5FD4331C"/>
    <w:rsid w:val="5FEE33D3"/>
    <w:rsid w:val="60011A2A"/>
    <w:rsid w:val="60067040"/>
    <w:rsid w:val="601A55DC"/>
    <w:rsid w:val="602F2A3B"/>
    <w:rsid w:val="60314423"/>
    <w:rsid w:val="60380D9F"/>
    <w:rsid w:val="603E67DA"/>
    <w:rsid w:val="603E70F2"/>
    <w:rsid w:val="604572BA"/>
    <w:rsid w:val="60496E03"/>
    <w:rsid w:val="60755145"/>
    <w:rsid w:val="60926135"/>
    <w:rsid w:val="609A3824"/>
    <w:rsid w:val="60B116A2"/>
    <w:rsid w:val="60B64B6D"/>
    <w:rsid w:val="60C05FD0"/>
    <w:rsid w:val="60C50CA9"/>
    <w:rsid w:val="60C948D3"/>
    <w:rsid w:val="60E46C12"/>
    <w:rsid w:val="60E92BEA"/>
    <w:rsid w:val="60F61395"/>
    <w:rsid w:val="61187932"/>
    <w:rsid w:val="611A2304"/>
    <w:rsid w:val="611C2257"/>
    <w:rsid w:val="612D4767"/>
    <w:rsid w:val="6147532E"/>
    <w:rsid w:val="614B5686"/>
    <w:rsid w:val="614B73F3"/>
    <w:rsid w:val="614E0E7A"/>
    <w:rsid w:val="614F45E8"/>
    <w:rsid w:val="61695EEB"/>
    <w:rsid w:val="616E1E6B"/>
    <w:rsid w:val="616F61AF"/>
    <w:rsid w:val="618B520D"/>
    <w:rsid w:val="618D6B01"/>
    <w:rsid w:val="61936A2B"/>
    <w:rsid w:val="61A76650"/>
    <w:rsid w:val="61AD5228"/>
    <w:rsid w:val="61B16EBF"/>
    <w:rsid w:val="61BA2A9E"/>
    <w:rsid w:val="61C80A51"/>
    <w:rsid w:val="61CC4AB8"/>
    <w:rsid w:val="61CD0A92"/>
    <w:rsid w:val="61CF7201"/>
    <w:rsid w:val="61D66A26"/>
    <w:rsid w:val="61E0242D"/>
    <w:rsid w:val="62123EBE"/>
    <w:rsid w:val="6212700A"/>
    <w:rsid w:val="621A18CC"/>
    <w:rsid w:val="62262577"/>
    <w:rsid w:val="62365FC9"/>
    <w:rsid w:val="62576595"/>
    <w:rsid w:val="626F5F11"/>
    <w:rsid w:val="629848C7"/>
    <w:rsid w:val="629A3731"/>
    <w:rsid w:val="629E3C14"/>
    <w:rsid w:val="62A44041"/>
    <w:rsid w:val="62AE40EB"/>
    <w:rsid w:val="62BB72DD"/>
    <w:rsid w:val="62D31C40"/>
    <w:rsid w:val="62D41BA0"/>
    <w:rsid w:val="62F0644C"/>
    <w:rsid w:val="63065CD5"/>
    <w:rsid w:val="63070587"/>
    <w:rsid w:val="630940C6"/>
    <w:rsid w:val="630A2199"/>
    <w:rsid w:val="630E3338"/>
    <w:rsid w:val="632739B1"/>
    <w:rsid w:val="634503AC"/>
    <w:rsid w:val="63461C66"/>
    <w:rsid w:val="634878E6"/>
    <w:rsid w:val="634F64C4"/>
    <w:rsid w:val="635A1B7D"/>
    <w:rsid w:val="635A392B"/>
    <w:rsid w:val="6361115D"/>
    <w:rsid w:val="637846F9"/>
    <w:rsid w:val="63787B2E"/>
    <w:rsid w:val="637C3A56"/>
    <w:rsid w:val="638135AD"/>
    <w:rsid w:val="63894210"/>
    <w:rsid w:val="639A4F93"/>
    <w:rsid w:val="639C3F43"/>
    <w:rsid w:val="639E70A3"/>
    <w:rsid w:val="63B609C8"/>
    <w:rsid w:val="63BA261B"/>
    <w:rsid w:val="63C139AA"/>
    <w:rsid w:val="63C714CA"/>
    <w:rsid w:val="63C825A8"/>
    <w:rsid w:val="63CD00D1"/>
    <w:rsid w:val="63CF68FA"/>
    <w:rsid w:val="63DC1C58"/>
    <w:rsid w:val="63E066A5"/>
    <w:rsid w:val="63E8362C"/>
    <w:rsid w:val="63ED5AC7"/>
    <w:rsid w:val="63F518A5"/>
    <w:rsid w:val="640D62B2"/>
    <w:rsid w:val="64204932"/>
    <w:rsid w:val="64326C81"/>
    <w:rsid w:val="644C40BA"/>
    <w:rsid w:val="645E38EF"/>
    <w:rsid w:val="6463123F"/>
    <w:rsid w:val="646D53D2"/>
    <w:rsid w:val="64706A96"/>
    <w:rsid w:val="647553EC"/>
    <w:rsid w:val="647B0505"/>
    <w:rsid w:val="64854DE7"/>
    <w:rsid w:val="64870649"/>
    <w:rsid w:val="648D03F7"/>
    <w:rsid w:val="649015CE"/>
    <w:rsid w:val="64AA07E9"/>
    <w:rsid w:val="64AD29B6"/>
    <w:rsid w:val="64AE1EE9"/>
    <w:rsid w:val="64B10720"/>
    <w:rsid w:val="64D50F34"/>
    <w:rsid w:val="64E50C74"/>
    <w:rsid w:val="65070F6D"/>
    <w:rsid w:val="65077AE2"/>
    <w:rsid w:val="650F3918"/>
    <w:rsid w:val="6536289C"/>
    <w:rsid w:val="655267B1"/>
    <w:rsid w:val="65572DD1"/>
    <w:rsid w:val="655820EC"/>
    <w:rsid w:val="656A6867"/>
    <w:rsid w:val="65706C6F"/>
    <w:rsid w:val="658835A0"/>
    <w:rsid w:val="658A1203"/>
    <w:rsid w:val="6593322E"/>
    <w:rsid w:val="65A03C62"/>
    <w:rsid w:val="65AF63CE"/>
    <w:rsid w:val="65C4496C"/>
    <w:rsid w:val="65D115BA"/>
    <w:rsid w:val="65E1068B"/>
    <w:rsid w:val="65E16585"/>
    <w:rsid w:val="65E85D4A"/>
    <w:rsid w:val="65EF023F"/>
    <w:rsid w:val="66005B29"/>
    <w:rsid w:val="66081D64"/>
    <w:rsid w:val="66126AE1"/>
    <w:rsid w:val="6620191D"/>
    <w:rsid w:val="6623094C"/>
    <w:rsid w:val="6640684B"/>
    <w:rsid w:val="664373C2"/>
    <w:rsid w:val="66526976"/>
    <w:rsid w:val="666A6617"/>
    <w:rsid w:val="66701CB5"/>
    <w:rsid w:val="667C1E0A"/>
    <w:rsid w:val="66854F53"/>
    <w:rsid w:val="668B799A"/>
    <w:rsid w:val="668D4010"/>
    <w:rsid w:val="6695070F"/>
    <w:rsid w:val="66CD6B09"/>
    <w:rsid w:val="66CF4F6D"/>
    <w:rsid w:val="66D165FA"/>
    <w:rsid w:val="66D43154"/>
    <w:rsid w:val="66DE2344"/>
    <w:rsid w:val="66E1765D"/>
    <w:rsid w:val="67094D4E"/>
    <w:rsid w:val="670C5A6D"/>
    <w:rsid w:val="671D6BAF"/>
    <w:rsid w:val="67356603"/>
    <w:rsid w:val="67530DBD"/>
    <w:rsid w:val="67722C10"/>
    <w:rsid w:val="677510DD"/>
    <w:rsid w:val="67787C03"/>
    <w:rsid w:val="677911C4"/>
    <w:rsid w:val="6788641D"/>
    <w:rsid w:val="67953E05"/>
    <w:rsid w:val="67985054"/>
    <w:rsid w:val="67AB0BF9"/>
    <w:rsid w:val="67AC5841"/>
    <w:rsid w:val="67AC650F"/>
    <w:rsid w:val="67AD5212"/>
    <w:rsid w:val="67B60BA7"/>
    <w:rsid w:val="67C06759"/>
    <w:rsid w:val="67C27CF0"/>
    <w:rsid w:val="67CE7B82"/>
    <w:rsid w:val="67D5660A"/>
    <w:rsid w:val="67E61C31"/>
    <w:rsid w:val="67E85711"/>
    <w:rsid w:val="67F223C1"/>
    <w:rsid w:val="67FA394A"/>
    <w:rsid w:val="68013225"/>
    <w:rsid w:val="681C4F0E"/>
    <w:rsid w:val="682D411B"/>
    <w:rsid w:val="684052CF"/>
    <w:rsid w:val="686566A6"/>
    <w:rsid w:val="68722BAD"/>
    <w:rsid w:val="68742457"/>
    <w:rsid w:val="687E156D"/>
    <w:rsid w:val="68814055"/>
    <w:rsid w:val="689457BA"/>
    <w:rsid w:val="689D2A87"/>
    <w:rsid w:val="68AA1EC4"/>
    <w:rsid w:val="68B04529"/>
    <w:rsid w:val="68C90B4F"/>
    <w:rsid w:val="68D91796"/>
    <w:rsid w:val="68DF2EB9"/>
    <w:rsid w:val="68E676F4"/>
    <w:rsid w:val="68EB6230"/>
    <w:rsid w:val="68FD665F"/>
    <w:rsid w:val="69032982"/>
    <w:rsid w:val="690A6826"/>
    <w:rsid w:val="690B66DC"/>
    <w:rsid w:val="690C59CE"/>
    <w:rsid w:val="691D4020"/>
    <w:rsid w:val="691E7B28"/>
    <w:rsid w:val="692503D5"/>
    <w:rsid w:val="69320DC1"/>
    <w:rsid w:val="69426C65"/>
    <w:rsid w:val="6946142F"/>
    <w:rsid w:val="694A431D"/>
    <w:rsid w:val="694B09D7"/>
    <w:rsid w:val="694B74D3"/>
    <w:rsid w:val="695A7217"/>
    <w:rsid w:val="695E4817"/>
    <w:rsid w:val="69693BB7"/>
    <w:rsid w:val="696B23CD"/>
    <w:rsid w:val="6973492F"/>
    <w:rsid w:val="6987240F"/>
    <w:rsid w:val="69877444"/>
    <w:rsid w:val="69912070"/>
    <w:rsid w:val="699D5196"/>
    <w:rsid w:val="69A16BD8"/>
    <w:rsid w:val="69C46BE6"/>
    <w:rsid w:val="69C835D2"/>
    <w:rsid w:val="69CE6061"/>
    <w:rsid w:val="69D4612E"/>
    <w:rsid w:val="69DB153D"/>
    <w:rsid w:val="69DF7596"/>
    <w:rsid w:val="69EE54D5"/>
    <w:rsid w:val="6A097ED0"/>
    <w:rsid w:val="6A0A4F8C"/>
    <w:rsid w:val="6A0B3BD1"/>
    <w:rsid w:val="6A146395"/>
    <w:rsid w:val="6A22234C"/>
    <w:rsid w:val="6A251EA3"/>
    <w:rsid w:val="6A2A7143"/>
    <w:rsid w:val="6A2E6183"/>
    <w:rsid w:val="6A2E716A"/>
    <w:rsid w:val="6A2F255B"/>
    <w:rsid w:val="6A30380E"/>
    <w:rsid w:val="6A4623F5"/>
    <w:rsid w:val="6A4650AB"/>
    <w:rsid w:val="6A5622BD"/>
    <w:rsid w:val="6A5729A7"/>
    <w:rsid w:val="6A60340D"/>
    <w:rsid w:val="6A667059"/>
    <w:rsid w:val="6A705A74"/>
    <w:rsid w:val="6A9224E7"/>
    <w:rsid w:val="6A966251"/>
    <w:rsid w:val="6AA62772"/>
    <w:rsid w:val="6AA66AB5"/>
    <w:rsid w:val="6AB57FE0"/>
    <w:rsid w:val="6AC35914"/>
    <w:rsid w:val="6AC7760B"/>
    <w:rsid w:val="6AFB336C"/>
    <w:rsid w:val="6AFC2D5F"/>
    <w:rsid w:val="6AFF0E29"/>
    <w:rsid w:val="6B064398"/>
    <w:rsid w:val="6B0D3D3A"/>
    <w:rsid w:val="6B141A94"/>
    <w:rsid w:val="6B221E54"/>
    <w:rsid w:val="6B2610DC"/>
    <w:rsid w:val="6B290F6C"/>
    <w:rsid w:val="6B353066"/>
    <w:rsid w:val="6B404DEB"/>
    <w:rsid w:val="6B460C38"/>
    <w:rsid w:val="6B53730A"/>
    <w:rsid w:val="6B5752F5"/>
    <w:rsid w:val="6B623CC4"/>
    <w:rsid w:val="6B717ED8"/>
    <w:rsid w:val="6B8E0982"/>
    <w:rsid w:val="6BA240C1"/>
    <w:rsid w:val="6BAC3191"/>
    <w:rsid w:val="6BBA0587"/>
    <w:rsid w:val="6BD00EDE"/>
    <w:rsid w:val="6BD02ED9"/>
    <w:rsid w:val="6BDA29EC"/>
    <w:rsid w:val="6BE02E3B"/>
    <w:rsid w:val="6BF347C4"/>
    <w:rsid w:val="6BF67E98"/>
    <w:rsid w:val="6C0242C3"/>
    <w:rsid w:val="6C0B41CC"/>
    <w:rsid w:val="6C0F3023"/>
    <w:rsid w:val="6C163245"/>
    <w:rsid w:val="6C1F279C"/>
    <w:rsid w:val="6C226C4C"/>
    <w:rsid w:val="6C376B92"/>
    <w:rsid w:val="6C4005EC"/>
    <w:rsid w:val="6C472EBA"/>
    <w:rsid w:val="6C4E6701"/>
    <w:rsid w:val="6C54641E"/>
    <w:rsid w:val="6C57134F"/>
    <w:rsid w:val="6C646198"/>
    <w:rsid w:val="6C722F39"/>
    <w:rsid w:val="6C83726E"/>
    <w:rsid w:val="6C854C52"/>
    <w:rsid w:val="6C966EFA"/>
    <w:rsid w:val="6C987DAE"/>
    <w:rsid w:val="6C9C5F9C"/>
    <w:rsid w:val="6C9D1691"/>
    <w:rsid w:val="6C9D53BB"/>
    <w:rsid w:val="6C9D7CCC"/>
    <w:rsid w:val="6CA57C53"/>
    <w:rsid w:val="6CAF3C01"/>
    <w:rsid w:val="6CBB43B0"/>
    <w:rsid w:val="6CBC7C56"/>
    <w:rsid w:val="6CC03E66"/>
    <w:rsid w:val="6CCD51D3"/>
    <w:rsid w:val="6CCF5389"/>
    <w:rsid w:val="6CE257A7"/>
    <w:rsid w:val="6CE679C9"/>
    <w:rsid w:val="6CE97CA1"/>
    <w:rsid w:val="6D085C49"/>
    <w:rsid w:val="6D1338DD"/>
    <w:rsid w:val="6D176751"/>
    <w:rsid w:val="6D196D84"/>
    <w:rsid w:val="6D1A12D3"/>
    <w:rsid w:val="6D251281"/>
    <w:rsid w:val="6D2C0BDA"/>
    <w:rsid w:val="6D4E54F2"/>
    <w:rsid w:val="6D4E6A7F"/>
    <w:rsid w:val="6D595E3D"/>
    <w:rsid w:val="6D5D50EA"/>
    <w:rsid w:val="6D705F43"/>
    <w:rsid w:val="6D7510FE"/>
    <w:rsid w:val="6D78707F"/>
    <w:rsid w:val="6D787750"/>
    <w:rsid w:val="6D885FA9"/>
    <w:rsid w:val="6D8A1D5B"/>
    <w:rsid w:val="6D920165"/>
    <w:rsid w:val="6D954009"/>
    <w:rsid w:val="6D965EA7"/>
    <w:rsid w:val="6D9C00D3"/>
    <w:rsid w:val="6DC52213"/>
    <w:rsid w:val="6DE9247B"/>
    <w:rsid w:val="6DF06CE1"/>
    <w:rsid w:val="6DF76F38"/>
    <w:rsid w:val="6DFC5157"/>
    <w:rsid w:val="6DFD7DAE"/>
    <w:rsid w:val="6E043A5E"/>
    <w:rsid w:val="6E090619"/>
    <w:rsid w:val="6E096ED9"/>
    <w:rsid w:val="6E182912"/>
    <w:rsid w:val="6E1D3ED3"/>
    <w:rsid w:val="6E202FA9"/>
    <w:rsid w:val="6E2272DA"/>
    <w:rsid w:val="6E36126E"/>
    <w:rsid w:val="6E445F2E"/>
    <w:rsid w:val="6E5A4B6B"/>
    <w:rsid w:val="6E751F61"/>
    <w:rsid w:val="6E8309EC"/>
    <w:rsid w:val="6E8421A4"/>
    <w:rsid w:val="6E8B52E0"/>
    <w:rsid w:val="6E8E1453"/>
    <w:rsid w:val="6EA03E1D"/>
    <w:rsid w:val="6EA11C90"/>
    <w:rsid w:val="6EA55445"/>
    <w:rsid w:val="6EAF5757"/>
    <w:rsid w:val="6EB76C30"/>
    <w:rsid w:val="6EEF2A57"/>
    <w:rsid w:val="6EF23468"/>
    <w:rsid w:val="6F040207"/>
    <w:rsid w:val="6F0A30EB"/>
    <w:rsid w:val="6F100636"/>
    <w:rsid w:val="6F18412E"/>
    <w:rsid w:val="6F19447F"/>
    <w:rsid w:val="6F312E41"/>
    <w:rsid w:val="6F3852AA"/>
    <w:rsid w:val="6F3C5514"/>
    <w:rsid w:val="6F630FCC"/>
    <w:rsid w:val="6F7C132D"/>
    <w:rsid w:val="6F924F2C"/>
    <w:rsid w:val="6F952063"/>
    <w:rsid w:val="6FA46591"/>
    <w:rsid w:val="6FA54783"/>
    <w:rsid w:val="6FAA3E8C"/>
    <w:rsid w:val="6FB01421"/>
    <w:rsid w:val="6FB26EF9"/>
    <w:rsid w:val="6FB50A60"/>
    <w:rsid w:val="6FE077A3"/>
    <w:rsid w:val="6FE5290E"/>
    <w:rsid w:val="6FEC0EE5"/>
    <w:rsid w:val="6FED7031"/>
    <w:rsid w:val="6FFE7F25"/>
    <w:rsid w:val="700F5A1E"/>
    <w:rsid w:val="701A2A3F"/>
    <w:rsid w:val="702C6C4B"/>
    <w:rsid w:val="702E4A59"/>
    <w:rsid w:val="70325B1F"/>
    <w:rsid w:val="703D04E1"/>
    <w:rsid w:val="703E3C6D"/>
    <w:rsid w:val="704F0BC1"/>
    <w:rsid w:val="70572636"/>
    <w:rsid w:val="7066405F"/>
    <w:rsid w:val="707A30C7"/>
    <w:rsid w:val="70804C7A"/>
    <w:rsid w:val="708D2886"/>
    <w:rsid w:val="708F61D3"/>
    <w:rsid w:val="70A90146"/>
    <w:rsid w:val="70B12292"/>
    <w:rsid w:val="70B35444"/>
    <w:rsid w:val="70B35F38"/>
    <w:rsid w:val="70B9783B"/>
    <w:rsid w:val="70CC6D72"/>
    <w:rsid w:val="70E83F87"/>
    <w:rsid w:val="70F36B9C"/>
    <w:rsid w:val="70FC74D0"/>
    <w:rsid w:val="711819AC"/>
    <w:rsid w:val="712853C9"/>
    <w:rsid w:val="71290DE0"/>
    <w:rsid w:val="71414589"/>
    <w:rsid w:val="714F5CF5"/>
    <w:rsid w:val="71622899"/>
    <w:rsid w:val="7169742F"/>
    <w:rsid w:val="7172232C"/>
    <w:rsid w:val="71822C52"/>
    <w:rsid w:val="718954E0"/>
    <w:rsid w:val="718D4B69"/>
    <w:rsid w:val="71955BE8"/>
    <w:rsid w:val="71973986"/>
    <w:rsid w:val="71AA12F4"/>
    <w:rsid w:val="71AE1056"/>
    <w:rsid w:val="71DF3877"/>
    <w:rsid w:val="71F150D6"/>
    <w:rsid w:val="71F46C85"/>
    <w:rsid w:val="72105BDE"/>
    <w:rsid w:val="72113CBF"/>
    <w:rsid w:val="72211A5A"/>
    <w:rsid w:val="72303324"/>
    <w:rsid w:val="72412F5C"/>
    <w:rsid w:val="72450E29"/>
    <w:rsid w:val="72462989"/>
    <w:rsid w:val="725F7785"/>
    <w:rsid w:val="72684A11"/>
    <w:rsid w:val="72693A91"/>
    <w:rsid w:val="726D7CEA"/>
    <w:rsid w:val="72821D6B"/>
    <w:rsid w:val="728D6122"/>
    <w:rsid w:val="729531B1"/>
    <w:rsid w:val="72967339"/>
    <w:rsid w:val="72982580"/>
    <w:rsid w:val="729C2964"/>
    <w:rsid w:val="72A85A0A"/>
    <w:rsid w:val="72A9042B"/>
    <w:rsid w:val="72AE7B36"/>
    <w:rsid w:val="72B8523C"/>
    <w:rsid w:val="72BA6D4A"/>
    <w:rsid w:val="72C000E8"/>
    <w:rsid w:val="72C9062D"/>
    <w:rsid w:val="72E10AEE"/>
    <w:rsid w:val="72E41463"/>
    <w:rsid w:val="72E43211"/>
    <w:rsid w:val="72F11701"/>
    <w:rsid w:val="72F316A6"/>
    <w:rsid w:val="730608DB"/>
    <w:rsid w:val="730D291A"/>
    <w:rsid w:val="730E4842"/>
    <w:rsid w:val="73483767"/>
    <w:rsid w:val="7349335A"/>
    <w:rsid w:val="73495224"/>
    <w:rsid w:val="734971E7"/>
    <w:rsid w:val="734E141F"/>
    <w:rsid w:val="7359445E"/>
    <w:rsid w:val="73622B3F"/>
    <w:rsid w:val="73623500"/>
    <w:rsid w:val="736C4406"/>
    <w:rsid w:val="736D16B1"/>
    <w:rsid w:val="737C78ED"/>
    <w:rsid w:val="73832A2A"/>
    <w:rsid w:val="738C5E9F"/>
    <w:rsid w:val="739D1C09"/>
    <w:rsid w:val="73BC1547"/>
    <w:rsid w:val="73BF7684"/>
    <w:rsid w:val="73C43E2C"/>
    <w:rsid w:val="73DB3A20"/>
    <w:rsid w:val="73DE2356"/>
    <w:rsid w:val="73EE67AF"/>
    <w:rsid w:val="740404D8"/>
    <w:rsid w:val="74173D7F"/>
    <w:rsid w:val="741E420B"/>
    <w:rsid w:val="743907FF"/>
    <w:rsid w:val="743A4404"/>
    <w:rsid w:val="744477C6"/>
    <w:rsid w:val="746D75B0"/>
    <w:rsid w:val="746F78F3"/>
    <w:rsid w:val="747503CE"/>
    <w:rsid w:val="74792188"/>
    <w:rsid w:val="747D0B9F"/>
    <w:rsid w:val="747E7296"/>
    <w:rsid w:val="748459C1"/>
    <w:rsid w:val="7499513D"/>
    <w:rsid w:val="749E3645"/>
    <w:rsid w:val="74BC379C"/>
    <w:rsid w:val="74D80DB5"/>
    <w:rsid w:val="74EE2568"/>
    <w:rsid w:val="75061904"/>
    <w:rsid w:val="750758DC"/>
    <w:rsid w:val="75232796"/>
    <w:rsid w:val="752754CD"/>
    <w:rsid w:val="7535614F"/>
    <w:rsid w:val="75381CFD"/>
    <w:rsid w:val="75482EF2"/>
    <w:rsid w:val="754D419B"/>
    <w:rsid w:val="75586847"/>
    <w:rsid w:val="755C6EC0"/>
    <w:rsid w:val="75644852"/>
    <w:rsid w:val="757329BF"/>
    <w:rsid w:val="75974FFA"/>
    <w:rsid w:val="75977835"/>
    <w:rsid w:val="759B5835"/>
    <w:rsid w:val="75B043C4"/>
    <w:rsid w:val="75B95D0C"/>
    <w:rsid w:val="75C94F09"/>
    <w:rsid w:val="75C97E02"/>
    <w:rsid w:val="75CB3DFD"/>
    <w:rsid w:val="75CF3665"/>
    <w:rsid w:val="75D21A46"/>
    <w:rsid w:val="75E47073"/>
    <w:rsid w:val="761E737D"/>
    <w:rsid w:val="76213539"/>
    <w:rsid w:val="762B32F0"/>
    <w:rsid w:val="762E09F1"/>
    <w:rsid w:val="76412D7B"/>
    <w:rsid w:val="76490712"/>
    <w:rsid w:val="765D4FD7"/>
    <w:rsid w:val="766125C4"/>
    <w:rsid w:val="766239DA"/>
    <w:rsid w:val="7664058A"/>
    <w:rsid w:val="767424C0"/>
    <w:rsid w:val="76790114"/>
    <w:rsid w:val="76794C42"/>
    <w:rsid w:val="76874A1D"/>
    <w:rsid w:val="768B782E"/>
    <w:rsid w:val="769D6C77"/>
    <w:rsid w:val="769E6F80"/>
    <w:rsid w:val="76A35191"/>
    <w:rsid w:val="76BF01C1"/>
    <w:rsid w:val="76BF2728"/>
    <w:rsid w:val="76D05FEC"/>
    <w:rsid w:val="76D5498C"/>
    <w:rsid w:val="76DD5C15"/>
    <w:rsid w:val="76ED7314"/>
    <w:rsid w:val="770B6281"/>
    <w:rsid w:val="771034A7"/>
    <w:rsid w:val="771575F9"/>
    <w:rsid w:val="772954D7"/>
    <w:rsid w:val="77363B42"/>
    <w:rsid w:val="773E5742"/>
    <w:rsid w:val="774142FD"/>
    <w:rsid w:val="776B6CEB"/>
    <w:rsid w:val="77767457"/>
    <w:rsid w:val="77A52722"/>
    <w:rsid w:val="77AC3467"/>
    <w:rsid w:val="77BA5A9E"/>
    <w:rsid w:val="77BB1FC1"/>
    <w:rsid w:val="78010A25"/>
    <w:rsid w:val="78031F82"/>
    <w:rsid w:val="780422B9"/>
    <w:rsid w:val="781225CE"/>
    <w:rsid w:val="7817385D"/>
    <w:rsid w:val="782145BE"/>
    <w:rsid w:val="78222BC3"/>
    <w:rsid w:val="782B7E6D"/>
    <w:rsid w:val="78560FED"/>
    <w:rsid w:val="785A07FC"/>
    <w:rsid w:val="78612C6D"/>
    <w:rsid w:val="786F150C"/>
    <w:rsid w:val="7892580D"/>
    <w:rsid w:val="789B08CD"/>
    <w:rsid w:val="78A77DFF"/>
    <w:rsid w:val="78AA793B"/>
    <w:rsid w:val="78AE28B5"/>
    <w:rsid w:val="78B16A52"/>
    <w:rsid w:val="78BD22C6"/>
    <w:rsid w:val="78C36F49"/>
    <w:rsid w:val="78C5667F"/>
    <w:rsid w:val="78CC6EC1"/>
    <w:rsid w:val="78DE4BDD"/>
    <w:rsid w:val="78E52306"/>
    <w:rsid w:val="790C067A"/>
    <w:rsid w:val="7913213A"/>
    <w:rsid w:val="791568C0"/>
    <w:rsid w:val="7919741F"/>
    <w:rsid w:val="79205E80"/>
    <w:rsid w:val="79272AC6"/>
    <w:rsid w:val="792958BB"/>
    <w:rsid w:val="792D0205"/>
    <w:rsid w:val="79345361"/>
    <w:rsid w:val="793506F6"/>
    <w:rsid w:val="794810EC"/>
    <w:rsid w:val="79586707"/>
    <w:rsid w:val="79615675"/>
    <w:rsid w:val="796A00C7"/>
    <w:rsid w:val="79756A5F"/>
    <w:rsid w:val="797771D4"/>
    <w:rsid w:val="798D6B0A"/>
    <w:rsid w:val="79905EA0"/>
    <w:rsid w:val="79994130"/>
    <w:rsid w:val="79A67797"/>
    <w:rsid w:val="79AE0897"/>
    <w:rsid w:val="79B80D2D"/>
    <w:rsid w:val="79BC4424"/>
    <w:rsid w:val="79CC1DB2"/>
    <w:rsid w:val="79D343FD"/>
    <w:rsid w:val="79DA3044"/>
    <w:rsid w:val="79E20B04"/>
    <w:rsid w:val="79EE0E19"/>
    <w:rsid w:val="79F4379E"/>
    <w:rsid w:val="7A037F92"/>
    <w:rsid w:val="7A082344"/>
    <w:rsid w:val="7A0D32DE"/>
    <w:rsid w:val="7A0E03B1"/>
    <w:rsid w:val="7A151E66"/>
    <w:rsid w:val="7A1C03B0"/>
    <w:rsid w:val="7A304764"/>
    <w:rsid w:val="7A313AF2"/>
    <w:rsid w:val="7A3910FE"/>
    <w:rsid w:val="7A5024FD"/>
    <w:rsid w:val="7A5938A0"/>
    <w:rsid w:val="7A5C41A9"/>
    <w:rsid w:val="7A801D56"/>
    <w:rsid w:val="7A8D0632"/>
    <w:rsid w:val="7A8F6158"/>
    <w:rsid w:val="7A940882"/>
    <w:rsid w:val="7A94495F"/>
    <w:rsid w:val="7AB50BD5"/>
    <w:rsid w:val="7AB67B89"/>
    <w:rsid w:val="7AB756AF"/>
    <w:rsid w:val="7ABB516A"/>
    <w:rsid w:val="7ACC2741"/>
    <w:rsid w:val="7AE045A5"/>
    <w:rsid w:val="7AF12E8B"/>
    <w:rsid w:val="7AFD23D6"/>
    <w:rsid w:val="7B1B4B9B"/>
    <w:rsid w:val="7B292109"/>
    <w:rsid w:val="7B3D7962"/>
    <w:rsid w:val="7B556F25"/>
    <w:rsid w:val="7B5B2E6E"/>
    <w:rsid w:val="7B647318"/>
    <w:rsid w:val="7B6A6532"/>
    <w:rsid w:val="7B736519"/>
    <w:rsid w:val="7B74633B"/>
    <w:rsid w:val="7B7D06A6"/>
    <w:rsid w:val="7B865E15"/>
    <w:rsid w:val="7B9468A9"/>
    <w:rsid w:val="7BAD174C"/>
    <w:rsid w:val="7BB001B0"/>
    <w:rsid w:val="7BBA5A4D"/>
    <w:rsid w:val="7BDD1145"/>
    <w:rsid w:val="7BDD3F1F"/>
    <w:rsid w:val="7BF854E1"/>
    <w:rsid w:val="7C042B76"/>
    <w:rsid w:val="7C0A5F05"/>
    <w:rsid w:val="7C1136C6"/>
    <w:rsid w:val="7C23052E"/>
    <w:rsid w:val="7C283B78"/>
    <w:rsid w:val="7C32323F"/>
    <w:rsid w:val="7C3A7075"/>
    <w:rsid w:val="7C3E4929"/>
    <w:rsid w:val="7C49520B"/>
    <w:rsid w:val="7C4B4FD1"/>
    <w:rsid w:val="7C5331B5"/>
    <w:rsid w:val="7C571093"/>
    <w:rsid w:val="7C591295"/>
    <w:rsid w:val="7C691D70"/>
    <w:rsid w:val="7C7654ED"/>
    <w:rsid w:val="7C7F3E2C"/>
    <w:rsid w:val="7C876074"/>
    <w:rsid w:val="7C8D4AAD"/>
    <w:rsid w:val="7CAE6F04"/>
    <w:rsid w:val="7CBE2D25"/>
    <w:rsid w:val="7CBF6534"/>
    <w:rsid w:val="7CCD5D9E"/>
    <w:rsid w:val="7CE53BA8"/>
    <w:rsid w:val="7CE945FD"/>
    <w:rsid w:val="7D023548"/>
    <w:rsid w:val="7D221505"/>
    <w:rsid w:val="7D5771A1"/>
    <w:rsid w:val="7D610281"/>
    <w:rsid w:val="7D6206AD"/>
    <w:rsid w:val="7D633B39"/>
    <w:rsid w:val="7D696FB0"/>
    <w:rsid w:val="7D77301C"/>
    <w:rsid w:val="7D8038B1"/>
    <w:rsid w:val="7D9721EC"/>
    <w:rsid w:val="7DA04151"/>
    <w:rsid w:val="7DA162F1"/>
    <w:rsid w:val="7DA45CA4"/>
    <w:rsid w:val="7DA83736"/>
    <w:rsid w:val="7DAF28EC"/>
    <w:rsid w:val="7DC167A5"/>
    <w:rsid w:val="7DD3167C"/>
    <w:rsid w:val="7DDC2DCB"/>
    <w:rsid w:val="7DEB70D5"/>
    <w:rsid w:val="7DF270B2"/>
    <w:rsid w:val="7DF35EBA"/>
    <w:rsid w:val="7E2C29A8"/>
    <w:rsid w:val="7E3035C0"/>
    <w:rsid w:val="7E483840"/>
    <w:rsid w:val="7E584441"/>
    <w:rsid w:val="7E5F6735"/>
    <w:rsid w:val="7E6B1BCB"/>
    <w:rsid w:val="7E8C2FC0"/>
    <w:rsid w:val="7E9A6525"/>
    <w:rsid w:val="7E9B4681"/>
    <w:rsid w:val="7EB17A48"/>
    <w:rsid w:val="7EBE7517"/>
    <w:rsid w:val="7ECA3C03"/>
    <w:rsid w:val="7ECB5727"/>
    <w:rsid w:val="7EDE4F29"/>
    <w:rsid w:val="7EE16711"/>
    <w:rsid w:val="7EE822DB"/>
    <w:rsid w:val="7EEC76DC"/>
    <w:rsid w:val="7EF05A8C"/>
    <w:rsid w:val="7F026F69"/>
    <w:rsid w:val="7F10493B"/>
    <w:rsid w:val="7F105345"/>
    <w:rsid w:val="7F293964"/>
    <w:rsid w:val="7F35096D"/>
    <w:rsid w:val="7F3C1262"/>
    <w:rsid w:val="7F424E4D"/>
    <w:rsid w:val="7F425C6C"/>
    <w:rsid w:val="7F4C1D27"/>
    <w:rsid w:val="7F6050CE"/>
    <w:rsid w:val="7F6241B6"/>
    <w:rsid w:val="7F624F65"/>
    <w:rsid w:val="7F714013"/>
    <w:rsid w:val="7F882947"/>
    <w:rsid w:val="7F8C2784"/>
    <w:rsid w:val="7F8C47AA"/>
    <w:rsid w:val="7F9172C4"/>
    <w:rsid w:val="7F942BAB"/>
    <w:rsid w:val="7FAB5983"/>
    <w:rsid w:val="7FAB6360"/>
    <w:rsid w:val="7FB0104A"/>
    <w:rsid w:val="7FB333EE"/>
    <w:rsid w:val="7FB82BB4"/>
    <w:rsid w:val="7FC17854"/>
    <w:rsid w:val="7FD013D0"/>
    <w:rsid w:val="7FD01E42"/>
    <w:rsid w:val="7FD05249"/>
    <w:rsid w:val="7FD34D39"/>
    <w:rsid w:val="7FD52A46"/>
    <w:rsid w:val="7FDB3CBC"/>
    <w:rsid w:val="7FDB50F2"/>
    <w:rsid w:val="7FDE6A4B"/>
    <w:rsid w:val="7FE33268"/>
    <w:rsid w:val="7FF6278C"/>
    <w:rsid w:val="7FF667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spacing w:before="104" w:beforeLines="0" w:after="104" w:afterLines="0" w:line="0" w:lineRule="atLeast"/>
      <w:ind w:firstLine="0" w:firstLineChars="0"/>
      <w:jc w:val="center"/>
      <w:outlineLvl w:val="0"/>
    </w:pPr>
    <w:rPr>
      <w:rFonts w:ascii="Arial" w:hAnsi="Arial" w:eastAsia="黑体"/>
      <w:sz w:val="32"/>
    </w:rPr>
  </w:style>
  <w:style w:type="paragraph" w:styleId="4">
    <w:name w:val="heading 2"/>
    <w:basedOn w:val="1"/>
    <w:next w:val="1"/>
    <w:autoRedefine/>
    <w:qFormat/>
    <w:uiPriority w:val="0"/>
    <w:pPr>
      <w:spacing w:line="0" w:lineRule="atLeast"/>
      <w:ind w:firstLine="0" w:firstLineChars="0"/>
      <w:jc w:val="center"/>
      <w:outlineLvl w:val="1"/>
    </w:pPr>
    <w:rPr>
      <w:rFonts w:ascii="Times New Roman" w:hAnsi="Times New Roman"/>
      <w:sz w:val="28"/>
    </w:rPr>
  </w:style>
  <w:style w:type="paragraph" w:styleId="5">
    <w:name w:val="heading 3"/>
    <w:basedOn w:val="1"/>
    <w:next w:val="1"/>
    <w:autoRedefine/>
    <w:qFormat/>
    <w:uiPriority w:val="0"/>
    <w:pPr>
      <w:spacing w:before="104" w:beforeLines="0" w:after="104" w:afterLines="0"/>
      <w:ind w:firstLine="0" w:firstLineChars="0"/>
      <w:outlineLvl w:val="2"/>
    </w:pPr>
    <w:rPr>
      <w:rFonts w:eastAsia="黑体"/>
    </w:rPr>
  </w:style>
  <w:style w:type="paragraph" w:styleId="2">
    <w:name w:val="heading 4"/>
    <w:basedOn w:val="1"/>
    <w:next w:val="1"/>
    <w:qFormat/>
    <w:uiPriority w:val="0"/>
    <w:pPr>
      <w:keepNext/>
      <w:keepLines/>
      <w:spacing w:before="280" w:after="290" w:line="376" w:lineRule="auto"/>
      <w:outlineLvl w:val="3"/>
    </w:pPr>
    <w:rPr>
      <w:rFonts w:ascii="Arial" w:hAnsi="Arial" w:eastAsia="黑体"/>
      <w:b/>
      <w:sz w:val="28"/>
      <w:szCs w:val="28"/>
    </w:rPr>
  </w:style>
  <w:style w:type="character" w:default="1" w:styleId="18">
    <w:name w:val="Default Paragraph Font"/>
    <w:link w:val="19"/>
    <w:autoRedefine/>
    <w:semiHidden/>
    <w:qFormat/>
    <w:uiPriority w:val="0"/>
    <w:rPr>
      <w:rFonts w:ascii="Tahoma" w:hAnsi="Tahoma"/>
      <w:sz w:val="24"/>
      <w:szCs w:val="20"/>
    </w:rPr>
  </w:style>
  <w:style w:type="table" w:default="1" w:styleId="17">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6">
    <w:name w:val="Normal Indent"/>
    <w:basedOn w:val="1"/>
    <w:next w:val="1"/>
    <w:autoRedefine/>
    <w:qFormat/>
    <w:uiPriority w:val="0"/>
    <w:pPr>
      <w:ind w:firstLine="420" w:firstLineChars="200"/>
    </w:pPr>
    <w:rPr>
      <w:rFonts w:ascii="Calibri" w:hAnsi="Calibri" w:eastAsia="仿宋"/>
      <w:sz w:val="32"/>
    </w:rPr>
  </w:style>
  <w:style w:type="paragraph" w:styleId="7">
    <w:name w:val="Body Text"/>
    <w:basedOn w:val="1"/>
    <w:next w:val="1"/>
    <w:autoRedefine/>
    <w:qFormat/>
    <w:uiPriority w:val="1"/>
    <w:rPr>
      <w:rFonts w:ascii="仿宋_GB2312" w:hAnsi="仿宋_GB2312" w:eastAsia="仿宋_GB2312" w:cs="仿宋_GB2312"/>
      <w:sz w:val="32"/>
      <w:szCs w:val="32"/>
      <w:lang w:val="zh-CN" w:bidi="zh-CN"/>
    </w:rPr>
  </w:style>
  <w:style w:type="paragraph" w:styleId="8">
    <w:name w:val="HTML Address"/>
    <w:basedOn w:val="1"/>
    <w:autoRedefine/>
    <w:qFormat/>
    <w:uiPriority w:val="0"/>
    <w:rPr>
      <w:i/>
    </w:rPr>
  </w:style>
  <w:style w:type="paragraph" w:styleId="9">
    <w:name w:val="Plain Text"/>
    <w:basedOn w:val="1"/>
    <w:next w:val="10"/>
    <w:autoRedefine/>
    <w:qFormat/>
    <w:uiPriority w:val="0"/>
    <w:rPr>
      <w:rFonts w:ascii="宋体" w:hAnsi="Courier New" w:eastAsia="宋体" w:cs="Courier New"/>
      <w:sz w:val="21"/>
      <w:szCs w:val="21"/>
    </w:rPr>
  </w:style>
  <w:style w:type="paragraph" w:styleId="10">
    <w:name w:val="header"/>
    <w:basedOn w:val="1"/>
    <w:next w:val="8"/>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1">
    <w:name w:val="Balloon Text"/>
    <w:basedOn w:val="1"/>
    <w:link w:val="25"/>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5"/>
    <w:autoRedefine/>
    <w:qFormat/>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5">
    <w:name w:val="文章附标题"/>
    <w:basedOn w:val="1"/>
    <w:next w:val="3"/>
    <w:autoRedefine/>
    <w:qFormat/>
    <w:uiPriority w:val="0"/>
    <w:pPr>
      <w:spacing w:before="104" w:beforeLines="0" w:after="104" w:afterLines="0" w:line="0" w:lineRule="atLeast"/>
      <w:ind w:firstLine="0" w:firstLineChars="0"/>
      <w:jc w:val="center"/>
    </w:pPr>
    <w:rPr>
      <w:sz w:val="36"/>
    </w:rPr>
  </w:style>
  <w:style w:type="paragraph" w:styleId="16">
    <w:name w:val="Body Text First Indent 2"/>
    <w:basedOn w:val="1"/>
    <w:autoRedefine/>
    <w:qFormat/>
    <w:uiPriority w:val="0"/>
    <w:pPr>
      <w:widowControl/>
      <w:spacing w:after="3" w:line="220" w:lineRule="auto"/>
      <w:ind w:left="65" w:firstLine="420" w:firstLineChars="200"/>
    </w:pPr>
    <w:rPr>
      <w:rFonts w:ascii="微软雅黑" w:hAnsi="微软雅黑" w:eastAsia="微软雅黑" w:cs="微软雅黑"/>
      <w:color w:val="000000"/>
      <w:sz w:val="28"/>
    </w:rPr>
  </w:style>
  <w:style w:type="paragraph" w:customStyle="1" w:styleId="19">
    <w:name w:val="Char Char Char Char Char Char"/>
    <w:basedOn w:val="1"/>
    <w:link w:val="18"/>
    <w:autoRedefine/>
    <w:qFormat/>
    <w:uiPriority w:val="0"/>
    <w:rPr>
      <w:rFonts w:ascii="Tahoma" w:hAnsi="Tahoma"/>
      <w:sz w:val="24"/>
      <w:szCs w:val="20"/>
    </w:rPr>
  </w:style>
  <w:style w:type="character" w:styleId="20">
    <w:name w:val="Strong"/>
    <w:autoRedefine/>
    <w:qFormat/>
    <w:uiPriority w:val="0"/>
    <w:rPr>
      <w:b/>
    </w:rPr>
  </w:style>
  <w:style w:type="character" w:styleId="21">
    <w:name w:val="page number"/>
    <w:autoRedefine/>
    <w:qFormat/>
    <w:uiPriority w:val="0"/>
  </w:style>
  <w:style w:type="character" w:styleId="22">
    <w:name w:val="FollowedHyperlink"/>
    <w:autoRedefine/>
    <w:qFormat/>
    <w:uiPriority w:val="0"/>
    <w:rPr>
      <w:color w:val="800080"/>
      <w:u w:val="none"/>
    </w:rPr>
  </w:style>
  <w:style w:type="character" w:styleId="23">
    <w:name w:val="Hyperlink"/>
    <w:autoRedefine/>
    <w:qFormat/>
    <w:uiPriority w:val="0"/>
    <w:rPr>
      <w:color w:val="0000FF"/>
      <w:u w:val="none"/>
    </w:rPr>
  </w:style>
  <w:style w:type="paragraph" w:customStyle="1" w:styleId="24">
    <w:name w:val="Body Text Indent1"/>
    <w:basedOn w:val="1"/>
    <w:autoRedefine/>
    <w:qFormat/>
    <w:uiPriority w:val="0"/>
    <w:pPr>
      <w:ind w:left="420" w:leftChars="200"/>
    </w:pPr>
  </w:style>
  <w:style w:type="character" w:customStyle="1" w:styleId="25">
    <w:name w:val="批注框文本 Char"/>
    <w:link w:val="11"/>
    <w:autoRedefine/>
    <w:qFormat/>
    <w:uiPriority w:val="0"/>
    <w:rPr>
      <w:rFonts w:ascii="Tahoma" w:hAnsi="Tahoma"/>
      <w:kern w:val="2"/>
      <w:sz w:val="18"/>
      <w:szCs w:val="18"/>
    </w:rPr>
  </w:style>
  <w:style w:type="character" w:customStyle="1" w:styleId="26">
    <w:name w:val="on2"/>
    <w:autoRedefine/>
    <w:qFormat/>
    <w:uiPriority w:val="0"/>
    <w:rPr>
      <w:color w:val="195482"/>
    </w:rPr>
  </w:style>
  <w:style w:type="character" w:customStyle="1" w:styleId="27">
    <w:name w:val="gwds_nopic1"/>
    <w:autoRedefine/>
    <w:qFormat/>
    <w:uiPriority w:val="0"/>
  </w:style>
  <w:style w:type="character" w:customStyle="1" w:styleId="28">
    <w:name w:val="on4"/>
    <w:autoRedefine/>
    <w:qFormat/>
    <w:uiPriority w:val="0"/>
    <w:rPr>
      <w:b/>
      <w:color w:val="195482"/>
    </w:rPr>
  </w:style>
  <w:style w:type="character" w:customStyle="1" w:styleId="29">
    <w:name w:val="act2"/>
    <w:autoRedefine/>
    <w:qFormat/>
    <w:uiPriority w:val="0"/>
    <w:rPr>
      <w:color w:val="4D87BE"/>
      <w:shd w:val="clear" w:color="auto" w:fill="FFFFFF"/>
    </w:rPr>
  </w:style>
  <w:style w:type="character" w:customStyle="1" w:styleId="30">
    <w:name w:val="current"/>
    <w:autoRedefine/>
    <w:qFormat/>
    <w:uiPriority w:val="0"/>
    <w:rPr>
      <w:color w:val="333333"/>
    </w:rPr>
  </w:style>
  <w:style w:type="character" w:customStyle="1" w:styleId="31">
    <w:name w:val="jxz"/>
    <w:autoRedefine/>
    <w:qFormat/>
    <w:uiPriority w:val="0"/>
    <w:rPr>
      <w:color w:val="C82A3F"/>
      <w:bdr w:val="single" w:color="C82A3F" w:sz="6" w:space="0"/>
    </w:rPr>
  </w:style>
  <w:style w:type="character" w:customStyle="1" w:styleId="32">
    <w:name w:val="jb"/>
    <w:autoRedefine/>
    <w:qFormat/>
    <w:uiPriority w:val="0"/>
    <w:rPr>
      <w:color w:val="E2A229"/>
      <w:bdr w:val="single" w:color="E2A229" w:sz="6" w:space="0"/>
    </w:rPr>
  </w:style>
  <w:style w:type="character" w:customStyle="1" w:styleId="33">
    <w:name w:val="act8"/>
    <w:autoRedefine/>
    <w:qFormat/>
    <w:uiPriority w:val="0"/>
    <w:rPr>
      <w:color w:val="4D87BE"/>
      <w:shd w:val="clear" w:color="auto" w:fill="FFFFFF"/>
    </w:rPr>
  </w:style>
  <w:style w:type="character" w:customStyle="1" w:styleId="34">
    <w:name w:val="on"/>
    <w:autoRedefine/>
    <w:qFormat/>
    <w:uiPriority w:val="0"/>
    <w:rPr>
      <w:b/>
      <w:color w:val="195482"/>
    </w:rPr>
  </w:style>
  <w:style w:type="character" w:customStyle="1" w:styleId="35">
    <w:name w:val="act7"/>
    <w:autoRedefine/>
    <w:qFormat/>
    <w:uiPriority w:val="0"/>
    <w:rPr>
      <w:color w:val="4D87BE"/>
      <w:shd w:val="clear" w:color="auto" w:fill="FFFFFF"/>
    </w:rPr>
  </w:style>
  <w:style w:type="character" w:customStyle="1" w:styleId="36">
    <w:name w:val="ts"/>
    <w:autoRedefine/>
    <w:qFormat/>
    <w:uiPriority w:val="0"/>
    <w:rPr>
      <w:color w:val="C82A3F"/>
      <w:bdr w:val="single" w:color="C82A3F" w:sz="6" w:space="0"/>
    </w:rPr>
  </w:style>
  <w:style w:type="character" w:customStyle="1" w:styleId="37">
    <w:name w:val="ui-selectmenu-text"/>
    <w:autoRedefine/>
    <w:qFormat/>
    <w:uiPriority w:val="0"/>
  </w:style>
  <w:style w:type="character" w:customStyle="1" w:styleId="38">
    <w:name w:val="on3"/>
    <w:autoRedefine/>
    <w:qFormat/>
    <w:uiPriority w:val="0"/>
    <w:rPr>
      <w:b/>
      <w:color w:val="195383"/>
    </w:rPr>
  </w:style>
  <w:style w:type="character" w:customStyle="1" w:styleId="39">
    <w:name w:val="gwds_nopic"/>
    <w:autoRedefine/>
    <w:qFormat/>
    <w:uiPriority w:val="0"/>
  </w:style>
  <w:style w:type="character" w:customStyle="1" w:styleId="40">
    <w:name w:val="act"/>
    <w:autoRedefine/>
    <w:qFormat/>
    <w:uiPriority w:val="0"/>
    <w:rPr>
      <w:color w:val="4D87BE"/>
      <w:shd w:val="clear" w:color="auto" w:fill="FFFFFF"/>
    </w:rPr>
  </w:style>
  <w:style w:type="character" w:customStyle="1" w:styleId="41">
    <w:name w:val="gwds_nopic2"/>
    <w:autoRedefine/>
    <w:qFormat/>
    <w:uiPriority w:val="0"/>
  </w:style>
  <w:style w:type="character" w:customStyle="1" w:styleId="42">
    <w:name w:val="zx"/>
    <w:autoRedefine/>
    <w:qFormat/>
    <w:uiPriority w:val="0"/>
    <w:rPr>
      <w:color w:val="2FB8A0"/>
      <w:bdr w:val="single" w:color="2FB8A0" w:sz="6" w:space="0"/>
    </w:rPr>
  </w:style>
  <w:style w:type="character" w:customStyle="1" w:styleId="43">
    <w:name w:val="z2"/>
    <w:autoRedefine/>
    <w:qFormat/>
    <w:uiPriority w:val="0"/>
    <w:rPr>
      <w:color w:val="DA0000"/>
      <w:shd w:val="clear" w:color="auto" w:fill="FFFFFF"/>
    </w:rPr>
  </w:style>
  <w:style w:type="character" w:customStyle="1" w:styleId="44">
    <w:name w:val="on6"/>
    <w:autoRedefine/>
    <w:qFormat/>
    <w:uiPriority w:val="0"/>
    <w:rPr>
      <w:b/>
      <w:color w:val="195383"/>
    </w:rPr>
  </w:style>
  <w:style w:type="character" w:customStyle="1" w:styleId="45">
    <w:name w:val="on5"/>
    <w:autoRedefine/>
    <w:qFormat/>
    <w:uiPriority w:val="0"/>
    <w:rPr>
      <w:b/>
      <w:color w:val="004B85"/>
    </w:rPr>
  </w:style>
  <w:style w:type="character" w:customStyle="1" w:styleId="46">
    <w:name w:val="on1"/>
    <w:autoRedefine/>
    <w:qFormat/>
    <w:uiPriority w:val="0"/>
    <w:rPr>
      <w:b/>
      <w:color w:val="004B85"/>
    </w:rPr>
  </w:style>
  <w:style w:type="character" w:customStyle="1" w:styleId="47">
    <w:name w:val="act1"/>
    <w:autoRedefine/>
    <w:qFormat/>
    <w:uiPriority w:val="0"/>
    <w:rPr>
      <w:shd w:val="clear" w:color="auto" w:fill="FF9900"/>
    </w:rPr>
  </w:style>
  <w:style w:type="character" w:customStyle="1" w:styleId="48">
    <w:name w:val="act6"/>
    <w:autoRedefine/>
    <w:qFormat/>
    <w:uiPriority w:val="0"/>
    <w:rPr>
      <w:shd w:val="clear" w:color="auto" w:fill="FF9900"/>
    </w:rPr>
  </w:style>
  <w:style w:type="paragraph" w:customStyle="1" w:styleId="49">
    <w:name w:val="p0"/>
    <w:basedOn w:val="1"/>
    <w:autoRedefine/>
    <w:qFormat/>
    <w:uiPriority w:val="0"/>
    <w:pPr>
      <w:widowControl/>
    </w:pPr>
    <w:rPr>
      <w:kern w:val="0"/>
      <w:szCs w:val="21"/>
    </w:rPr>
  </w:style>
  <w:style w:type="paragraph" w:customStyle="1" w:styleId="50">
    <w:name w:val="Body Text Indent 31"/>
    <w:basedOn w:val="1"/>
    <w:autoRedefine/>
    <w:qFormat/>
    <w:uiPriority w:val="99"/>
    <w:pPr>
      <w:ind w:left="420" w:leftChars="200"/>
    </w:pPr>
    <w:rPr>
      <w:sz w:val="32"/>
    </w:rPr>
  </w:style>
  <w:style w:type="paragraph" w:customStyle="1" w:styleId="51">
    <w:name w:val="引用1"/>
    <w:basedOn w:val="1"/>
    <w:next w:val="1"/>
    <w:autoRedefine/>
    <w:qFormat/>
    <w:uiPriority w:val="29"/>
    <w:rPr>
      <w:i/>
      <w:iCs/>
      <w:color w:val="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17</Pages>
  <Words>8940</Words>
  <Characters>10127</Characters>
  <Lines>105</Lines>
  <Paragraphs>29</Paragraphs>
  <TotalTime>346</TotalTime>
  <ScaleCrop>false</ScaleCrop>
  <LinksUpToDate>false</LinksUpToDate>
  <CharactersWithSpaces>10130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2015-12-29T08:36:00Z</dcterms:created>
  <dc:creator>MC SYSTEM</dc:creator>
  <cp:lastModifiedBy>WPS_1670148425</cp:lastModifiedBy>
  <cp:lastPrinted>2023-12-25T06:43:00Z</cp:lastPrinted>
  <dcterms:modified xsi:type="dcterms:W3CDTF">2025-01-02T03:09:35Z</dcterms:modified>
  <dc:title>关于兴国县2013年财政预算执行情况和2014年财政预算（草案）的报告</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D3EC14FA90C048CBBD88D8A7DA52D4B2_13</vt:lpwstr>
  </property>
  <property fmtid="{D5CDD505-2E9C-101B-9397-08002B2CF9AE}" pid="4" name="KSOTemplateDocerSaveRecord">
    <vt:lpwstr>eyJoZGlkIjoiMjEwOThlODExODA5MjA5MjRhZWIzYTY3NjYwNGQ0YmEiLCJ1c2VySWQiOiIxNDU1NzAxMjc3In0=</vt:lpwstr>
  </property>
</Properties>
</file>