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2024年，兴国县县本级一般公共预算支出执行数70.98亿元，比2023年决算数（下同）增长17.8%。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1.一般公共服务支出执行数增长41.7%。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2.国防支出执行数增长32.3%。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3.公共安全支出执行数下降43.7%。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4.教育支出执行数增长0.3%。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5.科学技术支出执行数增长78.4%。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6.文化旅游体育与传媒支出执行数增长55%。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7.社会保障和就业支出执行数增长25.4%。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8.卫生健康支出执行数下降1.5%。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9.节能环保支出执行数增长24%。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10.城乡社区支出执行数下降39.4%。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11.农林水支出执行数增长4.3%。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12.交通运输支出执行数增长656.6%。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13.资源勘探工业信息等支出执行数增长140.4%。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14.商业服务业等支出执行数下降85.8%。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15.金融支出执行数增长77%。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16.自然资源海洋气象等支出执行数增长109.8%。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17.住房保障支出执行数增长56.2%。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18.粮油物资储备支出执行数下降65.6%。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19.灾害防治及应急管理支出执行数增长149%。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20.债务付息支出执行数增长3.4%。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AF778B60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