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2025年全县政府性基金预算支出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安排情况表(草案)说明</w:t>
      </w:r>
    </w:p>
    <w:p>
      <w:pPr>
        <w:pStyle w:val="7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2025年兴国县政府性基金预算支出安排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highlight w:val="yellow"/>
          <w:lang w:val="en-US" w:eastAsia="zh-CN"/>
        </w:rPr>
        <w:t>29.06亿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元，比2024年执行数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(下同)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下降6%。其中：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1.国有土地使用权出让收入安排的支出预算数下降0.2%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2.城市基础设施配套费安排的支出预算数增长31.6%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3.其他支出预算数增长20.8%。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4.债务付息支出预算数增长14.1%。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5.债务还本支出预算数下降13.7%。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A5EA97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2025-02-21T10:23:30Z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