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2024年全县政府性基金预算支出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ottom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2024年兴国县政府性基金预算支出执行数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yellow"/>
          <w:lang w:val="en-US" w:eastAsia="zh-CN"/>
        </w:rPr>
        <w:t>30.9亿元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，比2023年决算数(下同)增长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yellow"/>
          <w:lang w:val="en-US" w:eastAsia="zh-CN"/>
        </w:rPr>
        <w:t>11.9%。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1.国有土地使用权出让收入安排的支出执行数下降6.8%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2.城市基础设施配套费及对应专项债务收入安排的支出执行数下降54.4%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3.其他支出执行数增长1.9%。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4.债务付息支出执行数增长15.8%。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5.债务还本支出执行数增长189.9%。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3D1566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22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