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2024年全县一般公共预算支出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0" w:firstLineChars="0"/>
        <w:textAlignment w:val="bottom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2024年，全县一般公共预算支出执行数74.18亿元，比2023年决算数（下同）增长23.1%。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1.一般公共服务支出执行数增长41.7%。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2.国防支出执行数增长32.3%。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3.公共安全支出执行数下降43.7%。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4.教育支出执行数增长0.3%。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5.科学技术支出执行数增长78.4%。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6.文化旅游体育与传媒支出执行数增长55%。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7.社会保障和就业支出执行数增长25.4%。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8.卫生健康支出执行数下降1.5%。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9.节能环保支出执行数增长24%。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10.城乡社区支出执行数下降39.4%。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11.农林水支出执行数增长34.5%。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12.交通运输支出执行数增长656.6%。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13.资源勘探工业信息等支出执行数增长140.4%。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14.商业服务业等支出执行数下降85.8%。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15.金融支出执行数增长77%。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16.自然资源海洋气象等支出执行数增长109.8%。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17.住房保障支出执行数增长56.2%，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18.粮油物资储备支出执行数下降65.6%。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19.灾害防治及应急管理支出执行数增长149%。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20.债务付息支出执行数增长3.4%。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7F6CE84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2025-02-21T10:04:35Z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