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2024年兴国县政府性基金预算收入执行数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30.9亿元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，比2023年决算数(下同)增长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11.9%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highlight w:val="yellow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国有土地使用权出让收入执行数下降34%，主要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是2024年政府国有土地出让减少，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 w:bidi="ar"/>
        </w:rPr>
        <w:t>土地相关收入下降。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2.彩票公益金收入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执行数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增长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highlight w:val="yellow"/>
          <w:lang w:val="en-US" w:eastAsia="zh-CN" w:bidi="ar"/>
        </w:rPr>
        <w:t>69.8%。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3.城市基础设施配套费收入执行数增长8.5%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4.污水处理费收入执行数增长13.9%。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5.专项债务对应项目专项收入执行数下降1.7%。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6.上级补助收入执行数增长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206.5%。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7.地方债转贷专项收入执行数增长29.3%。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DFD72936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