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20" w:firstLineChars="300"/>
        <w:jc w:val="both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2024年县本级一般公共预算收入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根据2024年县本级主要经济指标安排情况，2024年一般公共预算收入安排11.32亿元，增长4.5%。其中：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1.一般公共预算税收收入增长8.8%，主要是积极的财政政策加力提效，预计2024年带动一般公共预算税收收入增长。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（1）增值税预算数增长10.4%。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（2）企业所得税增长9.9%。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（3）资源税增长22.9%。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（4）房产税增长38.1%。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（5）契税预算数增长15.8%。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2.一般公共预算非税收入下降3.3%。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（1）行政事业性收费收入预算数增长345.9%。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（2）罚没收入预算数增长138.4%。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（3）国有资源(资产)有偿使用收入预算数下降90.2%。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1A32E62C-FB81-454C-AF35-D5FCFCBEEC17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50CAC26-2942-415D-80F1-C477C1DBF37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21C8856-A339-4A16-9F22-247A3BEAE19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D2386F"/>
    <w:rsid w:val="12E54A8E"/>
    <w:rsid w:val="243200EE"/>
    <w:rsid w:val="42DC36C1"/>
    <w:rsid w:val="51241F2C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14E1DA813AE347CABF8F031DB3C27280_13</vt:lpwstr>
  </property>
</Properties>
</file>