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2023年兴国县政府性基金预算收入执行数27.6亿元，比2022年决算数(下同)下降2.9%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国有土地使用权出让收入执行数增长39.4%，主要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是2023年政府国有土地出让计划数增加，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土地相关收入大幅增长。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3.彩票公益金收入执行数下降19.3%。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4.城市基础设施配套费收入预计执行数下降9.3%，主要是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2023年受疫情及房地产市场持续低迷影响，新增房产项目大幅减少，相应征收的城市基础设施配套费收入减少。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5.污水处理费收入下降13.3%。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6.上级补助收入执行数增长12.7%。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7.地方债转贷专项收入下降23.2%。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8E2558A3-4F13-4F01-85F5-D7A2FB694B4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971514D-37B5-4EE0-A521-7A054B3C22E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F3C6EE1-2D7A-4012-9435-4CAB84BB3E7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243200EE"/>
    <w:rsid w:val="42DC36C1"/>
    <w:rsid w:val="51241F2C"/>
    <w:rsid w:val="65A73E55"/>
    <w:rsid w:val="6F9817A2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814E47598821486BBA186C7E2A04796A_13</vt:lpwstr>
  </property>
</Properties>
</file>