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2023年一般公共预算税收返还和转移支付</w:t>
      </w:r>
      <w:r>
        <w:rPr>
          <w:rFonts w:hint="eastAsia" w:ascii="黑体" w:hAnsi="黑体" w:eastAsia="黑体" w:cs="黑体"/>
          <w:sz w:val="44"/>
          <w:szCs w:val="44"/>
        </w:rPr>
        <w:t>情况说明</w:t>
      </w:r>
    </w:p>
    <w:p>
      <w:pPr>
        <w:jc w:val="both"/>
        <w:rPr>
          <w:rFonts w:hint="eastAsia" w:ascii="黑体" w:hAnsi="黑体" w:eastAsia="黑体" w:cs="黑体"/>
          <w:sz w:val="44"/>
          <w:szCs w:val="44"/>
        </w:rPr>
      </w:pPr>
    </w:p>
    <w:p>
      <w:pPr>
        <w:ind w:firstLine="640" w:firstLineChars="20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2023年转移支付情况：2023年上级下达兴国县转移支付资金47.98亿元，其中：专项转移支付3.15亿元，占6.6%；一般性转移支付42.69亿元，占89%；税收返还收入2.14亿元，占4.4%。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M2RmNGFhYmMzMGE2NTQ3MWFlYjQzZmZlMTkyZjkifQ=="/>
  </w:docVars>
  <w:rsids>
    <w:rsidRoot w:val="00000000"/>
    <w:rsid w:val="0F6D32BA"/>
    <w:rsid w:val="35132477"/>
    <w:rsid w:val="43DC2A94"/>
    <w:rsid w:val="45A578C0"/>
    <w:rsid w:val="48656A26"/>
    <w:rsid w:val="50C31212"/>
    <w:rsid w:val="695B1786"/>
    <w:rsid w:val="71CD1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92</Words>
  <Characters>125</Characters>
  <Lines>0</Lines>
  <Paragraphs>0</Paragraphs>
  <TotalTime>26</TotalTime>
  <ScaleCrop>false</ScaleCrop>
  <LinksUpToDate>false</LinksUpToDate>
  <CharactersWithSpaces>125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2022-03-15T01:44:00Z</dcterms:created>
  <dc:creator>Administrator</dc:creator>
  <cp:lastModifiedBy>WPS_1670148425</cp:lastModifiedBy>
  <dcterms:modified xsi:type="dcterms:W3CDTF">2024-01-26T01:43:00Z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32F9637F05654B7EBED1817A3BE79290</vt:lpwstr>
  </property>
</Properties>
</file>