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2023年全县政府性基金预算支出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2023年兴国县政府性基金预算支出执行数27.6亿元，比2022年决算数(下同)下降2.9%。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1.国有土地使用权出让收入安排的支出执行数增长28.3%，主要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是本年度推进征地拆迁等重点项目建设。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2.城市基础设施配套费安排的支出下降8.25%，主要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是2023年受疫情及房地产市场持续低迷影响，新增房产项目大幅减少，相应征收的城市基础设施配套费收入减少较多。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3.其他支出执行数下降37.1%。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4.债务付息支出执行数增长31.3%，主要是当年新增发行专项政府债券资金增加，需要负担的债务付息及发行费相应增加较多。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9A1CE8DF-5508-43E2-9AAB-B15A1DB9E46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459DB32-5142-4EED-900F-B339D027169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3B3B628-095B-45EE-A711-AB7F9835806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1EF8115B"/>
    <w:rsid w:val="243200EE"/>
    <w:rsid w:val="42DC36C1"/>
    <w:rsid w:val="46D40D43"/>
    <w:rsid w:val="49A83CE4"/>
    <w:rsid w:val="51241F2C"/>
    <w:rsid w:val="65A73E55"/>
    <w:rsid w:val="6F9817A2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7CC941796C7843199871A0D8E56812D7_13</vt:lpwstr>
  </property>
</Properties>
</file>