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2024年全县政府性基金预算支出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安排情况表(草案)说明</w:t>
      </w:r>
    </w:p>
    <w:p>
      <w:pPr>
        <w:pStyle w:val="5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84" w:firstLineChars="200"/>
        <w:jc w:val="left"/>
        <w:textAlignment w:val="bottom"/>
        <w:rPr>
          <w:rFonts w:hint="eastAsia" w:ascii="仿宋_GB2312" w:hAnsi="仿宋_GB2312" w:eastAsia="仿宋_GB2312" w:cs="仿宋_GB2312"/>
          <w:spacing w:val="11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2024年兴国县政府性基金预算支出安排22.61亿元，同比下降18.1%。其中：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84" w:firstLineChars="200"/>
        <w:jc w:val="left"/>
        <w:textAlignment w:val="bottom"/>
        <w:rPr>
          <w:rFonts w:hint="eastAsia" w:ascii="仿宋_GB2312" w:hAnsi="仿宋_GB2312" w:eastAsia="仿宋_GB2312" w:cs="仿宋_GB2312"/>
          <w:color w:val="auto"/>
          <w:spacing w:val="11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国有土地使用权出让收入安排的支出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下降34.1%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，主要是</w:t>
      </w:r>
      <w:r>
        <w:rPr>
          <w:rFonts w:hint="eastAsia" w:ascii="仿宋_GB2312" w:hAnsi="仿宋_GB2312" w:eastAsia="仿宋_GB2312" w:cs="仿宋_GB2312"/>
          <w:color w:val="auto"/>
          <w:spacing w:val="11"/>
          <w:sz w:val="32"/>
          <w:szCs w:val="32"/>
        </w:rPr>
        <w:t>土地出让收入</w:t>
      </w:r>
      <w:r>
        <w:rPr>
          <w:rFonts w:hint="eastAsia" w:ascii="仿宋_GB2312" w:hAnsi="仿宋_GB2312" w:eastAsia="仿宋_GB2312" w:cs="仿宋_GB2312"/>
          <w:color w:val="auto"/>
          <w:spacing w:val="11"/>
          <w:sz w:val="32"/>
          <w:szCs w:val="32"/>
          <w:lang w:val="en-US" w:eastAsia="zh-CN"/>
        </w:rPr>
        <w:t>下降</w:t>
      </w:r>
      <w:r>
        <w:rPr>
          <w:rFonts w:hint="eastAsia" w:ascii="仿宋_GB2312" w:hAnsi="仿宋_GB2312" w:eastAsia="仿宋_GB2312" w:cs="仿宋_GB2312"/>
          <w:color w:val="auto"/>
          <w:spacing w:val="11"/>
          <w:sz w:val="32"/>
          <w:szCs w:val="32"/>
        </w:rPr>
        <w:t>，相应安排的支出</w:t>
      </w:r>
      <w:r>
        <w:rPr>
          <w:rFonts w:hint="eastAsia" w:ascii="仿宋_GB2312" w:hAnsi="仿宋_GB2312" w:eastAsia="仿宋_GB2312" w:cs="仿宋_GB2312"/>
          <w:color w:val="auto"/>
          <w:spacing w:val="11"/>
          <w:sz w:val="32"/>
          <w:szCs w:val="32"/>
          <w:lang w:val="en-US" w:eastAsia="zh-CN"/>
        </w:rPr>
        <w:t>减少</w:t>
      </w:r>
      <w:r>
        <w:rPr>
          <w:rFonts w:hint="eastAsia" w:ascii="仿宋_GB2312" w:hAnsi="仿宋_GB2312" w:eastAsia="仿宋_GB2312" w:cs="仿宋_GB2312"/>
          <w:color w:val="auto"/>
          <w:spacing w:val="11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84" w:firstLineChars="200"/>
        <w:jc w:val="left"/>
        <w:textAlignment w:val="bottom"/>
        <w:rPr>
          <w:rFonts w:hint="eastAsia" w:ascii="仿宋_GB2312" w:hAnsi="仿宋_GB2312" w:eastAsia="仿宋_GB2312" w:cs="仿宋_GB2312"/>
          <w:spacing w:val="11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城市基础设施配套费安排的支出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增长20.1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84" w:firstLineChars="200"/>
        <w:jc w:val="left"/>
        <w:textAlignment w:val="bottom"/>
        <w:rPr>
          <w:rFonts w:hint="eastAsia" w:ascii="仿宋_GB2312" w:hAnsi="仿宋_GB2312" w:eastAsia="仿宋_GB2312" w:cs="仿宋_GB2312"/>
          <w:spacing w:val="11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污水处理费收入安排的支出增长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125.8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%，主要是污水处理费收入增长，加大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了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对污水处理项目的支持力度。</w:t>
      </w:r>
    </w:p>
    <w:p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债务付息支出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增长11.8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5617EBE0-3F45-455B-861B-38E2A3435D9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E483F31E-4E3F-40DA-9083-718F64D375A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A60C7EBA-D2D4-4B78-82D8-DD8C4F04E04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04DD26B6"/>
    <w:rsid w:val="04DD26B6"/>
    <w:rsid w:val="12D2386F"/>
    <w:rsid w:val="12E54A8E"/>
    <w:rsid w:val="180608F8"/>
    <w:rsid w:val="1EF8115B"/>
    <w:rsid w:val="243200EE"/>
    <w:rsid w:val="42DC36C1"/>
    <w:rsid w:val="46D40D43"/>
    <w:rsid w:val="49A83CE4"/>
    <w:rsid w:val="51241F2C"/>
    <w:rsid w:val="65A73E55"/>
    <w:rsid w:val="6F9817A2"/>
    <w:rsid w:val="70920AC0"/>
    <w:rsid w:val="78686692"/>
    <w:rsid w:val="79306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2024-01-29T01:24:00Z</dcterms:created>
  <dc:creator>WPS_1670148425</dc:creator>
  <cp:lastModifiedBy>WPS_1670148425</cp:lastModifiedBy>
  <dcterms:modified xsi:type="dcterms:W3CDTF">2024-01-29T01:53:06Z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3A87F96D8B5740EB85F6B055B2FCFAD1_13</vt:lpwstr>
  </property>
</Properties>
</file>