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2023年兴国县一般公共预算收入执行数10.84亿元，比2022年决算数(下同)增长7.6%。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1.增值税执行数增长54.7%。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2.企业所得税执行数下降30.9%，主要是受疫情、经济下行等因素影响，企业利润下降，导致企业所得税下降。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3.资源税执行数下降40.1%。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4.房产税执行数下降40%，印花税执行数下降45.7%。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5.城镇土地使用税执行数下降18.8%。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6.土地增值税执行数下降5.7%，主要是房地产建设项目减少，影响收入减少。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7.个人所得税执行数增长34.5%。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8.城市维护建设税预计执行数增长4.1%。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9.车船税执行数增长20%，主要是加强保险公司车船税的征收管理，车船税增长较多。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10.烟叶税执行数增长4.1%。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11.耕地占用税执行数增长77.7%。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12.契税执行数增长2.7%。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13.行政事业性收费收入执行数下降87%，罚没收入执行数下降41.1%。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14.国有资产(资源)有偿使用收入执行数增长728.1%，主要是盘活国有资产。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2A3F241F-C829-4F10-8F79-C54C5227722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8702F9E-09EE-4A84-865F-79442EC37FE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4E46BCD-FF6F-402C-98EB-8674B38CDF1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8ACBDC6EB72F43D6956DC65E000738C1_11</vt:lpwstr>
  </property>
</Properties>
</file>