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2024年全县国有资本经营预算支出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pStyle w:val="5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国有资本经营预算收入安排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550万元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年执行数下降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15.77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%。主要是202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年收入预算下降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15.77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%，按“以收定支，不留赤字”的原则，支出相应下降。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F9AF1995-85E3-44EF-978B-A686BD09336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D5A9E0A-016A-4826-BE92-9C63FE5045F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82C3875-98FB-417D-A50F-C9119099712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D2386F"/>
    <w:rsid w:val="12E54A8E"/>
    <w:rsid w:val="180608F8"/>
    <w:rsid w:val="1EF8115B"/>
    <w:rsid w:val="243200EE"/>
    <w:rsid w:val="42DC36C1"/>
    <w:rsid w:val="46D40D43"/>
    <w:rsid w:val="49A83CE4"/>
    <w:rsid w:val="50E23A41"/>
    <w:rsid w:val="51241F2C"/>
    <w:rsid w:val="531B7E68"/>
    <w:rsid w:val="65A73E55"/>
    <w:rsid w:val="6F9817A2"/>
    <w:rsid w:val="70920AC0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E334935AEEDD48C68CA1704109AD49D5_13</vt:lpwstr>
  </property>
</Properties>
</file>