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方正小标宋简体" w:eastAsia="方正小标宋简体" w:cs="方正小标宋简体"/>
          <w:b w:val="0"/>
          <w:bCs/>
          <w:sz w:val="44"/>
          <w:szCs w:val="44"/>
          <w:lang w:val="en-US" w:eastAsia="zh-CN"/>
        </w:rPr>
      </w:pPr>
      <w:bookmarkStart w:id="0" w:name="_GoBack"/>
      <w:r>
        <w:rPr>
          <w:rFonts w:hint="eastAsia" w:ascii="方正小标宋简体" w:hAnsi="方正小标宋简体" w:eastAsia="方正小标宋简体" w:cs="方正小标宋简体"/>
          <w:b w:val="0"/>
          <w:bCs/>
          <w:sz w:val="44"/>
          <w:szCs w:val="44"/>
          <w:lang w:val="en-US" w:eastAsia="zh-CN"/>
        </w:rPr>
        <w:t>2024年全县社会保险基金收入预算表（草案）</w:t>
      </w:r>
    </w:p>
    <w:p>
      <w:pPr>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说 明</w:t>
      </w:r>
      <w:bookmarkEnd w:id="0"/>
    </w:p>
    <w:p>
      <w:pPr>
        <w:jc w:val="center"/>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bottom"/>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一、机关事业单位基本养老保险基金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1、社会保险费收入：2024年预算数比2023年预算数增长0.3%，属正常增长。</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2、财政补贴收入：2024年预算数比2023年预算数增长15.1%。按照财社〔2023〕号关于编报2024年社会保险基金预算的通知要求，中央财政补贴资金按10%预算，不足部分由县级财补助。2024年机关养老收支缺口资金6356万元。</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3、其他基本养老保险基金收入：2024年预算数比2023年预算数增长91.3%，主要是2023年转移收入执行数大幅增加，一是2023年原来在企业身份参保的，退休时以机关事业单位身份退休的人数无法预计到引起；二是退役军人养老保险关系转移收入在逐年上升。</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bottom"/>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二、城乡居民基本养老保险基金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1、个人缴费收入：2024年预算数比2023年预算数减少3.9%。报表编报口径不一致引起的，按照财社〔2023〕号关于编报2024年社会保险基金预算的通知要求，原来失地农民参加城乡居民养老保险的政府补助资金计入个人缴费收入，2024年预算编制要求计入其他收入。剔除这项因数2024年预算数比2023年预算数增长2.1%。</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2、财政补贴收入：2024年预算数比2023年预算数增长14.8%。城乡居民养老保险待遇支出全部由中央、省、县财政负担。根据赣人社字〔2023〕336号通知要求，从2023年7月1日起基础养老金提标5元，按照财社〔2023〕号编报2024年社会保险基金预算的通知要求，2024年基础养老金暂提高5元预算。2024年最低基础养老金达到182元/人月，188元/人月，194元/人月。（其中中央负担108元/月，省级负担12元/月，县级负担62元/人月）；2024年预算数比2023年执行数减少4.7%，主要是2023年执行数中有2022年未到位的财补资金3381万元，剔除这个因素，2024年预算数比2023年执行数增长8.4%。</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3、其他收入：2024年预算数比2023年预算数增长18.3%。填报口径不一致，失地农民参加城乡居民养老保险的政府补助资金计入其他收入；2024年预算数比2023年执行数增长12.5%，主要是委托投资收益增加。我省自确定2020年启动城乡居民基本养老保险基金委托投资（人社厅发〔2019〕33号及赣人社字〔2020〕235号通知要求），为促进基金保值增值，截止2023年底已经上划委托投资额30056万元。2024年按年均保底收益率2.23%进行测算收益。</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BA1770-2154-460A-9301-0654BB9091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FDAE574D-9AB2-47C3-A108-086D80F46DDD}"/>
  </w:font>
  <w:font w:name="方正小标宋简体">
    <w:panose1 w:val="02000000000000000000"/>
    <w:charset w:val="86"/>
    <w:family w:val="auto"/>
    <w:pitch w:val="default"/>
    <w:sig w:usb0="00000001" w:usb1="08000000" w:usb2="00000000" w:usb3="00000000" w:csb0="00040000" w:csb1="00000000"/>
    <w:embedRegular r:id="rId3" w:fontKey="{39C299E0-0385-4F0B-A6F8-FB7C5C2AABC3}"/>
  </w:font>
  <w:font w:name="仿宋_GB2312">
    <w:panose1 w:val="02010609030101010101"/>
    <w:charset w:val="86"/>
    <w:family w:val="modern"/>
    <w:pitch w:val="default"/>
    <w:sig w:usb0="00000001" w:usb1="080E0000" w:usb2="00000000" w:usb3="00000000" w:csb0="00040000" w:csb1="00000000"/>
    <w:embedRegular r:id="rId4" w:fontKey="{9D00B359-DE2C-43E1-8FF6-198D96FEE43A}"/>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4DD26B6"/>
    <w:rsid w:val="04DD26B6"/>
    <w:rsid w:val="12D2386F"/>
    <w:rsid w:val="12E54A8E"/>
    <w:rsid w:val="180608F8"/>
    <w:rsid w:val="1EF8115B"/>
    <w:rsid w:val="23CF38CC"/>
    <w:rsid w:val="243200EE"/>
    <w:rsid w:val="3C2564BB"/>
    <w:rsid w:val="42DC36C1"/>
    <w:rsid w:val="46D40D43"/>
    <w:rsid w:val="49A83CE4"/>
    <w:rsid w:val="50E23A41"/>
    <w:rsid w:val="51241F2C"/>
    <w:rsid w:val="531B7E68"/>
    <w:rsid w:val="5C433B6E"/>
    <w:rsid w:val="5D032927"/>
    <w:rsid w:val="65A73E55"/>
    <w:rsid w:val="6F9817A2"/>
    <w:rsid w:val="70920AC0"/>
    <w:rsid w:val="78686692"/>
    <w:rsid w:val="79306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5" w:lineRule="atLeast"/>
      <w:ind w:left="1"/>
      <w:jc w:val="both"/>
      <w:textAlignment w:val="bottom"/>
    </w:pPr>
    <w:rPr>
      <w:rFonts w:ascii="Times New Roman" w:hAnsi="Times New Roman" w:eastAsia="宋体" w:cs="Times New Roman"/>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Body Text Indent1"/>
    <w:basedOn w:val="1"/>
    <w:autoRedefine/>
    <w:qFormat/>
    <w:uiPriority w:val="0"/>
    <w:pPr>
      <w:ind w:left="200" w:left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2024-01-29T01:24:00Z</dcterms:created>
  <dc:creator>WPS_1670148425</dc:creator>
  <cp:lastModifiedBy>WPS_1670148425</cp:lastModifiedBy>
  <dcterms:modified xsi:type="dcterms:W3CDTF">2024-01-29T01:57:18Z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1598B809F3FE48C68D1DD8362C72D15B_13</vt:lpwstr>
  </property>
</Properties>
</file>