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C133"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 w14:paraId="174DCA34"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 w14:paraId="4E47770E"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 w14:paraId="3F3059C1"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 w14:paraId="17589700"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 w14:paraId="4782823F"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 w14:paraId="75E2BE21">
      <w:pPr>
        <w:pStyle w:val="2"/>
        <w:rPr>
          <w:rFonts w:hint="eastAsia"/>
          <w:lang w:val="en-US" w:eastAsia="zh-CN"/>
        </w:rPr>
      </w:pPr>
    </w:p>
    <w:p w14:paraId="3D9DB871">
      <w:pPr>
        <w:pStyle w:val="2"/>
        <w:rPr>
          <w:rFonts w:hint="eastAsia"/>
          <w:lang w:val="en-US" w:eastAsia="zh-CN"/>
        </w:rPr>
      </w:pPr>
    </w:p>
    <w:p w14:paraId="1B4C3AB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w w:val="100"/>
          <w:sz w:val="32"/>
          <w:szCs w:val="32"/>
          <w:lang w:val="en-US" w:eastAsia="zh-CN"/>
        </w:rPr>
        <w:t>永府发〔2025〕6号</w:t>
      </w:r>
    </w:p>
    <w:p w14:paraId="177F33A7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72" w:beforeLines="200" w:after="0" w:afterLines="0" w:line="4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永丰镇人民政府</w:t>
      </w:r>
    </w:p>
    <w:p w14:paraId="1F1D42C0">
      <w:pPr>
        <w:spacing w:line="58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关于印发《</w:t>
      </w: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永丰镇依法打击“两违”行为快速处置与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联合执法工作方案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》的通知</w:t>
      </w:r>
    </w:p>
    <w:p w14:paraId="66CF0D3A">
      <w:pPr>
        <w:pStyle w:val="9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4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u w:val="none"/>
          <w:lang w:val="en-US" w:eastAsia="zh-CN"/>
        </w:rPr>
      </w:pPr>
    </w:p>
    <w:p w14:paraId="2202B215">
      <w:pPr>
        <w:pStyle w:val="9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各村（居）委会、镇直各站（室）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：</w:t>
      </w:r>
    </w:p>
    <w:p w14:paraId="5D7EF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规范全镇违法占地、违法建设（以下简称“两违”）行为的快速处置与联动执法工作，建立健全“早发现、早制止、早处置”的长效管理机制，经研究，现将《永丰镇依法打击“两违”行为快速处置与联动执法暂行办法》印发给你们，请认真组织实施。</w:t>
      </w:r>
    </w:p>
    <w:p w14:paraId="0AF73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300"/>
        <w:jc w:val="both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本办法自印发之日起执行。请各单位高度重视，组织相关人员认真学习，明确职责分工，严格落实快速报告、联动执法、监督考核等各项要求，确保“两违”管控工作取得实效。</w:t>
      </w:r>
    </w:p>
    <w:p w14:paraId="23473122">
      <w:pPr>
        <w:spacing w:line="580" w:lineRule="exact"/>
        <w:ind w:firstLine="0" w:firstLineChars="0"/>
        <w:jc w:val="both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          </w:t>
      </w:r>
    </w:p>
    <w:p w14:paraId="1062AC91">
      <w:pPr>
        <w:spacing w:line="580" w:lineRule="exact"/>
        <w:ind w:firstLine="0" w:firstLineChars="0"/>
        <w:jc w:val="center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               永丰镇人民政府</w:t>
      </w:r>
    </w:p>
    <w:p w14:paraId="500B23C7">
      <w:pPr>
        <w:spacing w:line="580" w:lineRule="exact"/>
        <w:ind w:firstLine="0" w:firstLineChars="0"/>
        <w:jc w:val="center"/>
        <w:rPr>
          <w:rFonts w:hint="eastAsia" w:ascii="方正小标宋简体" w:eastAsia="方正小标宋简体"/>
          <w:b w:val="0"/>
          <w:bCs w:val="0"/>
          <w:sz w:val="44"/>
          <w:szCs w:val="44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              2025年9月27日</w:t>
      </w:r>
    </w:p>
    <w:p w14:paraId="0708F2A9">
      <w:pPr>
        <w:spacing w:line="580" w:lineRule="exact"/>
        <w:ind w:firstLine="640"/>
        <w:jc w:val="center"/>
        <w:rPr>
          <w:rFonts w:ascii="黑体" w:hAnsi="黑体" w:eastAsia="黑体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永丰镇依法打击“两违”行为快速处置与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联合执法工作方案</w:t>
      </w:r>
    </w:p>
    <w:p w14:paraId="56733F2B">
      <w:pPr>
        <w:spacing w:line="580" w:lineRule="exact"/>
        <w:ind w:firstLine="640"/>
        <w:rPr>
          <w:rFonts w:hint="eastAsia" w:ascii="黑体" w:hAnsi="黑体" w:eastAsia="黑体"/>
        </w:rPr>
      </w:pPr>
    </w:p>
    <w:p w14:paraId="1C643945">
      <w:pPr>
        <w:spacing w:line="580" w:lineRule="exact"/>
        <w:ind w:firstLine="64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第一章 总则</w:t>
      </w:r>
      <w:bookmarkStart w:id="0" w:name="_GoBack"/>
      <w:bookmarkEnd w:id="0"/>
    </w:p>
    <w:p w14:paraId="3228D679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第一条【目的依据】</w:t>
      </w:r>
    </w:p>
    <w:p w14:paraId="63B8B526">
      <w:pPr>
        <w:spacing w:line="580" w:lineRule="exact"/>
        <w:ind w:firstLine="640"/>
      </w:pPr>
      <w:r>
        <w:rPr>
          <w:rFonts w:hint="eastAsia"/>
        </w:rPr>
        <w:t>为坚决遏制和快速处置全镇范围内违法占地、违法建设（简称“两违”）行为，规范城乡规划建设秩序，保护土地资源，维护社会和谐，根据《中华人民共和国城乡规划法》、《中华人民共和国土地管理法》及其他相关法律法规，结合我镇实际，制定本办法。</w:t>
      </w:r>
    </w:p>
    <w:p w14:paraId="693064D3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第二条【适用范围】</w:t>
      </w:r>
    </w:p>
    <w:p w14:paraId="0098D004">
      <w:pPr>
        <w:spacing w:line="580" w:lineRule="exact"/>
        <w:ind w:firstLine="640"/>
      </w:pPr>
      <w:r>
        <w:rPr>
          <w:rFonts w:hint="eastAsia"/>
        </w:rPr>
        <w:t>本办法适用于本镇行政区域内，所有违法占地、违法建设的发现、报告、处置及后续管理工作。</w:t>
      </w:r>
    </w:p>
    <w:p w14:paraId="63B592AA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第三条【工作原则】</w:t>
      </w:r>
    </w:p>
    <w:p w14:paraId="43C72E0D">
      <w:pPr>
        <w:spacing w:line="580" w:lineRule="exact"/>
        <w:ind w:firstLine="640"/>
      </w:pPr>
      <w:r>
        <w:rPr>
          <w:rFonts w:hint="eastAsia"/>
        </w:rPr>
        <w:t>坚持“快速反应、联动执法、依法处置、疏堵结合”的原则。建立“属地管理、部门联动、分级负责、社会监督”的长效管理机制，确保对“两违”行为早发现、早制止、早处置。</w:t>
      </w:r>
    </w:p>
    <w:p w14:paraId="3588BDFD">
      <w:pPr>
        <w:spacing w:line="580" w:lineRule="exact"/>
        <w:ind w:firstLine="64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第二章 组织机构与职责分工</w:t>
      </w:r>
    </w:p>
    <w:p w14:paraId="090D71DE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第四条【领导机构】</w:t>
      </w:r>
    </w:p>
    <w:p w14:paraId="0ED4722D">
      <w:pPr>
        <w:spacing w:line="580" w:lineRule="exact"/>
        <w:ind w:firstLine="640"/>
        <w:rPr>
          <w:rFonts w:hint="eastAsia"/>
        </w:rPr>
      </w:pPr>
      <w:r>
        <w:rPr>
          <w:rFonts w:hint="eastAsia"/>
        </w:rPr>
        <w:t>成立永丰镇依法打击“两违”行为处置工作小组（以下简称“工作组”），由镇长任组长，党委副书记任第一副组长，执法大队长及有关分管领导任副组长，各相关站所负责人及各村（社区）党支部书记为成员。工作组下设办公室于自然资源分中心（农房</w:t>
      </w:r>
    </w:p>
    <w:p w14:paraId="5C072BDD">
      <w:pPr>
        <w:spacing w:line="580" w:lineRule="exact"/>
        <w:ind w:firstLine="640"/>
        <w:rPr>
          <w:rFonts w:hint="eastAsia"/>
        </w:rPr>
      </w:pPr>
    </w:p>
    <w:p w14:paraId="03ED9960">
      <w:pPr>
        <w:spacing w:line="580" w:lineRule="exact"/>
        <w:ind w:left="0" w:leftChars="0" w:firstLine="0" w:firstLineChars="0"/>
      </w:pPr>
      <w:r>
        <w:rPr>
          <w:rFonts w:hint="eastAsia"/>
        </w:rPr>
        <w:t>办），负责全镇“两违”处置工作的统一指挥、统筹协调和重大决策。</w:t>
      </w:r>
    </w:p>
    <w:p w14:paraId="05E8E756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第五条【执行机构与职责】</w:t>
      </w:r>
    </w:p>
    <w:p w14:paraId="52FF7E92">
      <w:pPr>
        <w:spacing w:line="580" w:lineRule="exact"/>
        <w:ind w:firstLine="640"/>
      </w:pPr>
      <w:r>
        <w:rPr>
          <w:rFonts w:hint="eastAsia" w:ascii="仿宋_GB2312"/>
        </w:rPr>
        <w:t>1.</w:t>
      </w:r>
      <w:r>
        <w:rPr>
          <w:rFonts w:hint="eastAsia"/>
        </w:rPr>
        <w:t>各村（社区）（属地责任主体）：负责本辖区内的日常巡查、首次发现、初步劝阻和信息上报工作。</w:t>
      </w:r>
    </w:p>
    <w:p w14:paraId="2EA786F3">
      <w:pPr>
        <w:spacing w:line="580" w:lineRule="exact"/>
        <w:ind w:firstLine="640"/>
      </w:pPr>
      <w:r>
        <w:rPr>
          <w:rFonts w:hint="eastAsia" w:ascii="仿宋_GB2312"/>
        </w:rPr>
        <w:t>2.</w:t>
      </w:r>
      <w:r>
        <w:rPr>
          <w:rFonts w:hint="eastAsia"/>
        </w:rPr>
        <w:t>镇综合执法大队（执法主体）：是违建查处的主要执法力量，负责现场勘查、调查取证、下达执法文书、组织强制拆除及后续行政处罚工作。</w:t>
      </w:r>
    </w:p>
    <w:p w14:paraId="12A55BAE">
      <w:pPr>
        <w:spacing w:line="580" w:lineRule="exact"/>
        <w:ind w:firstLine="640"/>
      </w:pPr>
      <w:r>
        <w:rPr>
          <w:rFonts w:hint="eastAsia" w:ascii="仿宋_GB2312"/>
        </w:rPr>
        <w:t>3.</w:t>
      </w:r>
      <w:r>
        <w:rPr>
          <w:rFonts w:hint="eastAsia"/>
        </w:rPr>
        <w:t>自然资源分中心、农房办（审批监管主体）：负责对“两违”行为进行专业认定，提供测绘、规划等技术支撑和建房申请的合规性审查。</w:t>
      </w:r>
    </w:p>
    <w:p w14:paraId="620D1117">
      <w:pPr>
        <w:spacing w:line="580" w:lineRule="exact"/>
        <w:ind w:firstLine="640"/>
      </w:pPr>
      <w:r>
        <w:rPr>
          <w:rFonts w:ascii="仿宋_GB2312"/>
        </w:rPr>
        <w:t>4</w:t>
      </w:r>
      <w:r>
        <w:rPr>
          <w:rFonts w:hint="eastAsia" w:ascii="仿宋_GB2312"/>
        </w:rPr>
        <w:t>.</w:t>
      </w:r>
      <w:r>
        <w:rPr>
          <w:rFonts w:hint="eastAsia"/>
        </w:rPr>
        <w:t>其他相关站所（协同处置主体），林业、交通、水利等站所负责涉嫌对林地、公路、河道、水库等非法侵占的行为进行认定。</w:t>
      </w:r>
    </w:p>
    <w:p w14:paraId="1F4FF206">
      <w:pPr>
        <w:spacing w:line="580" w:lineRule="exact"/>
        <w:ind w:firstLine="640"/>
        <w:rPr>
          <w:rStyle w:val="21"/>
          <w:rFonts w:hint="eastAsia"/>
        </w:rPr>
      </w:pPr>
      <w:r>
        <w:rPr>
          <w:rFonts w:ascii="仿宋_GB2312"/>
        </w:rPr>
        <w:t>5</w:t>
      </w:r>
      <w:r>
        <w:rPr>
          <w:rFonts w:hint="eastAsia" w:ascii="仿宋_GB2312"/>
        </w:rPr>
        <w:t>.</w:t>
      </w:r>
      <w:r>
        <w:rPr>
          <w:rFonts w:hint="eastAsia"/>
        </w:rPr>
        <w:t>镇党政办公室（协调保障主体）：负责会议组织、人员召集、后勤保障及执法器械准备。</w:t>
      </w:r>
    </w:p>
    <w:p w14:paraId="26049C66">
      <w:pPr>
        <w:spacing w:line="580" w:lineRule="exact"/>
        <w:ind w:firstLine="64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第三章 “两违”行为的发现及快速报告的要求</w:t>
      </w:r>
    </w:p>
    <w:p w14:paraId="7ACEA715">
      <w:pPr>
        <w:ind w:firstLine="640"/>
        <w:jc w:val="left"/>
      </w:pPr>
      <w:r>
        <w:rPr>
          <w:rFonts w:hint="eastAsia" w:ascii="仿宋_GB2312"/>
        </w:rPr>
        <w:t>1</w:t>
      </w:r>
      <w:r>
        <w:rPr>
          <w:rFonts w:ascii="仿宋_GB2312"/>
        </w:rPr>
        <w:t>.</w:t>
      </w:r>
      <w:r>
        <w:rPr>
          <w:rFonts w:hint="eastAsia"/>
        </w:rPr>
        <w:t>涉及农民建房的，村级必须在浇筑地圈梁之前提前一天向自然资源分中心（农房办）负责人电话报告，并同步发送违建地点定位和现场水印照片。</w:t>
      </w:r>
    </w:p>
    <w:p w14:paraId="0866A9BA">
      <w:pPr>
        <w:ind w:firstLine="640"/>
        <w:jc w:val="left"/>
      </w:pPr>
      <w:r>
        <w:rPr>
          <w:rFonts w:hint="eastAsia" w:ascii="仿宋_GB2312"/>
        </w:rPr>
        <w:t>2</w:t>
      </w:r>
      <w:r>
        <w:rPr>
          <w:rFonts w:ascii="仿宋_GB2312"/>
        </w:rPr>
        <w:t>.</w:t>
      </w:r>
      <w:r>
        <w:rPr>
          <w:rFonts w:hint="eastAsia"/>
        </w:rPr>
        <w:t>涉及新增乱占耕地的违建行为，由相关驻村领导干部在综合自然资源分中心（农房办）意见后，及时向镇长报告，重要情况向党委书记报告。</w:t>
      </w:r>
    </w:p>
    <w:p w14:paraId="138C7E3E">
      <w:pPr>
        <w:ind w:firstLine="640"/>
        <w:jc w:val="left"/>
      </w:pPr>
      <w:r>
        <w:rPr>
          <w:rFonts w:hint="eastAsia" w:ascii="仿宋_GB2312"/>
        </w:rPr>
        <w:t>3.</w:t>
      </w:r>
      <w:r>
        <w:rPr>
          <w:rFonts w:hint="eastAsia"/>
        </w:rPr>
        <w:t>凡不按上述要求及时报告造成不良后果的，将追究相关村级人员的责任。</w:t>
      </w:r>
    </w:p>
    <w:p w14:paraId="22269D0F">
      <w:pPr>
        <w:ind w:left="640" w:firstLine="0"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第四章 快速处置时限及要求</w:t>
      </w:r>
    </w:p>
    <w:p w14:paraId="0315D5C6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第六条【两违行为的发现及报告要求】</w:t>
      </w:r>
    </w:p>
    <w:p w14:paraId="7B950A13">
      <w:pPr>
        <w:pStyle w:val="8"/>
        <w:ind w:firstLine="640" w:firstLineChars="200"/>
        <w:jc w:val="left"/>
      </w:pPr>
      <w:r>
        <w:rPr>
          <w:rFonts w:hint="eastAsia" w:hAnsi="Times New Roman"/>
        </w:rPr>
        <w:t>1</w:t>
      </w:r>
      <w:r>
        <w:rPr>
          <w:rFonts w:hAnsi="Times New Roman"/>
        </w:rPr>
        <w:t>.</w:t>
      </w:r>
      <w:r>
        <w:rPr>
          <w:rFonts w:hint="eastAsia" w:hAnsi="Times New Roman"/>
        </w:rPr>
        <w:t>一</w:t>
      </w:r>
      <w:r>
        <w:rPr>
          <w:rFonts w:hint="eastAsia" w:ascii="Times New Roman" w:hAnsi="Times New Roman"/>
        </w:rPr>
        <w:t>经发现“两违”行为，村书记、分管村干部、包组干部必须</w:t>
      </w:r>
      <w:r>
        <w:rPr>
          <w:rFonts w:hint="eastAsia"/>
        </w:rPr>
        <w:t>第一时间（</w:t>
      </w:r>
      <w:r>
        <w:t>1</w:t>
      </w:r>
      <w:r>
        <w:rPr>
          <w:rFonts w:hint="eastAsia"/>
        </w:rPr>
        <w:t>小时内）到达现场，并进行劝阻、制止违建行为，立即向驻村领导和自然资源分中心（农房办）负责人（魏桂华、王鹰互为A</w:t>
      </w:r>
      <w:r>
        <w:t>B</w:t>
      </w:r>
      <w:r>
        <w:rPr>
          <w:rFonts w:hint="eastAsia"/>
        </w:rPr>
        <w:t>岗）报告，申请执法支援。</w:t>
      </w:r>
    </w:p>
    <w:p w14:paraId="66A799DA">
      <w:pPr>
        <w:ind w:firstLine="640"/>
        <w:jc w:val="left"/>
      </w:pPr>
      <w:r>
        <w:rPr>
          <w:rFonts w:hint="eastAsia" w:ascii="仿宋_GB2312"/>
        </w:rPr>
        <w:t>2</w:t>
      </w:r>
      <w:r>
        <w:rPr>
          <w:rFonts w:ascii="仿宋_GB2312"/>
        </w:rPr>
        <w:t>.</w:t>
      </w:r>
      <w:r>
        <w:rPr>
          <w:rFonts w:hint="eastAsia"/>
        </w:rPr>
        <w:t>自然资源分中心（农房办）负责人根据实际情况确定需参加执法行动的人员名单，由镇办公室负责通知相关执法人员出勤，</w:t>
      </w:r>
      <w:r>
        <w:rPr>
          <w:rFonts w:ascii="仿宋_GB2312"/>
        </w:rPr>
        <w:t>4</w:t>
      </w:r>
      <w:r>
        <w:rPr>
          <w:rFonts w:hint="eastAsia"/>
        </w:rPr>
        <w:t>小时内相关执法人员、驻村领导、驻村干部必须到达现场执法。集中执法行动一般要求至少有</w:t>
      </w:r>
      <w:r>
        <w:rPr>
          <w:rFonts w:hint="eastAsia" w:ascii="仿宋_GB2312"/>
        </w:rPr>
        <w:t>3</w:t>
      </w:r>
      <w:r>
        <w:rPr>
          <w:rFonts w:hint="eastAsia"/>
        </w:rPr>
        <w:t>名执法人员统一出勤。</w:t>
      </w:r>
    </w:p>
    <w:p w14:paraId="6CC8085F">
      <w:pPr>
        <w:pStyle w:val="8"/>
        <w:ind w:firstLine="640" w:firstLineChars="200"/>
        <w:jc w:val="left"/>
      </w:pPr>
      <w:r>
        <w:rPr>
          <w:rFonts w:hint="eastAsia" w:hAnsi="Times New Roman"/>
        </w:rPr>
        <w:t>3</w:t>
      </w:r>
      <w:r>
        <w:rPr>
          <w:rFonts w:hAnsi="Times New Roman"/>
        </w:rPr>
        <w:t>.</w:t>
      </w:r>
      <w:r>
        <w:rPr>
          <w:rFonts w:hint="eastAsia" w:hAnsi="Times New Roman"/>
        </w:rPr>
        <w:t>分</w:t>
      </w:r>
      <w:r>
        <w:rPr>
          <w:rFonts w:hint="eastAsia"/>
        </w:rPr>
        <w:t>管自然资源的领导干部（李志斗、许能国互为A</w:t>
      </w:r>
      <w:r>
        <w:t>B</w:t>
      </w:r>
      <w:r>
        <w:rPr>
          <w:rFonts w:hint="eastAsia"/>
        </w:rPr>
        <w:t>岗）需在</w:t>
      </w:r>
      <w:r>
        <w:t>24</w:t>
      </w:r>
      <w:r>
        <w:rPr>
          <w:rFonts w:hint="eastAsia"/>
        </w:rPr>
        <w:t>小时内到达现场，进行执法调度，会商研判及后续处理。</w:t>
      </w:r>
    </w:p>
    <w:p w14:paraId="570CCCF8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第七条【执法程序及要求】</w:t>
      </w:r>
    </w:p>
    <w:p w14:paraId="47B542F6">
      <w:pPr>
        <w:pStyle w:val="8"/>
        <w:ind w:firstLine="640" w:firstLineChars="200"/>
        <w:jc w:val="left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现场核查与取证：执法人员到达现场后，应立即对涉嫌“两违”的行为进行现场勘查、测量、拍照录像，固定证据，并查询相关规划、用地审批档案，迅速确定“两违”事实。</w:t>
      </w:r>
    </w:p>
    <w:p w14:paraId="3CE2B2B3">
      <w:pPr>
        <w:pStyle w:val="8"/>
        <w:ind w:firstLine="640" w:firstLineChars="200"/>
        <w:jc w:val="left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下达执法文书：对确认的“两违”行为，镇综合执法大队应依据相关法律法规，当场或限期下达《责令停止违法行为通知书》、《责令限期改正通知书》等法律文书，告知当事人相关权利和义务。</w:t>
      </w:r>
    </w:p>
    <w:p w14:paraId="53DDE776">
      <w:pPr>
        <w:pStyle w:val="8"/>
        <w:ind w:firstLine="640" w:firstLineChars="200"/>
        <w:jc w:val="left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督促限期整改：当事人应在规定期限内自行拆除违法建筑、恢复土地原状。分管村干部及包组干部应督促当事人整改。</w:t>
      </w:r>
    </w:p>
    <w:p w14:paraId="24A8AAB6">
      <w:pPr>
        <w:pStyle w:val="8"/>
        <w:ind w:firstLine="640" w:firstLineChars="200"/>
        <w:jc w:val="left"/>
        <w:rPr>
          <w:rFonts w:hint="eastAsia"/>
        </w:rPr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实施强制拆除：对在规定期限内未按要求整改的，由镇综合行政执法大队制定详细的强制拆除执行方案和应急预案，明确</w:t>
      </w:r>
    </w:p>
    <w:p w14:paraId="42E8F8A1">
      <w:pPr>
        <w:pStyle w:val="8"/>
        <w:ind w:firstLine="640" w:firstLineChars="200"/>
        <w:jc w:val="left"/>
        <w:rPr>
          <w:rFonts w:hint="eastAsia"/>
        </w:rPr>
      </w:pPr>
    </w:p>
    <w:p w14:paraId="27E44280">
      <w:pPr>
        <w:pStyle w:val="8"/>
        <w:jc w:val="left"/>
      </w:pPr>
      <w:r>
        <w:rPr>
          <w:rFonts w:hint="eastAsia"/>
        </w:rPr>
        <w:t>人员分工、风险研判、安全保障和应急措施。报镇工作组批准，由执法大队组织实施强制拆除。确保程序合法、安全有序。</w:t>
      </w:r>
    </w:p>
    <w:p w14:paraId="3E00CF38">
      <w:pPr>
        <w:pStyle w:val="8"/>
        <w:ind w:firstLine="640" w:firstLineChars="200"/>
        <w:jc w:val="left"/>
      </w:pPr>
      <w:r>
        <w:rPr>
          <w:rFonts w:hint="eastAsia"/>
        </w:rPr>
        <w:t>5</w:t>
      </w:r>
      <w:r>
        <w:t>.</w:t>
      </w:r>
      <w:r>
        <w:rPr>
          <w:rFonts w:hint="eastAsia"/>
        </w:rPr>
        <w:t>结案与归档：强制执行完毕后，应对处理全过程形成的文书、证据、照片等材料进行整理，建立“一案一档”并归档备查。</w:t>
      </w:r>
    </w:p>
    <w:p w14:paraId="16574B82">
      <w:pPr>
        <w:ind w:firstLine="64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第五章 监督与考核</w:t>
      </w:r>
    </w:p>
    <w:p w14:paraId="471B7BD4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第八条【监督机制】</w:t>
      </w:r>
    </w:p>
    <w:p w14:paraId="778A5448">
      <w:pPr>
        <w:ind w:firstLine="640"/>
      </w:pPr>
      <w:r>
        <w:rPr>
          <w:rFonts w:hint="eastAsia"/>
        </w:rPr>
        <w:t>镇纪委（监察办公室）负责对“两违”处置的全过程进行监督，包括接报响应、现场处置、执法程序、履职情况等。同时，成立两个镇级常态化巡查组</w:t>
      </w:r>
      <w:r>
        <w:rPr>
          <w:rFonts w:hint="eastAsia"/>
          <w:sz w:val="28"/>
          <w:szCs w:val="22"/>
        </w:rPr>
        <w:t>（附件）</w:t>
      </w:r>
      <w:r>
        <w:rPr>
          <w:rFonts w:hint="eastAsia"/>
        </w:rPr>
        <w:t>，由工作组副组长轮流带队，采取不定期、不打招呼的方式，对全镇各村（社区）进行实地巡查，重点核查村级巡查盲点、“四到场”监管落实情况及已处置案件的反弹情况。</w:t>
      </w:r>
    </w:p>
    <w:p w14:paraId="52D603C1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第九条【考核对象与内容】</w:t>
      </w:r>
    </w:p>
    <w:p w14:paraId="203E897C">
      <w:pPr>
        <w:ind w:firstLine="640"/>
      </w:pPr>
      <w:r>
        <w:rPr>
          <w:rFonts w:hint="eastAsia"/>
        </w:rPr>
        <w:t>考核对象包括各村（社区）、各相关站所及其工作人员。重点考核“两违”行为的及时发现率、快速报告率、有效制止率、案件处置完成率以及履职尽责情况。</w:t>
      </w:r>
    </w:p>
    <w:p w14:paraId="11B2D1A5">
      <w:pPr>
        <w:pStyle w:val="8"/>
        <w:ind w:firstLine="640" w:firstLineChars="200"/>
        <w:jc w:val="left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对村级的考核：将“四到场”（建筑放样到场、基槽验线到场、施工过程到场、竣工验收到场）的监管落实情况纳入村级考核内容。村级组织应积极配合并督促建房户履行“四到场”程序，对未履行督促职责或发现问题隐瞒不报的，予以扣分。</w:t>
      </w:r>
    </w:p>
    <w:p w14:paraId="47B48525">
      <w:pPr>
        <w:pStyle w:val="8"/>
        <w:ind w:firstLine="640" w:firstLineChars="200"/>
        <w:jc w:val="left"/>
      </w:pPr>
      <w:r>
        <w:t>2.</w:t>
      </w:r>
      <w:r>
        <w:rPr>
          <w:rFonts w:hint="eastAsia"/>
        </w:rPr>
        <w:t>对镇级巡查组的考核：将镇级巡查组发现的、但村级未及时上报的“两违”行为数量，作为衡量村级巡查工作成效的重要反向指标。</w:t>
      </w:r>
    </w:p>
    <w:p w14:paraId="096CAF49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</w:p>
    <w:p w14:paraId="381E27FF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</w:p>
    <w:p w14:paraId="4F86272B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第十条【奖惩措施】</w:t>
      </w:r>
    </w:p>
    <w:p w14:paraId="3FD01EBD">
      <w:pPr>
        <w:ind w:firstLine="640"/>
      </w:pPr>
      <w:r>
        <w:rPr>
          <w:rFonts w:hint="eastAsia" w:ascii="仿宋_GB2312"/>
        </w:rPr>
        <w:t>1.</w:t>
      </w:r>
      <w:r>
        <w:rPr>
          <w:rFonts w:hint="eastAsia"/>
        </w:rPr>
        <w:t>奖励措施</w:t>
      </w:r>
    </w:p>
    <w:p w14:paraId="2F3ACAE8">
      <w:pPr>
        <w:ind w:firstLine="640"/>
      </w:pPr>
      <w:r>
        <w:rPr>
          <w:rFonts w:hint="eastAsia" w:ascii="仿宋_GB2312"/>
        </w:rPr>
        <w:t>（1）</w:t>
      </w:r>
      <w:r>
        <w:rPr>
          <w:rFonts w:hint="eastAsia"/>
        </w:rPr>
        <w:t>对快速反应、处置得力、成效显著的单位和个人，给予通报表扬和绩效奖励。</w:t>
      </w:r>
    </w:p>
    <w:p w14:paraId="0539E773">
      <w:pPr>
        <w:ind w:firstLine="640"/>
      </w:pPr>
      <w:r>
        <w:rPr>
          <w:rFonts w:hint="eastAsia" w:ascii="仿宋_GB2312"/>
        </w:rPr>
        <w:t>（2）</w:t>
      </w:r>
      <w:r>
        <w:rPr>
          <w:rFonts w:hint="eastAsia"/>
        </w:rPr>
        <w:t>强制拆除补贴与绩效： 由带队领导根据拆除行动的规模、难度和风险，确定参与强拆人员名单并核定绩效奖励。参加强制拆除人员，经确认实际承担工作任务后，可加绩效考核分0.5分/次。带队领导需对人员贡献进行审核，防止滥竽充数、虚报冒领。</w:t>
      </w:r>
    </w:p>
    <w:p w14:paraId="3D899496">
      <w:pPr>
        <w:ind w:firstLine="640"/>
      </w:pPr>
      <w:r>
        <w:rPr>
          <w:rFonts w:hint="eastAsia" w:ascii="仿宋_GB2312"/>
        </w:rPr>
        <w:t>（3）</w:t>
      </w:r>
      <w:r>
        <w:rPr>
          <w:rFonts w:hint="eastAsia"/>
        </w:rPr>
        <w:t>设立零“两违”先进村奖励： 对连续半年未出现新增“两违”且“四到场”监管到位的村（社区），给予通报表扬并在同等条件下优先确立为“自然资源工作先进村”奖。</w:t>
      </w:r>
    </w:p>
    <w:p w14:paraId="4BC54CE8">
      <w:pPr>
        <w:ind w:firstLine="640"/>
      </w:pPr>
      <w:r>
        <w:rPr>
          <w:rFonts w:ascii="仿宋_GB2312"/>
        </w:rPr>
        <w:t>2.</w:t>
      </w:r>
      <w:r>
        <w:rPr>
          <w:rFonts w:hint="eastAsia"/>
        </w:rPr>
        <w:t>惩戒措施</w:t>
      </w:r>
    </w:p>
    <w:p w14:paraId="427CB501">
      <w:pPr>
        <w:ind w:firstLine="640"/>
      </w:pPr>
      <w:r>
        <w:rPr>
          <w:rFonts w:hint="eastAsia" w:ascii="仿宋_GB2312"/>
        </w:rPr>
        <w:t>（1）</w:t>
      </w:r>
      <w:r>
        <w:rPr>
          <w:rFonts w:hint="eastAsia"/>
        </w:rPr>
        <w:t>对反应迟缓、推诿扯皮、处置不力、瞒报漏报的单位和个人，进行全镇通报批评和问责。</w:t>
      </w:r>
    </w:p>
    <w:p w14:paraId="68147501">
      <w:pPr>
        <w:ind w:firstLine="640"/>
      </w:pPr>
      <w:r>
        <w:rPr>
          <w:rFonts w:hint="eastAsia" w:ascii="仿宋_GB2312"/>
        </w:rPr>
        <w:t>（2）</w:t>
      </w:r>
      <w:r>
        <w:rPr>
          <w:rFonts w:hint="eastAsia"/>
        </w:rPr>
        <w:t>对村级的具体惩戒：①未发现或报告不及时的</w:t>
      </w:r>
      <w:r>
        <w:rPr>
          <w:rFonts w:hint="eastAsia"/>
          <w:lang w:eastAsia="zh-CN"/>
        </w:rPr>
        <w:t>，</w:t>
      </w:r>
      <w:r>
        <w:rPr>
          <w:rFonts w:hint="eastAsia"/>
        </w:rPr>
        <w:t>每发现一起，对相关村扣除绩效考核</w:t>
      </w:r>
      <w:r>
        <w:rPr>
          <w:rFonts w:hint="eastAsia" w:ascii="仿宋_GB2312"/>
        </w:rPr>
        <w:t>2</w:t>
      </w:r>
      <w:r>
        <w:rPr>
          <w:rFonts w:hint="eastAsia"/>
        </w:rPr>
        <w:t>分/次，对相关驻村领导、干部各扣除绩效考核分</w:t>
      </w:r>
      <w:r>
        <w:rPr>
          <w:rFonts w:hint="eastAsia" w:ascii="仿宋_GB2312"/>
        </w:rPr>
        <w:t>2</w:t>
      </w:r>
      <w:r>
        <w:rPr>
          <w:rFonts w:hint="eastAsia"/>
        </w:rPr>
        <w:t>分，对相关村书记、分管村干部、包组干部各扣除绩效考核分</w:t>
      </w:r>
      <w:r>
        <w:rPr>
          <w:rFonts w:hint="eastAsia" w:ascii="仿宋_GB2312"/>
        </w:rPr>
        <w:t>1</w:t>
      </w:r>
      <w:r>
        <w:rPr>
          <w:rFonts w:hint="eastAsia"/>
        </w:rPr>
        <w:t>分。②造成严重后果导致违法建筑形成事实的</w:t>
      </w:r>
      <w:r>
        <w:rPr>
          <w:rFonts w:hint="eastAsia"/>
          <w:lang w:val="en-US" w:eastAsia="zh-CN"/>
        </w:rPr>
        <w:t>,</w:t>
      </w:r>
      <w:r>
        <w:rPr>
          <w:rFonts w:hint="eastAsia"/>
        </w:rPr>
        <w:t>对相关村和个人加倍扣分，并由镇纪委启动问责调查。</w:t>
      </w:r>
    </w:p>
    <w:p w14:paraId="2B956AED">
      <w:pPr>
        <w:ind w:firstLine="640"/>
      </w:pPr>
      <w:r>
        <w:rPr>
          <w:rFonts w:hint="eastAsia" w:ascii="仿宋_GB2312"/>
        </w:rPr>
        <w:t>（3）</w:t>
      </w:r>
      <w:r>
        <w:rPr>
          <w:rFonts w:hint="eastAsia"/>
        </w:rPr>
        <w:t>对执法人员的惩戒： 无故不参加出勤的执法队员，扣除绩效考核分</w:t>
      </w:r>
      <w:r>
        <w:rPr>
          <w:rFonts w:hint="eastAsia" w:ascii="仿宋_GB2312"/>
        </w:rPr>
        <w:t>1</w:t>
      </w:r>
      <w:r>
        <w:rPr>
          <w:rFonts w:hint="eastAsia"/>
        </w:rPr>
        <w:t>分/次；造成严重后果的，从严追究责任。</w:t>
      </w:r>
    </w:p>
    <w:p w14:paraId="7BDCF0DA">
      <w:pPr>
        <w:ind w:firstLine="640"/>
        <w:rPr>
          <w:rFonts w:hint="eastAsia"/>
        </w:rPr>
      </w:pPr>
      <w:r>
        <w:rPr>
          <w:rFonts w:hint="eastAsia" w:ascii="仿宋_GB2312"/>
        </w:rPr>
        <w:t>（</w:t>
      </w:r>
      <w:r>
        <w:rPr>
          <w:rFonts w:ascii="仿宋_GB2312"/>
        </w:rPr>
        <w:t>4</w:t>
      </w:r>
      <w:r>
        <w:rPr>
          <w:rFonts w:hint="eastAsia" w:ascii="仿宋_GB2312"/>
        </w:rPr>
        <w:t>）</w:t>
      </w:r>
      <w:r>
        <w:rPr>
          <w:rFonts w:hint="eastAsia"/>
        </w:rPr>
        <w:t>对镇级巡查组的惩戒：“四到场”监管不到位导致未批先建、批东建西、超高超大等违建行为的。对镇级巡查组扣相关</w:t>
      </w:r>
    </w:p>
    <w:p w14:paraId="4D8F7C96">
      <w:pPr>
        <w:ind w:firstLine="640"/>
        <w:rPr>
          <w:rFonts w:hint="eastAsia"/>
        </w:rPr>
      </w:pPr>
    </w:p>
    <w:p w14:paraId="32B0C077">
      <w:pPr>
        <w:ind w:left="0" w:leftChars="0" w:firstLine="0" w:firstLineChars="0"/>
      </w:pPr>
      <w:r>
        <w:rPr>
          <w:rFonts w:hint="eastAsia"/>
        </w:rPr>
        <w:t>责任人绩效考核分</w:t>
      </w:r>
      <w:r>
        <w:rPr>
          <w:rFonts w:hint="eastAsia" w:ascii="仿宋_GB2312"/>
        </w:rPr>
        <w:t>0.5</w:t>
      </w:r>
      <w:r>
        <w:rPr>
          <w:rFonts w:hint="eastAsia"/>
        </w:rPr>
        <w:t>分/起。</w:t>
      </w:r>
    </w:p>
    <w:p w14:paraId="42D2FD85">
      <w:pPr>
        <w:spacing w:line="580" w:lineRule="exact"/>
        <w:ind w:firstLine="640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第十一条【责任追究】</w:t>
      </w:r>
    </w:p>
    <w:p w14:paraId="0E7AECF2">
      <w:pPr>
        <w:ind w:firstLine="640"/>
      </w:pPr>
      <w:r>
        <w:rPr>
          <w:rFonts w:hint="eastAsia"/>
        </w:rPr>
        <w:t>对因失职渎职导致“两违”行为得不到有效制止、造成恶劣影响或重大损失的，由镇纪委启动问责调查，依法依规给予相应处理。</w:t>
      </w:r>
    </w:p>
    <w:p w14:paraId="66609E8B">
      <w:pPr>
        <w:ind w:firstLine="64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第六章 附则</w:t>
      </w:r>
    </w:p>
    <w:p w14:paraId="6AFA9CF2">
      <w:pPr>
        <w:ind w:firstLine="640"/>
      </w:pPr>
      <w:r>
        <w:rPr>
          <w:rFonts w:hint="eastAsia"/>
        </w:rPr>
        <w:t>涉及林业、水利、畜禽养殖污染、矿山等违法行为的执法可参照本办法执行。</w:t>
      </w:r>
    </w:p>
    <w:p w14:paraId="2855ADA4">
      <w:pPr>
        <w:pStyle w:val="8"/>
        <w:jc w:val="both"/>
        <w:rPr>
          <w:rFonts w:ascii="黑体" w:eastAsia="黑体"/>
        </w:rPr>
      </w:pPr>
      <w:r>
        <w:br w:type="page"/>
      </w:r>
      <w:r>
        <w:rPr>
          <w:rFonts w:hint="eastAsia" w:ascii="黑体" w:eastAsia="黑体"/>
        </w:rPr>
        <w:t>附件：</w:t>
      </w:r>
    </w:p>
    <w:p w14:paraId="0570BFB7">
      <w:pPr>
        <w:ind w:firstLine="640"/>
      </w:pPr>
    </w:p>
    <w:p w14:paraId="3474B44E">
      <w:pPr>
        <w:pStyle w:val="8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镇级“两违”行为监管常态化巡查组</w:t>
      </w:r>
    </w:p>
    <w:p w14:paraId="1E6DCE43">
      <w:pPr>
        <w:ind w:firstLine="640"/>
      </w:pPr>
    </w:p>
    <w:p w14:paraId="657C8904">
      <w:pPr>
        <w:pStyle w:val="8"/>
        <w:ind w:firstLine="640" w:firstLineChars="200"/>
        <w:jc w:val="left"/>
        <w:rPr>
          <w:rFonts w:ascii="黑体" w:eastAsia="黑体"/>
        </w:rPr>
      </w:pPr>
      <w:r>
        <w:rPr>
          <w:rFonts w:hint="eastAsia" w:ascii="黑体" w:eastAsia="黑体"/>
        </w:rPr>
        <w:t>第一片区巡查组</w:t>
      </w:r>
    </w:p>
    <w:p w14:paraId="5E034B5A">
      <w:pPr>
        <w:pStyle w:val="8"/>
        <w:ind w:firstLine="640" w:firstLineChars="200"/>
        <w:jc w:val="left"/>
      </w:pPr>
      <w:r>
        <w:rPr>
          <w:rFonts w:hint="eastAsia" w:ascii="楷体_GB2312" w:eastAsia="楷体_GB2312"/>
        </w:rPr>
        <w:t>责任领导：</w:t>
      </w:r>
      <w:r>
        <w:rPr>
          <w:rFonts w:hint="eastAsia"/>
        </w:rPr>
        <w:t>李志斗、谢根平</w:t>
      </w:r>
    </w:p>
    <w:p w14:paraId="3F6EB587">
      <w:pPr>
        <w:pStyle w:val="8"/>
        <w:ind w:firstLine="640" w:firstLineChars="200"/>
        <w:jc w:val="left"/>
      </w:pPr>
      <w:r>
        <w:rPr>
          <w:rFonts w:hint="eastAsia" w:ascii="楷体_GB2312" w:eastAsia="楷体_GB2312"/>
        </w:rPr>
        <w:t>组员：</w:t>
      </w:r>
      <w:r>
        <w:rPr>
          <w:rFonts w:hint="eastAsia"/>
        </w:rPr>
        <w:t>魏桂华、李发兴、赖可、杜家军</w:t>
      </w:r>
    </w:p>
    <w:p w14:paraId="245DF5DC">
      <w:pPr>
        <w:pStyle w:val="8"/>
        <w:ind w:firstLine="640" w:firstLineChars="200"/>
        <w:jc w:val="left"/>
      </w:pPr>
      <w:r>
        <w:rPr>
          <w:rFonts w:hint="eastAsia" w:ascii="楷体_GB2312" w:eastAsia="楷体_GB2312"/>
        </w:rPr>
        <w:t>责任村：</w:t>
      </w:r>
      <w:r>
        <w:rPr>
          <w:rFonts w:hint="eastAsia"/>
        </w:rPr>
        <w:t>蕉溪（含幸福社区）、马良、豪溪、西江、荷岭、船溪、永丰（含永丰社区）、旗岭（含圩镇规划区）；</w:t>
      </w:r>
    </w:p>
    <w:p w14:paraId="7A1D4F48">
      <w:pPr>
        <w:pStyle w:val="8"/>
        <w:ind w:firstLine="640" w:firstLineChars="200"/>
        <w:jc w:val="left"/>
      </w:pPr>
    </w:p>
    <w:p w14:paraId="4718AE7A">
      <w:pPr>
        <w:pStyle w:val="8"/>
        <w:ind w:firstLine="640" w:firstLineChars="200"/>
        <w:jc w:val="left"/>
        <w:rPr>
          <w:rFonts w:ascii="黑体" w:eastAsia="黑体"/>
        </w:rPr>
      </w:pPr>
      <w:r>
        <w:rPr>
          <w:rFonts w:hint="eastAsia" w:ascii="黑体" w:eastAsia="黑体"/>
        </w:rPr>
        <w:t>第二片区巡查组</w:t>
      </w:r>
    </w:p>
    <w:p w14:paraId="43ADBD2F">
      <w:pPr>
        <w:pStyle w:val="8"/>
        <w:ind w:firstLine="640" w:firstLineChars="200"/>
        <w:jc w:val="left"/>
        <w:rPr>
          <w:rFonts w:hint="eastAsia"/>
        </w:rPr>
      </w:pPr>
      <w:r>
        <w:rPr>
          <w:rFonts w:hint="eastAsia"/>
        </w:rPr>
        <w:t>责任领导：许能国、刘  智</w:t>
      </w:r>
    </w:p>
    <w:p w14:paraId="7B3F79C1">
      <w:pPr>
        <w:pStyle w:val="8"/>
        <w:ind w:firstLine="640" w:firstLineChars="200"/>
        <w:jc w:val="left"/>
        <w:rPr>
          <w:rFonts w:hint="eastAsia"/>
        </w:rPr>
      </w:pPr>
      <w:r>
        <w:rPr>
          <w:rFonts w:hint="eastAsia"/>
        </w:rPr>
        <w:t>组员：王鹰、刘佳辉、张嘉明、胡家聪</w:t>
      </w:r>
    </w:p>
    <w:p w14:paraId="7A1A06F9">
      <w:pPr>
        <w:pStyle w:val="8"/>
        <w:ind w:firstLine="640" w:firstLineChars="200"/>
        <w:jc w:val="left"/>
        <w:rPr>
          <w:rFonts w:hint="eastAsia"/>
        </w:rPr>
      </w:pPr>
      <w:r>
        <w:rPr>
          <w:rFonts w:hint="eastAsia"/>
        </w:rPr>
        <w:t>责任村：里垇、凌源</w:t>
      </w:r>
      <w:r>
        <w:rPr>
          <w:rFonts w:hint="eastAsia" w:hAnsi="仿宋_GB2312" w:cs="仿宋_GB2312"/>
        </w:rPr>
        <w:t>、茶石、洙坊、</w:t>
      </w:r>
      <w:r>
        <w:rPr>
          <w:rFonts w:hint="eastAsia"/>
        </w:rPr>
        <w:t>西山、樟坪、社背、大江、果溪。</w:t>
      </w:r>
    </w:p>
    <w:p w14:paraId="41764D46">
      <w:pPr>
        <w:rPr>
          <w:rFonts w:hint="eastAsia"/>
        </w:rPr>
      </w:pPr>
    </w:p>
    <w:p w14:paraId="2BABB183">
      <w:pPr>
        <w:rPr>
          <w:rFonts w:hint="eastAsia"/>
        </w:rPr>
      </w:pPr>
    </w:p>
    <w:p w14:paraId="2B879E09">
      <w:pPr>
        <w:rPr>
          <w:rFonts w:hint="eastAsia"/>
        </w:rPr>
      </w:pPr>
    </w:p>
    <w:p w14:paraId="36F405A0">
      <w:pPr>
        <w:rPr>
          <w:rFonts w:hint="eastAsia"/>
        </w:rPr>
      </w:pPr>
    </w:p>
    <w:p w14:paraId="64858B88"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FA4857D"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8C2E837">
      <w:pPr>
        <w:pStyle w:val="2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11"/>
        <w:tblpPr w:leftFromText="180" w:rightFromText="180" w:vertAnchor="text" w:horzAnchor="page" w:tblpX="1759" w:tblpY="430"/>
        <w:tblOverlap w:val="never"/>
        <w:tblW w:w="84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7"/>
      </w:tblGrid>
      <w:tr w14:paraId="54E87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5" w:hRule="atLeast"/>
        </w:trPr>
        <w:tc>
          <w:tcPr>
            <w:tcW w:w="8497" w:type="dxa"/>
            <w:tcBorders>
              <w:left w:val="nil"/>
              <w:right w:val="nil"/>
            </w:tcBorders>
            <w:noWrap w:val="0"/>
            <w:vAlign w:val="top"/>
          </w:tcPr>
          <w:p w14:paraId="3DC323A1">
            <w:pPr>
              <w:spacing w:beforeLines="0" w:afterLines="0" w:line="520" w:lineRule="exact"/>
              <w:ind w:left="0" w:leftChars="0" w:firstLine="0" w:firstLineChars="0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永丰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镇党政办公室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日印发</w:t>
            </w:r>
          </w:p>
        </w:tc>
      </w:tr>
    </w:tbl>
    <w:p w14:paraId="6DF2858B">
      <w:pPr>
        <w:ind w:left="0" w:leftChars="0" w:firstLine="0" w:firstLineChars="0"/>
        <w:rPr>
          <w:rFonts w:hint="eastAsi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737" w:left="1417" w:header="851" w:footer="992" w:gutter="0"/>
      <w:pgNumType w:fmt="decimal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91A96B">
    <w:pPr>
      <w:pStyle w:val="6"/>
      <w:ind w:firstLine="360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55530C2"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CFC6B8"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D7D1F"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BA4A5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DDEFE5"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33196"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4E86"/>
    <w:rsid w:val="00013864"/>
    <w:rsid w:val="000465AF"/>
    <w:rsid w:val="00095CEB"/>
    <w:rsid w:val="000B3A49"/>
    <w:rsid w:val="000C2548"/>
    <w:rsid w:val="000D4E86"/>
    <w:rsid w:val="0014619B"/>
    <w:rsid w:val="00183263"/>
    <w:rsid w:val="001D1CFF"/>
    <w:rsid w:val="00251144"/>
    <w:rsid w:val="002E67CE"/>
    <w:rsid w:val="00333557"/>
    <w:rsid w:val="003632A7"/>
    <w:rsid w:val="00396EDA"/>
    <w:rsid w:val="00447F62"/>
    <w:rsid w:val="00497092"/>
    <w:rsid w:val="004B7515"/>
    <w:rsid w:val="00511808"/>
    <w:rsid w:val="00524D2B"/>
    <w:rsid w:val="005C01F4"/>
    <w:rsid w:val="00692837"/>
    <w:rsid w:val="00697447"/>
    <w:rsid w:val="006A22BA"/>
    <w:rsid w:val="006E047E"/>
    <w:rsid w:val="00705C53"/>
    <w:rsid w:val="007A25C8"/>
    <w:rsid w:val="007C13BD"/>
    <w:rsid w:val="00843229"/>
    <w:rsid w:val="008A174F"/>
    <w:rsid w:val="008C4DF8"/>
    <w:rsid w:val="008F4CFB"/>
    <w:rsid w:val="008F6E68"/>
    <w:rsid w:val="00955430"/>
    <w:rsid w:val="00964191"/>
    <w:rsid w:val="00964A88"/>
    <w:rsid w:val="009A20E9"/>
    <w:rsid w:val="009A3C7D"/>
    <w:rsid w:val="00A053E7"/>
    <w:rsid w:val="00A73F3B"/>
    <w:rsid w:val="00B018AF"/>
    <w:rsid w:val="00B92673"/>
    <w:rsid w:val="00BD7FA0"/>
    <w:rsid w:val="00C0591B"/>
    <w:rsid w:val="00C10362"/>
    <w:rsid w:val="00C57604"/>
    <w:rsid w:val="00C60898"/>
    <w:rsid w:val="00C67DD0"/>
    <w:rsid w:val="00D50FFB"/>
    <w:rsid w:val="00DB55A1"/>
    <w:rsid w:val="00DD158C"/>
    <w:rsid w:val="00DD7046"/>
    <w:rsid w:val="00F13A78"/>
    <w:rsid w:val="00F32E1E"/>
    <w:rsid w:val="00F60D48"/>
    <w:rsid w:val="00FA760C"/>
    <w:rsid w:val="00FB584A"/>
    <w:rsid w:val="00FD4AB9"/>
    <w:rsid w:val="0B2212F4"/>
    <w:rsid w:val="28002AB0"/>
    <w:rsid w:val="361115CF"/>
    <w:rsid w:val="36AE601C"/>
    <w:rsid w:val="55CE5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9"/>
    <w:pPr>
      <w:keepNext/>
      <w:keepLines/>
      <w:spacing w:line="560" w:lineRule="atLeast"/>
      <w:jc w:val="left"/>
      <w:outlineLvl w:val="0"/>
    </w:pPr>
    <w:rPr>
      <w:rFonts w:eastAsia="黑体"/>
      <w:bCs/>
      <w:kern w:val="44"/>
      <w:szCs w:val="44"/>
    </w:rPr>
  </w:style>
  <w:style w:type="paragraph" w:styleId="4">
    <w:name w:val="heading 2"/>
    <w:basedOn w:val="1"/>
    <w:next w:val="1"/>
    <w:link w:val="17"/>
    <w:semiHidden/>
    <w:unhideWhenUsed/>
    <w:qFormat/>
    <w:uiPriority w:val="9"/>
    <w:pPr>
      <w:keepNext/>
      <w:keepLines/>
      <w:jc w:val="left"/>
      <w:outlineLvl w:val="1"/>
    </w:pPr>
    <w:rPr>
      <w:rFonts w:eastAsia="楷体_GB2312" w:asciiTheme="majorHAnsi" w:hAnsiTheme="majorHAnsi" w:cstheme="majorBidi"/>
      <w:b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99"/>
    <w:pPr>
      <w:ind w:firstLine="420" w:firstLineChars="200"/>
    </w:pPr>
  </w:style>
  <w:style w:type="paragraph" w:styleId="5">
    <w:name w:val="Balloon Text"/>
    <w:basedOn w:val="1"/>
    <w:link w:val="2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unhideWhenUsed/>
    <w:qFormat/>
    <w:uiPriority w:val="39"/>
    <w:pPr>
      <w:ind w:firstLine="0" w:firstLineChars="0"/>
      <w:jc w:val="center"/>
    </w:pPr>
    <w:rPr>
      <w:rFonts w:ascii="仿宋_GB2312" w:hAnsi="黑体"/>
    </w:rPr>
  </w:style>
  <w:style w:type="paragraph" w:styleId="9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1"/>
    <w:link w:val="15"/>
    <w:qFormat/>
    <w:uiPriority w:val="10"/>
    <w:pPr>
      <w:spacing w:after="480"/>
      <w:ind w:firstLine="0" w:firstLineChars="0"/>
      <w:jc w:val="center"/>
      <w:outlineLvl w:val="0"/>
    </w:pPr>
    <w:rPr>
      <w:rFonts w:eastAsia="方正小标宋简体" w:asciiTheme="majorHAnsi" w:hAnsiTheme="majorHAnsi" w:cstheme="majorBidi"/>
      <w:b/>
      <w:bCs/>
      <w:sz w:val="44"/>
      <w:szCs w:val="32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No Spacing"/>
    <w:qFormat/>
    <w:uiPriority w:val="1"/>
    <w:pPr>
      <w:widowControl w:val="0"/>
      <w:spacing w:line="560" w:lineRule="exact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customStyle="1" w:styleId="15">
    <w:name w:val="标题 字符"/>
    <w:basedOn w:val="13"/>
    <w:link w:val="10"/>
    <w:qFormat/>
    <w:uiPriority w:val="10"/>
    <w:rPr>
      <w:rFonts w:eastAsia="方正小标宋简体" w:asciiTheme="majorHAnsi" w:hAnsiTheme="majorHAnsi" w:cstheme="majorBidi"/>
      <w:b/>
      <w:bCs/>
      <w:sz w:val="44"/>
      <w:szCs w:val="32"/>
    </w:rPr>
  </w:style>
  <w:style w:type="character" w:customStyle="1" w:styleId="16">
    <w:name w:val="标题 1 字符"/>
    <w:basedOn w:val="13"/>
    <w:link w:val="3"/>
    <w:qFormat/>
    <w:uiPriority w:val="9"/>
    <w:rPr>
      <w:rFonts w:ascii="Times New Roman" w:hAnsi="Times New Roman" w:eastAsia="黑体" w:cs="Times New Roman"/>
      <w:bCs/>
      <w:kern w:val="44"/>
      <w:sz w:val="32"/>
      <w:szCs w:val="44"/>
    </w:rPr>
  </w:style>
  <w:style w:type="character" w:customStyle="1" w:styleId="17">
    <w:name w:val="标题 2 字符"/>
    <w:basedOn w:val="13"/>
    <w:link w:val="4"/>
    <w:semiHidden/>
    <w:qFormat/>
    <w:uiPriority w:val="9"/>
    <w:rPr>
      <w:rFonts w:eastAsia="楷体_GB2312" w:asciiTheme="majorHAnsi" w:hAnsiTheme="majorHAnsi" w:cstheme="majorBidi"/>
      <w:b/>
      <w:bCs/>
      <w:sz w:val="32"/>
      <w:szCs w:val="32"/>
    </w:rPr>
  </w:style>
  <w:style w:type="character" w:customStyle="1" w:styleId="18">
    <w:name w:val="页眉 字符"/>
    <w:basedOn w:val="13"/>
    <w:link w:val="7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9">
    <w:name w:val="页脚 字符"/>
    <w:basedOn w:val="13"/>
    <w:link w:val="6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20">
    <w:name w:val="批注框文本 字符"/>
    <w:basedOn w:val="13"/>
    <w:link w:val="5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21">
    <w:name w:val="Intense Emphasis"/>
    <w:basedOn w:val="13"/>
    <w:qFormat/>
    <w:uiPriority w:val="21"/>
    <w:rPr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78F5A7-483A-44D2-90AD-C76B38A80C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3123</Words>
  <Characters>3161</Characters>
  <Lines>20</Lines>
  <Paragraphs>5</Paragraphs>
  <TotalTime>1</TotalTime>
  <ScaleCrop>false</ScaleCrop>
  <LinksUpToDate>false</LinksUpToDate>
  <CharactersWithSpaces>3252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2025-09-09T01:00:00Z</dcterms:created>
  <dc:creator>Administrator</dc:creator>
  <cp:lastModifiedBy>风</cp:lastModifiedBy>
  <cp:lastPrinted>2025-09-27T08:07:00Z</cp:lastPrinted>
  <dcterms:modified xsi:type="dcterms:W3CDTF">2026-01-16T08:45:40Z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eyJoZGlkIjoiOWIzYjZjYjZjZmJiN2JhYjNjNjc2MmE0NmY3Zjg2OGEiLCJ1c2VySWQiOiI4MTAzNzI5MjkifQ==</vt:lpwstr>
  </property>
  <property fmtid="{D5CDD505-2E9C-101B-9397-08002B2CF9AE}" pid="3" name="KSOProductBuildVer">
    <vt:lpwstr>2052-12.1.0.24657</vt:lpwstr>
  </property>
  <property fmtid="{D5CDD505-2E9C-101B-9397-08002B2CF9AE}" pid="4" name="ICV">
    <vt:lpwstr>51DC41B164374483AAA5369CAAF7B618_12</vt:lpwstr>
  </property>
</Properties>
</file>