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附件：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兴国县征地地上附着物和青苗等补偿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价值表</w:t>
      </w:r>
      <w:bookmarkStart w:id="0" w:name="_Toc28212"/>
      <w:bookmarkStart w:id="1" w:name="_Toc13619"/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一、农村住宅主体房屋补偿标准</w:t>
      </w:r>
      <w:bookmarkEnd w:id="0"/>
    </w:p>
    <w:tbl>
      <w:tblPr>
        <w:tblStyle w:val="12"/>
        <w:tblW w:w="80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36"/>
        <w:gridCol w:w="5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类别结构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(元/㎡)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房屋基本情况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框架结构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1.桩承重或钢承重基础，承重全部为钢筋混凝土框架结构；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2.现浇楼面、屋面、楼梯、天沟；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3.房屋已封顶；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砖混结构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1.桩承重或钢承重基础；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2.现浇楼面、屋面、楼梯、天沟；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3.房屋已封顶;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砖木结构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1.标准砖石基础，瓦屋面；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2.房屋结构完整；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3.普通内培面，木制门、窗。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土木结构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1.土砖、土筑(少部分红砖眠墙)砌墙，木架屋，瓦屋面；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2.室内水泥地面或三合土地面，木制门、窗。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基础补助</w:t>
            </w:r>
          </w:p>
        </w:tc>
        <w:tc>
          <w:tcPr>
            <w:tcW w:w="6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框架结构、有圈梁的砖混结构房屋仅建了一层的，按基础占地面积给予120元/㎡补助。超过一层及以上的不给予基础补助。砖木结构、土木结构、简易房屋不给予基础补助。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未建成房屋(以基础外墙边实际计算面积）新建圈梁基础按300元/㎡补助，新建无圈梁基础按100元/㎡补助；因陈旧而倒塌的房屋基础按60元/㎡补助。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  <w:tc>
          <w:tcPr>
            <w:tcW w:w="67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1.上述标准为宅基地和农村村民住宅，按重置价格综合测算的补偿标准；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具体的补偿安置方式：按照《江西省征收土地管理办法》第二十五条之规定，结合当地土地利用现状等情况，给予公平、合理的补偿安置，并对因征收造成的搬迁、临时安置等费用予以补偿，保障农村村民居住的权利和合法的住房财产权益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2" w:name="_Toc1471"/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二、其他建筑物及附属物补偿标准</w:t>
      </w:r>
      <w:bookmarkEnd w:id="2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（一）农村住宅以外的建筑物补偿标准</w:t>
      </w:r>
    </w:p>
    <w:tbl>
      <w:tblPr>
        <w:tblStyle w:val="12"/>
        <w:tblW w:w="82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25"/>
        <w:gridCol w:w="855"/>
        <w:gridCol w:w="288"/>
        <w:gridCol w:w="1302"/>
        <w:gridCol w:w="1338"/>
        <w:gridCol w:w="1461"/>
        <w:gridCol w:w="1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类别结构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(元/㎡)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房屋基本情况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框架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房屋整体钢筋砼全框架承重结构体系，标准砖围护及填充墙体，现浇楼板、屋面，内外粉刷，水泥楼（地）面，普通门，铝合金窗，普通铁制楼梯扶手，布局合理，功能完善，水电设施齐全。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钢结构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钢结构厂房，H型柱、梁，屋檩为槽钢，屋顶及四周墙为波纹瓦，铝合金窗。镀锌钢管柱，钢管衍架屋架、无外墙，波纹瓦或镀锌铁皮屋面。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砖混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砖墙和钢筋砼（或预制砼）承重结构体系，现浇（或预制）楼板、屋面，内外粉刷，水泥楼（地）面，普通门，铝合金窗，普通铁制楼梯扶手，瓦屋面吊天棚，布局合理，功能完善，水电设施齐全。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砖木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砖木结构承重体系，四周围护砖墙，普通粉刷，木板楼面，瓦屋面，普通门窗，水泥地面，水电设施齐全。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内外砖勒脚、木板（灰板、土）墙、木柱架、瓦屋面、吊天棚，普通门窗，水泥或粘土地面。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简易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土砖、砖坯、片石等简易结构，四周围护齐全，瓦屋面或石棉瓦或油毡等屋面，简易门窗，简易生活设施、设备。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钢构棚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镀锌钢管衍架屋架、黑纱棚屋面（内净高大于3米）、全围蔽，砼独立基础柱间距4米。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简易棚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镀锌钢管衍架，简易基础，防虫网，覆盖薄膜，简易拉门。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23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  <w:tc>
          <w:tcPr>
            <w:tcW w:w="5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1、上述标准为建筑物折旧系数为1的补偿标准，根据使用年限（y）确定建筑物的折旧系数；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2、补偿金额计算公式：补偿金额=建筑物折旧系数为1的补偿标准×折旧系数×建筑面积。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3、征收农村村民住宅以外的附着物（建筑物、构筑物）等，给予相应的货币补偿后，不予安置。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2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折旧系数核定标准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建成年代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y≦5年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5年&lt;y≦10年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10年&lt;y≦15年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15年&lt;y≦20年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y&gt;20年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折旧系数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0.85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（二）附属设施补偿标准</w:t>
      </w:r>
    </w:p>
    <w:tbl>
      <w:tblPr>
        <w:tblStyle w:val="12"/>
        <w:tblW w:w="81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849"/>
        <w:gridCol w:w="1493"/>
        <w:gridCol w:w="914"/>
        <w:gridCol w:w="1553"/>
        <w:gridCol w:w="2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3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补偿标准（元）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供水、通讯等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水表、电表迁装(含外管、线及配电设施等)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2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拆、移、装费用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电话、有线电视、网络设施迁装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户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自备水塔(箱)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太阳能迁装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电能、燃气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户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壁挂式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柜式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中央空调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千瓦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按额定制冷输入功率计算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围墙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眠砖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斗墙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半砖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含花墙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土、篱笆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炉灶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成品整体橱柜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灶台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花岗岩台面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瓷板饰面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锅灶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单口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砖砌墙体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双口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三口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2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锅炉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升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移装补助费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抽油烟机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卫生设施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浴缸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固定不可拆卸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整体浴房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座便器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蹲便器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固定砖混结构面盆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大理石台面等结构面盆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其它</w:t>
            </w:r>
          </w:p>
        </w:tc>
        <w:tc>
          <w:tcPr>
            <w:tcW w:w="23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花台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砖砌、瓷砖面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洗衣池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80*100*50cm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压水机井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水井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直径50厘米以上砖井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化粪池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水泥谷仓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200*300*180cm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挡土墙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片石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立方米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混凝土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立方米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沼气池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三合土晒坪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现浇水泥晒坪、进户道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坡屋面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按投影面积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门楼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坡顶式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板式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说明</w:t>
            </w:r>
          </w:p>
        </w:tc>
        <w:tc>
          <w:tcPr>
            <w:tcW w:w="6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1.未列入上表的附属设施项目可参照表中相近的给予补偿；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2.上述标准为折旧系数为1的补偿标准，拆移项目按标准补偿，除拆移项目外，根据使用年限（y）确定具体折旧系数进行补偿；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3.补偿金额计算公式：补偿金额=折旧系数为1的补偿标准×折旧系数×数量。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81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折旧系数核定标准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建成年代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y≦5年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5年&lt;y≦10年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10年&lt;y≦15年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15年&lt;y≦20年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y&gt;20年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折旧系数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（三）装饰装修补偿标准</w:t>
      </w:r>
    </w:p>
    <w:tbl>
      <w:tblPr>
        <w:tblStyle w:val="12"/>
        <w:tblW w:w="81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30"/>
        <w:gridCol w:w="1465"/>
        <w:gridCol w:w="1542"/>
        <w:gridCol w:w="1582"/>
        <w:gridCol w:w="13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36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补偿标准（元）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室外墙体</w:t>
            </w: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瓷砖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乳胶漆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石材漆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喷砂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室内地面</w:t>
            </w: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水磨石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瓷砖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木地板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实木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强化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大理石、花岗岩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室内墙面</w:t>
            </w: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瓷砖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乳胶漆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石材漆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水泥漆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喷塑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墙布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墙纸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固定墙柜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室内吊顶</w:t>
            </w: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石膏板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纤板、灰板条、扣板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三合板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集成吊顶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门窗</w:t>
            </w: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铁(卷帘)门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铝合金门(窗)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塑钢门(窗)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不锈钢防盗门(窗)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铁管防盗门(窗)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铁艺门(窗)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地弹门(无框)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地弹门(有框)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品牌工艺大门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成品防盗门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一等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二等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实木门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平面包门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含成品包门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凹凸包门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1050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罗马窗套(线条)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含乳胶漆涂面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单独门(窗)套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幅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水电</w:t>
            </w:r>
          </w:p>
        </w:tc>
        <w:tc>
          <w:tcPr>
            <w:tcW w:w="2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水电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按装修建筑面积计算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说明</w:t>
            </w:r>
          </w:p>
        </w:tc>
        <w:tc>
          <w:tcPr>
            <w:tcW w:w="6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1、未列入上表的室内装饰装修项目可参照表中相近的给予补偿；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2、上述标准为折旧系数为1的补偿标准，根据使用年限（y）确定具体折旧系数；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3、补偿金额计算公式：补偿金额=折旧系数为1的补偿标准×折旧系数×数量；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4、可按以上各项补偿或按整体装修建筑面积进行补偿（在住宅补偿的基础上增补600元/㎡,按实际装修房屋建筑面积每项100/㎡进行补助，每缺一项扣除100元/㎡）；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5、确属豪华装修的,经被征收人申请，由实施单位委托专业机构估价补偿。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8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折旧系数核定标准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建成年代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y≦5年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5年&lt;y≦10年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10年&lt;y≦15年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15年&lt;y≦20年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y&gt;20年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折旧系数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</w:tr>
      <w:bookmarkEnd w:id="1"/>
    </w:tbl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3" w:name="_Toc13833"/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三、青苗及附着物补偿标准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（一）成片青苗及附着物</w:t>
      </w:r>
      <w:bookmarkEnd w:id="3"/>
    </w:p>
    <w:tbl>
      <w:tblPr>
        <w:tblStyle w:val="12"/>
        <w:tblW w:w="82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865"/>
        <w:gridCol w:w="1146"/>
        <w:gridCol w:w="1571"/>
        <w:gridCol w:w="1299"/>
        <w:gridCol w:w="2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青苗种类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青苗时期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青苗类别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补偿标准(元/亩)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地上定着物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林木补偿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幼林、灌木林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主要为杂树，含小山竹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成林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主要为杂树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竹林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主要为毛竹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1250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果园、其它经济林补偿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果前期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柑橘、杨梅、板栗、葡萄等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2460</w:t>
            </w:r>
          </w:p>
        </w:tc>
        <w:tc>
          <w:tcPr>
            <w:tcW w:w="269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1、果园、其它经济林所处不同时期的划分标准为：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（1）果前期：1年＜树龄≤3年；辨识特征：果树定植到第一次开花结果，枝条多以新梢、一年生枝及两年生枝为主。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（2）初果期：3年＜树龄≤5年；辨识特征：第一次结果到大量结果前，根系和树冠继续扩大，树体结构基本形成，主干直径大于等于3cm的按上限补偿，主干直径小于3cm的按下限补偿。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衰产期：树龄＞25年；辨识特征：骨干枝前端出现枯死，树体老化甚至死亡。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（3）盛果期：5年＜树龄≤25年；辨识特征：大量结果到产量明显下降，树体结构形成，中短果枝大量增加，全树形成大量花芽，主干直径大于等于5cm的按上限补偿，主干直径小于5cm的按下限补偿。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人工高产油茶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1460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普通油茶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杂果类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药材、吊瓜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茶叶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1820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初果、衰产期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柑橘、杨梅、板栗、葡萄等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5750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人工高产油茶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3110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普通油茶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杂果类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2460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药材、吊瓜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1830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茶叶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2700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盛果期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柑橘、杨梅、板栗、葡萄等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12600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人工高产油茶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6270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普通油茶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杂果类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3800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药材、吊瓜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3690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茶叶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3640</w:t>
            </w:r>
          </w:p>
        </w:tc>
        <w:tc>
          <w:tcPr>
            <w:tcW w:w="26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绿化苗木（移栽补助）</w:t>
            </w: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苗围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2420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绿化树木、花卉(一类)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6090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小树(具体规则见零星青苗中分类）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绿化树木、花卉(二类)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4900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中树(具体规则见零星青苗中分类)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绿化树木、花卉(三类)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3780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大树(具体规则见零星青苗中分类)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青苗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粮食作物补偿</w:t>
            </w: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水稻、蔬菜、大豆、花生等 (水生、旱生农作物)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藕塘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水面养殖补偿</w:t>
            </w: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精养鱼塘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包含砌垒砖石塘坎等设施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普通鱼塘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26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82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0" w:firstLineChars="0"/>
              <w:jc w:val="left"/>
              <w:textAlignment w:val="auto"/>
              <w:outlineLvl w:val="0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备注：1、本规定未列农作物参照以上相近的农作物标准执行；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30" w:firstLineChars="300"/>
              <w:jc w:val="left"/>
              <w:textAlignment w:val="auto"/>
              <w:outlineLvl w:val="0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2、水域养殖补偿是指包括塘开发、塘基费用和捕捞费用、新塘的前期处理费用、过塘运输费用、可能存在的死亡损失费用等；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30" w:firstLineChars="300"/>
              <w:jc w:val="left"/>
              <w:textAlignment w:val="auto"/>
              <w:outlineLvl w:val="0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3、以上种、养殖应符合合理密度，不足的按实际密度进行折算；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30" w:firstLineChars="300"/>
              <w:jc w:val="left"/>
              <w:textAlignment w:val="auto"/>
              <w:outlineLvl w:val="0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4、对范围内套种的农作物不进行另行补助。</w:t>
            </w:r>
          </w:p>
        </w:tc>
      </w:tr>
    </w:tbl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lef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4" w:name="_Toc1366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（二）零星青苗及附着物</w:t>
      </w:r>
      <w:bookmarkEnd w:id="4"/>
    </w:p>
    <w:tbl>
      <w:tblPr>
        <w:tblStyle w:val="12"/>
        <w:tblW w:w="82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693"/>
        <w:gridCol w:w="2962"/>
        <w:gridCol w:w="619"/>
        <w:gridCol w:w="769"/>
        <w:gridCol w:w="17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分(品)类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补偿标准(元）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地上定着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</w:t>
            </w: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桂花树、樟树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苗(树高 80 公分以下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小树(干径 5 公分以下)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中树(干径 5-10 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大树(干径 10 公分以上)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银杏、红豆杉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苗(树高 80 公分以下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小树(干径 5 公分以下)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中树(干径 5-10 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大树(干径 10 公分以上)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广玉兰、杜英、紫玉兰、白玉兰、木荷、茶花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苗(树高 80 公分以下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小树(干径 3 公分以下)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中树(干径 8公分以下)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大树(干径8公分以上)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00" w:lineRule="exac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铁树、雪松、塔松、柏树、罗汉松、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"http://www.baidu.com/link?url=tu5SgRyh7-z5LQpFsCtErhB25wCLxwUeTHgvrrCivCcvkeFNE2yzMBqa1T1MZSd4EdjWSTrF-HxZBBoxZQY_iMRn6ahdyy0K8Rk9msAm4G7" \t "https://www.baidu.com/_blank" </w:instrTex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棕榈树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苗(树高 80 公分以下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小树(干径 5 公分以下)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中树(干径 5-10 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大树(干径 10 公分以上)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红继木、紫薇、洒金柏、金叶女贞、夏鹃、大叶黄杨、栀子花、茶梅、米兰、红叶石楠、小叶黄杨、含笑等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苗(冠幅 10-30 公分）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小树(冠幅 30-60 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3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中树(冠幅 60-100 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大树(冠幅 100-150 公分）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樱桃、柿树、批杷、梨树、李树、桃树、奈李、石榴、枣树、柑橘、板栗、杨梅、葡萄等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苗(低于以下标准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小树(干径4-6公分、树冠0.5-1米）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2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中树(干径6-10公分、树冠1-1.8米)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大树(干径10公分以上、树冠1.8米）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油茶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苗(冠幅20-40公分)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小树(冠幅40-60公分)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2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中树(干径2-5公分，冠幅1米以内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大树(干径5公分以上，冠幅1米以上）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杂树（主要为乔 木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干径10公分以下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干径10公分以上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毛竹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零星(5公分以下)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零星(5公分以上）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棵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篁竹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蓬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小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蓬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130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2" w:hRule="atLeast"/>
          <w:jc w:val="center"/>
        </w:trPr>
        <w:tc>
          <w:tcPr>
            <w:tcW w:w="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地上附着物</w:t>
            </w:r>
          </w:p>
        </w:tc>
        <w:tc>
          <w:tcPr>
            <w:tcW w:w="1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坟墓（迁移补偿）</w:t>
            </w: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土坯结构无墓碑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（1）政府就近安排公益性墓地；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（2）以上补偿费包括坟墓补偿和捡骨、装运、安放及二次火化等迁移费用；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（3）以上补偿费不含公墓维护管理费，维护管理费参照相关政策执行。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土坯结构有墓碑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砖石结构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全堂石（花岗岩、红石条、麻石条等）材质结构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3600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附注：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具体征迁补偿安置方式、奖补政策等内容，按县人民政府制定的《征迁补偿安置方案》或征收实施单位在征迁过程中明确的补偿安置标准等规定执行。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MjQzYTJmYTNmZmVhMTA0ZjU4ZGM0Y2Q1M2EwM2IifQ=="/>
  </w:docVars>
  <w:rsids>
    <w:rsidRoot w:val="00000000"/>
    <w:rsid w:val="00380BE9"/>
    <w:rsid w:val="006502CB"/>
    <w:rsid w:val="00E3119B"/>
    <w:rsid w:val="013F4D46"/>
    <w:rsid w:val="01642C16"/>
    <w:rsid w:val="02EE31DC"/>
    <w:rsid w:val="03F531F0"/>
    <w:rsid w:val="04DB6F4F"/>
    <w:rsid w:val="053E2F29"/>
    <w:rsid w:val="057560A7"/>
    <w:rsid w:val="057F7624"/>
    <w:rsid w:val="05F652DD"/>
    <w:rsid w:val="06626C5E"/>
    <w:rsid w:val="07A36A33"/>
    <w:rsid w:val="0808582F"/>
    <w:rsid w:val="09BC18DF"/>
    <w:rsid w:val="09DD4ADE"/>
    <w:rsid w:val="0A5C592B"/>
    <w:rsid w:val="0B9A33EC"/>
    <w:rsid w:val="0BCA4240"/>
    <w:rsid w:val="0C3261D9"/>
    <w:rsid w:val="0C6923BC"/>
    <w:rsid w:val="0C9121CB"/>
    <w:rsid w:val="0EBC5EFF"/>
    <w:rsid w:val="0F672951"/>
    <w:rsid w:val="102510CB"/>
    <w:rsid w:val="108A1444"/>
    <w:rsid w:val="12D26A15"/>
    <w:rsid w:val="130E1074"/>
    <w:rsid w:val="13F6294C"/>
    <w:rsid w:val="14BA748E"/>
    <w:rsid w:val="15004085"/>
    <w:rsid w:val="16310DCE"/>
    <w:rsid w:val="168F749C"/>
    <w:rsid w:val="175272D0"/>
    <w:rsid w:val="1AE6371B"/>
    <w:rsid w:val="1B582FC5"/>
    <w:rsid w:val="1BB17A77"/>
    <w:rsid w:val="1BB674C6"/>
    <w:rsid w:val="1D440C9E"/>
    <w:rsid w:val="206016B1"/>
    <w:rsid w:val="20977D70"/>
    <w:rsid w:val="21735CA5"/>
    <w:rsid w:val="22235F69"/>
    <w:rsid w:val="2226060F"/>
    <w:rsid w:val="224B2A46"/>
    <w:rsid w:val="23956D5A"/>
    <w:rsid w:val="23D24851"/>
    <w:rsid w:val="244871F4"/>
    <w:rsid w:val="24FE78B3"/>
    <w:rsid w:val="26C22CF2"/>
    <w:rsid w:val="29384957"/>
    <w:rsid w:val="298E19D6"/>
    <w:rsid w:val="29B1497B"/>
    <w:rsid w:val="2A2D5BCF"/>
    <w:rsid w:val="2AF24D9A"/>
    <w:rsid w:val="2B6237DF"/>
    <w:rsid w:val="2B6E5611"/>
    <w:rsid w:val="2BE3571B"/>
    <w:rsid w:val="2CFB664E"/>
    <w:rsid w:val="2F2B1A7F"/>
    <w:rsid w:val="2FF57743"/>
    <w:rsid w:val="30E87D95"/>
    <w:rsid w:val="30F85AFE"/>
    <w:rsid w:val="30FD7461"/>
    <w:rsid w:val="30FF5BD4"/>
    <w:rsid w:val="31014620"/>
    <w:rsid w:val="315E1AAA"/>
    <w:rsid w:val="329C5588"/>
    <w:rsid w:val="32A45F3D"/>
    <w:rsid w:val="32C77F74"/>
    <w:rsid w:val="34C57AD9"/>
    <w:rsid w:val="35F02813"/>
    <w:rsid w:val="35F91DC2"/>
    <w:rsid w:val="36372C24"/>
    <w:rsid w:val="365A565D"/>
    <w:rsid w:val="3779644E"/>
    <w:rsid w:val="379D140C"/>
    <w:rsid w:val="37A635C9"/>
    <w:rsid w:val="37E8536D"/>
    <w:rsid w:val="386910DF"/>
    <w:rsid w:val="396C5544"/>
    <w:rsid w:val="39C944DB"/>
    <w:rsid w:val="3A445910"/>
    <w:rsid w:val="3A5E28DE"/>
    <w:rsid w:val="3A6809CD"/>
    <w:rsid w:val="3B014FF4"/>
    <w:rsid w:val="3B8C3A12"/>
    <w:rsid w:val="3C9C1303"/>
    <w:rsid w:val="3CBB635D"/>
    <w:rsid w:val="3CBF5AEE"/>
    <w:rsid w:val="3D153DE6"/>
    <w:rsid w:val="3FF0539D"/>
    <w:rsid w:val="417E3DFD"/>
    <w:rsid w:val="427F607F"/>
    <w:rsid w:val="42A86388"/>
    <w:rsid w:val="43135E2B"/>
    <w:rsid w:val="44013A82"/>
    <w:rsid w:val="44056E19"/>
    <w:rsid w:val="441475D6"/>
    <w:rsid w:val="44790989"/>
    <w:rsid w:val="44E119CD"/>
    <w:rsid w:val="450A4A85"/>
    <w:rsid w:val="451842CE"/>
    <w:rsid w:val="45F75F2C"/>
    <w:rsid w:val="46D520F4"/>
    <w:rsid w:val="47F46BC7"/>
    <w:rsid w:val="480F57AF"/>
    <w:rsid w:val="49A24C81"/>
    <w:rsid w:val="4A317C5F"/>
    <w:rsid w:val="4B6E4EE3"/>
    <w:rsid w:val="4BB067B7"/>
    <w:rsid w:val="4C4A5008"/>
    <w:rsid w:val="4CE45FBA"/>
    <w:rsid w:val="4CE80A83"/>
    <w:rsid w:val="4D940580"/>
    <w:rsid w:val="4E3221F7"/>
    <w:rsid w:val="4FF367FF"/>
    <w:rsid w:val="50813AD3"/>
    <w:rsid w:val="50852582"/>
    <w:rsid w:val="5164091A"/>
    <w:rsid w:val="51A21442"/>
    <w:rsid w:val="5245652E"/>
    <w:rsid w:val="52950FA7"/>
    <w:rsid w:val="52AE2CD8"/>
    <w:rsid w:val="54B07F8D"/>
    <w:rsid w:val="55C83490"/>
    <w:rsid w:val="56521689"/>
    <w:rsid w:val="56B04601"/>
    <w:rsid w:val="57CA16F3"/>
    <w:rsid w:val="590E1762"/>
    <w:rsid w:val="59CF2FF0"/>
    <w:rsid w:val="5A934260"/>
    <w:rsid w:val="5B6E0934"/>
    <w:rsid w:val="5B771CA8"/>
    <w:rsid w:val="5CF039A9"/>
    <w:rsid w:val="5D581553"/>
    <w:rsid w:val="5D6905CB"/>
    <w:rsid w:val="5D810AA5"/>
    <w:rsid w:val="5DBE0BA9"/>
    <w:rsid w:val="5E9E4128"/>
    <w:rsid w:val="5EF67620"/>
    <w:rsid w:val="5F6A7154"/>
    <w:rsid w:val="600D7BA4"/>
    <w:rsid w:val="60D128D3"/>
    <w:rsid w:val="6187474F"/>
    <w:rsid w:val="633B2C7C"/>
    <w:rsid w:val="637644DD"/>
    <w:rsid w:val="63FF2724"/>
    <w:rsid w:val="646B7DB9"/>
    <w:rsid w:val="6554084E"/>
    <w:rsid w:val="657666FB"/>
    <w:rsid w:val="66275276"/>
    <w:rsid w:val="66862C89"/>
    <w:rsid w:val="67824C8A"/>
    <w:rsid w:val="69441891"/>
    <w:rsid w:val="69694A8E"/>
    <w:rsid w:val="69DB32EB"/>
    <w:rsid w:val="6BAF2C82"/>
    <w:rsid w:val="6C4055AC"/>
    <w:rsid w:val="6C9E2FD3"/>
    <w:rsid w:val="6D505D9E"/>
    <w:rsid w:val="6D792DBA"/>
    <w:rsid w:val="6E201C15"/>
    <w:rsid w:val="6EE175F6"/>
    <w:rsid w:val="6F1C0BD3"/>
    <w:rsid w:val="6F775864"/>
    <w:rsid w:val="6FFD045F"/>
    <w:rsid w:val="703D6AAE"/>
    <w:rsid w:val="704D2605"/>
    <w:rsid w:val="70560D4F"/>
    <w:rsid w:val="70D96DFC"/>
    <w:rsid w:val="720338F8"/>
    <w:rsid w:val="73E549DB"/>
    <w:rsid w:val="741765B8"/>
    <w:rsid w:val="751F2194"/>
    <w:rsid w:val="75B74537"/>
    <w:rsid w:val="75FA0295"/>
    <w:rsid w:val="760879A7"/>
    <w:rsid w:val="76320B1C"/>
    <w:rsid w:val="773329B9"/>
    <w:rsid w:val="7828750A"/>
    <w:rsid w:val="786077DD"/>
    <w:rsid w:val="78CA10FB"/>
    <w:rsid w:val="78E66A36"/>
    <w:rsid w:val="79087436"/>
    <w:rsid w:val="79184FCA"/>
    <w:rsid w:val="7AED6889"/>
    <w:rsid w:val="7B283A5B"/>
    <w:rsid w:val="7B9D2AF7"/>
    <w:rsid w:val="7CA03C84"/>
    <w:rsid w:val="7CAD0B17"/>
    <w:rsid w:val="7D2C59D4"/>
    <w:rsid w:val="7E7E59D4"/>
    <w:rsid w:val="7E860C41"/>
    <w:rsid w:val="7EA034F5"/>
    <w:rsid w:val="7EBB69BD"/>
    <w:rsid w:val="FDE7B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widowControl/>
      <w:jc w:val="left"/>
    </w:pPr>
    <w:rPr>
      <w:rFonts w:ascii="宋体" w:hAnsi="宋体"/>
      <w:color w:val="FF0000"/>
      <w:sz w:val="28"/>
      <w:szCs w:val="2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0">
    <w:name w:val="Body Text 2"/>
    <w:basedOn w:val="1"/>
    <w:qFormat/>
    <w:uiPriority w:val="0"/>
    <w:rPr>
      <w:rFonts w:ascii="宋体" w:hAnsi="宋体"/>
      <w:color w:val="FF0000"/>
      <w:sz w:val="24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basedOn w:val="14"/>
    <w:qFormat/>
    <w:uiPriority w:val="0"/>
    <w:rPr>
      <w:color w:val="0000FF"/>
      <w:u w:val="single"/>
    </w:rPr>
  </w:style>
  <w:style w:type="character" w:customStyle="1" w:styleId="18">
    <w:name w:val="font11"/>
    <w:basedOn w:val="1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9">
    <w:name w:val="font2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0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3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2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3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7057</Words>
  <Characters>7582</Characters>
  <Lines>0</Lines>
  <Paragraphs>0</Paragraphs>
  <TotalTime>12</TotalTime>
  <ScaleCrop>false</ScaleCrop>
  <LinksUpToDate>false</LinksUpToDate>
  <CharactersWithSpaces>7841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2023-07-07T16:27:00Z</dcterms:created>
  <dc:creator>Administrator</dc:creator>
  <cp:lastModifiedBy>user</cp:lastModifiedBy>
  <cp:lastPrinted>2024-01-05T10:32:00Z</cp:lastPrinted>
  <dcterms:modified xsi:type="dcterms:W3CDTF">2024-04-01T18:01:34Z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1800EF3D47564453BD66F9A0A9BAA9FD_13</vt:lpwstr>
  </property>
</Properties>
</file>