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center"/>
        <w:rPr>
          <w:rFonts w:hint="eastAsia" w:ascii="黑体" w:hAnsi="黑体" w:eastAsia="黑体" w:cs="黑体"/>
          <w:b/>
          <w:sz w:val="36"/>
          <w:szCs w:val="36"/>
        </w:rPr>
      </w:pPr>
      <w:r>
        <w:rPr>
          <w:rFonts w:hint="eastAsia" w:ascii="黑体" w:hAnsi="黑体" w:eastAsia="黑体" w:cs="黑体"/>
          <w:b/>
          <w:sz w:val="36"/>
          <w:szCs w:val="36"/>
        </w:rPr>
        <w:t>兴国县</w:t>
      </w:r>
      <w:r>
        <w:rPr>
          <w:rFonts w:hint="eastAsia" w:ascii="黑体" w:hAnsi="黑体" w:eastAsia="黑体" w:cs="黑体"/>
          <w:b/>
          <w:sz w:val="36"/>
          <w:szCs w:val="36"/>
          <w:lang w:eastAsia="zh-CN"/>
        </w:rPr>
        <w:t>金融工作局</w:t>
      </w:r>
      <w:r>
        <w:rPr>
          <w:rFonts w:hint="eastAsia" w:ascii="黑体" w:hAnsi="黑体" w:eastAsia="黑体" w:cs="黑体"/>
          <w:b/>
          <w:sz w:val="36"/>
          <w:szCs w:val="36"/>
        </w:rPr>
        <w:t>2019年部门预算</w:t>
      </w:r>
    </w:p>
    <w:p>
      <w:pPr>
        <w:spacing w:line="600" w:lineRule="exact"/>
        <w:jc w:val="center"/>
        <w:rPr>
          <w:rFonts w:hint="eastAsia" w:ascii="黑体" w:hAnsi="黑体" w:eastAsia="黑体" w:cs="黑体"/>
          <w:sz w:val="36"/>
          <w:szCs w:val="36"/>
        </w:rPr>
      </w:pPr>
      <w:r>
        <w:rPr>
          <w:rFonts w:hint="eastAsia" w:ascii="黑体" w:hAnsi="黑体" w:eastAsia="黑体" w:cs="黑体"/>
          <w:sz w:val="36"/>
          <w:szCs w:val="36"/>
        </w:rPr>
        <w:t>目    录</w:t>
      </w:r>
    </w:p>
    <w:p>
      <w:pPr>
        <w:spacing w:line="600" w:lineRule="exact"/>
        <w:jc w:val="center"/>
        <w:rPr>
          <w:rFonts w:hint="eastAsia" w:ascii="黑体" w:hAnsi="黑体" w:eastAsia="黑体" w:cs="黑体"/>
          <w:sz w:val="36"/>
          <w:szCs w:val="36"/>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val="0"/>
          <w:sz w:val="32"/>
          <w:szCs w:val="32"/>
        </w:rPr>
      </w:pPr>
      <w:r>
        <w:rPr>
          <w:rFonts w:hint="eastAsia" w:ascii="宋体" w:hAnsi="宋体" w:eastAsia="宋体" w:cs="宋体"/>
          <w:b/>
          <w:bCs w:val="0"/>
          <w:sz w:val="32"/>
          <w:szCs w:val="32"/>
        </w:rPr>
        <w:t xml:space="preserve">第一部分 </w:t>
      </w:r>
      <w:r>
        <w:rPr>
          <w:rFonts w:hint="eastAsia" w:ascii="宋体" w:hAnsi="宋体" w:eastAsia="宋体" w:cs="宋体"/>
          <w:b/>
          <w:bCs w:val="0"/>
          <w:sz w:val="32"/>
          <w:szCs w:val="32"/>
          <w:lang w:val="en-US" w:eastAsia="zh-CN"/>
        </w:rPr>
        <w:t>兴国县金融局</w:t>
      </w:r>
      <w:r>
        <w:rPr>
          <w:rFonts w:hint="eastAsia" w:ascii="宋体" w:hAnsi="宋体" w:eastAsia="宋体" w:cs="宋体"/>
          <w:b/>
          <w:bCs w:val="0"/>
          <w:sz w:val="32"/>
          <w:szCs w:val="32"/>
        </w:rPr>
        <w:t>概况</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819" w:firstLineChars="213"/>
        <w:textAlignment w:val="auto"/>
        <w:rPr>
          <w:rFonts w:hint="eastAsia" w:ascii="宋体" w:hAnsi="宋体" w:eastAsia="宋体" w:cs="宋体"/>
          <w:b w:val="0"/>
          <w:bCs/>
          <w:sz w:val="32"/>
          <w:szCs w:val="32"/>
        </w:rPr>
      </w:pPr>
      <w:r>
        <w:rPr>
          <w:rFonts w:hint="eastAsia" w:ascii="宋体" w:hAnsi="宋体" w:eastAsia="宋体" w:cs="宋体"/>
          <w:b w:val="0"/>
          <w:bCs/>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819" w:firstLineChars="213"/>
        <w:textAlignment w:val="auto"/>
        <w:rPr>
          <w:rFonts w:hint="eastAsia" w:ascii="宋体" w:hAnsi="宋体" w:eastAsia="宋体" w:cs="宋体"/>
          <w:b w:val="0"/>
          <w:bCs/>
          <w:sz w:val="32"/>
          <w:szCs w:val="32"/>
        </w:rPr>
      </w:pPr>
      <w:r>
        <w:rPr>
          <w:rFonts w:hint="eastAsia" w:ascii="宋体" w:hAnsi="宋体" w:eastAsia="宋体" w:cs="宋体"/>
          <w:b w:val="0"/>
          <w:bCs/>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val="0"/>
          <w:sz w:val="32"/>
          <w:szCs w:val="32"/>
        </w:rPr>
      </w:pPr>
      <w:r>
        <w:rPr>
          <w:rFonts w:hint="eastAsia" w:ascii="宋体" w:hAnsi="宋体" w:eastAsia="宋体" w:cs="宋体"/>
          <w:b/>
          <w:bCs w:val="0"/>
          <w:sz w:val="32"/>
          <w:szCs w:val="32"/>
        </w:rPr>
        <w:t xml:space="preserve">第二部分 </w:t>
      </w:r>
      <w:r>
        <w:rPr>
          <w:rFonts w:hint="eastAsia" w:ascii="宋体" w:hAnsi="宋体" w:eastAsia="宋体" w:cs="宋体"/>
          <w:b/>
          <w:bCs w:val="0"/>
          <w:sz w:val="32"/>
          <w:szCs w:val="32"/>
          <w:lang w:val="en-US" w:eastAsia="zh-CN"/>
        </w:rPr>
        <w:t>2019</w:t>
      </w:r>
      <w:r>
        <w:rPr>
          <w:rFonts w:hint="eastAsia" w:ascii="宋体" w:hAnsi="宋体" w:eastAsia="宋体" w:cs="宋体"/>
          <w:b/>
          <w:bCs w:val="0"/>
          <w:sz w:val="32"/>
          <w:szCs w:val="32"/>
        </w:rPr>
        <w:t>年部门预算情况说明</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819" w:firstLineChars="213"/>
        <w:textAlignment w:val="auto"/>
        <w:rPr>
          <w:rFonts w:hint="eastAsia" w:ascii="宋体" w:hAnsi="宋体" w:eastAsia="宋体" w:cs="宋体"/>
          <w:b w:val="0"/>
          <w:bCs/>
          <w:sz w:val="32"/>
          <w:szCs w:val="32"/>
        </w:rPr>
      </w:pPr>
      <w:r>
        <w:rPr>
          <w:rFonts w:hint="eastAsia" w:ascii="宋体" w:hAnsi="宋体" w:eastAsia="宋体" w:cs="宋体"/>
          <w:b w:val="0"/>
          <w:bCs/>
          <w:sz w:val="32"/>
          <w:szCs w:val="32"/>
        </w:rPr>
        <w:t>一、</w:t>
      </w:r>
      <w:r>
        <w:rPr>
          <w:rFonts w:hint="eastAsia" w:ascii="宋体" w:hAnsi="宋体" w:eastAsia="宋体" w:cs="宋体"/>
          <w:b w:val="0"/>
          <w:bCs/>
          <w:sz w:val="32"/>
          <w:szCs w:val="32"/>
          <w:lang w:val="en-US" w:eastAsia="zh-CN"/>
        </w:rPr>
        <w:t>2019</w:t>
      </w:r>
      <w:r>
        <w:rPr>
          <w:rFonts w:hint="eastAsia" w:ascii="宋体" w:hAnsi="宋体" w:eastAsia="宋体" w:cs="宋体"/>
          <w:b w:val="0"/>
          <w:bCs/>
          <w:sz w:val="32"/>
          <w:szCs w:val="32"/>
        </w:rPr>
        <w:t>年部门预算收支情况说明</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819" w:firstLineChars="213"/>
        <w:textAlignment w:val="auto"/>
        <w:rPr>
          <w:rFonts w:hint="eastAsia" w:ascii="宋体" w:hAnsi="宋体" w:eastAsia="宋体" w:cs="宋体"/>
          <w:b w:val="0"/>
          <w:bCs/>
          <w:sz w:val="32"/>
          <w:szCs w:val="32"/>
        </w:rPr>
      </w:pPr>
      <w:r>
        <w:rPr>
          <w:rFonts w:hint="eastAsia" w:ascii="宋体" w:hAnsi="宋体" w:eastAsia="宋体" w:cs="宋体"/>
          <w:b w:val="0"/>
          <w:bCs/>
          <w:sz w:val="32"/>
          <w:szCs w:val="32"/>
        </w:rPr>
        <w:t>二、</w:t>
      </w:r>
      <w:r>
        <w:rPr>
          <w:rFonts w:hint="eastAsia" w:ascii="宋体" w:hAnsi="宋体" w:eastAsia="宋体" w:cs="宋体"/>
          <w:b w:val="0"/>
          <w:bCs/>
          <w:sz w:val="32"/>
          <w:szCs w:val="32"/>
          <w:lang w:val="en-US" w:eastAsia="zh-CN"/>
        </w:rPr>
        <w:t>2019</w:t>
      </w:r>
      <w:r>
        <w:rPr>
          <w:rFonts w:hint="eastAsia" w:ascii="宋体" w:hAnsi="宋体" w:eastAsia="宋体" w:cs="宋体"/>
          <w:b w:val="0"/>
          <w:bCs/>
          <w:sz w:val="32"/>
          <w:szCs w:val="32"/>
        </w:rPr>
        <w:t>年“三公”经费预算情况说明</w:t>
      </w:r>
    </w:p>
    <w:p>
      <w:pPr>
        <w:ind w:left="819" w:leftChars="0" w:hanging="819" w:hangingChars="213"/>
        <w:rPr>
          <w:rFonts w:hint="eastAsia" w:ascii="宋体" w:hAnsi="宋体" w:eastAsia="宋体" w:cs="宋体"/>
          <w:b/>
          <w:bCs/>
          <w:sz w:val="32"/>
          <w:szCs w:val="32"/>
        </w:rPr>
      </w:pPr>
      <w:r>
        <w:rPr>
          <w:rFonts w:hint="eastAsia" w:ascii="宋体" w:hAnsi="宋体" w:eastAsia="宋体" w:cs="宋体"/>
          <w:b/>
          <w:bCs/>
          <w:sz w:val="32"/>
          <w:szCs w:val="32"/>
        </w:rPr>
        <w:t>第三部分</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兴国县</w:t>
      </w:r>
      <w:r>
        <w:rPr>
          <w:rFonts w:hint="eastAsia" w:ascii="宋体" w:hAnsi="宋体" w:eastAsia="宋体" w:cs="宋体"/>
          <w:b/>
          <w:bCs/>
          <w:sz w:val="32"/>
          <w:szCs w:val="32"/>
          <w:lang w:val="en-US" w:eastAsia="zh-CN"/>
        </w:rPr>
        <w:t>金融局</w:t>
      </w:r>
      <w:r>
        <w:rPr>
          <w:rFonts w:hint="eastAsia" w:ascii="宋体" w:hAnsi="宋体" w:eastAsia="宋体" w:cs="宋体"/>
          <w:b/>
          <w:bCs/>
          <w:sz w:val="32"/>
          <w:szCs w:val="32"/>
        </w:rPr>
        <w:t>预算表</w:t>
      </w:r>
    </w:p>
    <w:p>
      <w:pPr>
        <w:ind w:left="826" w:leftChars="284" w:hanging="45" w:hangingChars="12"/>
        <w:rPr>
          <w:rFonts w:hint="eastAsia" w:ascii="宋体" w:hAnsi="宋体" w:eastAsia="宋体" w:cs="宋体"/>
          <w:b w:val="0"/>
          <w:bCs w:val="0"/>
          <w:sz w:val="32"/>
          <w:szCs w:val="32"/>
        </w:rPr>
      </w:pPr>
      <w:r>
        <w:rPr>
          <w:rFonts w:hint="eastAsia" w:ascii="宋体" w:hAnsi="宋体" w:eastAsia="宋体" w:cs="宋体"/>
          <w:b w:val="0"/>
          <w:bCs w:val="0"/>
          <w:sz w:val="32"/>
          <w:szCs w:val="32"/>
        </w:rPr>
        <w:t>一、《收支预算总表》</w:t>
      </w:r>
    </w:p>
    <w:p>
      <w:pPr>
        <w:ind w:left="826" w:leftChars="284" w:hanging="45" w:hangingChars="12"/>
        <w:rPr>
          <w:rFonts w:hint="eastAsia" w:ascii="宋体" w:hAnsi="宋体" w:eastAsia="宋体" w:cs="宋体"/>
          <w:b w:val="0"/>
          <w:bCs w:val="0"/>
          <w:sz w:val="32"/>
          <w:szCs w:val="32"/>
        </w:rPr>
      </w:pPr>
      <w:r>
        <w:rPr>
          <w:rFonts w:hint="eastAsia" w:ascii="宋体" w:hAnsi="宋体" w:eastAsia="宋体" w:cs="宋体"/>
          <w:b w:val="0"/>
          <w:bCs w:val="0"/>
          <w:sz w:val="32"/>
          <w:szCs w:val="32"/>
        </w:rPr>
        <w:t>二、《部门收入总表》</w:t>
      </w:r>
    </w:p>
    <w:p>
      <w:pPr>
        <w:ind w:left="826" w:leftChars="284" w:hanging="45" w:hangingChars="12"/>
        <w:rPr>
          <w:rFonts w:hint="eastAsia" w:ascii="宋体" w:hAnsi="宋体" w:eastAsia="宋体" w:cs="宋体"/>
          <w:b w:val="0"/>
          <w:bCs w:val="0"/>
          <w:sz w:val="32"/>
          <w:szCs w:val="32"/>
        </w:rPr>
      </w:pPr>
      <w:r>
        <w:rPr>
          <w:rFonts w:hint="eastAsia" w:ascii="宋体" w:hAnsi="宋体" w:eastAsia="宋体" w:cs="宋体"/>
          <w:b w:val="0"/>
          <w:bCs w:val="0"/>
          <w:sz w:val="32"/>
          <w:szCs w:val="32"/>
        </w:rPr>
        <w:t>三、《部门支出总表》</w:t>
      </w:r>
    </w:p>
    <w:p>
      <w:pPr>
        <w:ind w:left="826" w:leftChars="284" w:hanging="45" w:hangingChars="12"/>
        <w:rPr>
          <w:rFonts w:hint="eastAsia" w:ascii="宋体" w:hAnsi="宋体" w:eastAsia="宋体" w:cs="宋体"/>
          <w:b w:val="0"/>
          <w:bCs w:val="0"/>
          <w:sz w:val="32"/>
          <w:szCs w:val="32"/>
        </w:rPr>
      </w:pPr>
      <w:r>
        <w:rPr>
          <w:rFonts w:hint="eastAsia" w:ascii="宋体" w:hAnsi="宋体" w:eastAsia="宋体" w:cs="宋体"/>
          <w:b w:val="0"/>
          <w:bCs w:val="0"/>
          <w:sz w:val="32"/>
          <w:szCs w:val="32"/>
        </w:rPr>
        <w:t>四、《财政拨款收支总表》</w:t>
      </w:r>
    </w:p>
    <w:p>
      <w:pPr>
        <w:ind w:left="826" w:leftChars="284" w:hanging="45" w:hangingChars="12"/>
        <w:rPr>
          <w:rFonts w:hint="eastAsia" w:ascii="宋体" w:hAnsi="宋体" w:eastAsia="宋体" w:cs="宋体"/>
          <w:b w:val="0"/>
          <w:bCs w:val="0"/>
          <w:sz w:val="32"/>
          <w:szCs w:val="32"/>
        </w:rPr>
      </w:pPr>
      <w:r>
        <w:rPr>
          <w:rFonts w:hint="eastAsia" w:ascii="宋体" w:hAnsi="宋体" w:eastAsia="宋体" w:cs="宋体"/>
          <w:b w:val="0"/>
          <w:bCs w:val="0"/>
          <w:sz w:val="32"/>
          <w:szCs w:val="32"/>
        </w:rPr>
        <w:t>五、《一般公共预算支出表》</w:t>
      </w:r>
    </w:p>
    <w:p>
      <w:pPr>
        <w:ind w:left="826" w:leftChars="284" w:hanging="45" w:hangingChars="12"/>
        <w:rPr>
          <w:rFonts w:hint="eastAsia" w:ascii="宋体" w:hAnsi="宋体" w:eastAsia="宋体" w:cs="宋体"/>
          <w:b w:val="0"/>
          <w:bCs w:val="0"/>
          <w:sz w:val="32"/>
          <w:szCs w:val="32"/>
        </w:rPr>
      </w:pPr>
      <w:r>
        <w:rPr>
          <w:rFonts w:hint="eastAsia" w:ascii="宋体" w:hAnsi="宋体" w:eastAsia="宋体" w:cs="宋体"/>
          <w:b w:val="0"/>
          <w:bCs w:val="0"/>
          <w:sz w:val="32"/>
          <w:szCs w:val="32"/>
        </w:rPr>
        <w:t>六、《一般公共预算基本支出表》</w:t>
      </w:r>
    </w:p>
    <w:p>
      <w:pPr>
        <w:ind w:left="826" w:leftChars="284" w:hanging="45" w:hangingChars="12"/>
        <w:rPr>
          <w:rFonts w:hint="eastAsia" w:ascii="宋体" w:hAnsi="宋体" w:eastAsia="宋体" w:cs="宋体"/>
          <w:b w:val="0"/>
          <w:bCs w:val="0"/>
          <w:sz w:val="32"/>
          <w:szCs w:val="32"/>
        </w:rPr>
      </w:pPr>
      <w:r>
        <w:rPr>
          <w:rFonts w:hint="eastAsia" w:ascii="宋体" w:hAnsi="宋体" w:eastAsia="宋体" w:cs="宋体"/>
          <w:b w:val="0"/>
          <w:bCs w:val="0"/>
          <w:sz w:val="32"/>
          <w:szCs w:val="32"/>
        </w:rPr>
        <w:t>七、《一般公共预算“三公”经费支出表》</w:t>
      </w:r>
    </w:p>
    <w:p>
      <w:pPr>
        <w:ind w:left="826" w:leftChars="284" w:hanging="45" w:hangingChars="12"/>
        <w:rPr>
          <w:rFonts w:hint="eastAsia" w:ascii="宋体" w:hAnsi="宋体" w:eastAsia="宋体" w:cs="宋体"/>
          <w:b w:val="0"/>
          <w:bCs w:val="0"/>
          <w:sz w:val="32"/>
          <w:szCs w:val="32"/>
        </w:rPr>
      </w:pPr>
      <w:r>
        <w:rPr>
          <w:rFonts w:hint="eastAsia" w:ascii="宋体" w:hAnsi="宋体" w:eastAsia="宋体" w:cs="宋体"/>
          <w:b w:val="0"/>
          <w:bCs w:val="0"/>
          <w:sz w:val="32"/>
          <w:szCs w:val="32"/>
        </w:rPr>
        <w:t>八、《政府性基金预算支出表》</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bCs w:val="0"/>
          <w:sz w:val="32"/>
          <w:szCs w:val="32"/>
        </w:rPr>
      </w:pPr>
      <w:r>
        <w:rPr>
          <w:rFonts w:hint="eastAsia" w:ascii="宋体" w:hAnsi="宋体" w:eastAsia="宋体" w:cs="宋体"/>
          <w:b/>
          <w:bCs w:val="0"/>
          <w:sz w:val="32"/>
          <w:szCs w:val="32"/>
        </w:rPr>
        <w:t>第</w:t>
      </w:r>
      <w:r>
        <w:rPr>
          <w:rFonts w:hint="eastAsia" w:ascii="宋体" w:hAnsi="宋体" w:eastAsia="宋体" w:cs="宋体"/>
          <w:b/>
          <w:bCs w:val="0"/>
          <w:sz w:val="32"/>
          <w:szCs w:val="32"/>
          <w:lang w:val="en-US" w:eastAsia="zh-CN"/>
        </w:rPr>
        <w:t>四</w:t>
      </w:r>
      <w:r>
        <w:rPr>
          <w:rFonts w:hint="eastAsia" w:ascii="宋体" w:hAnsi="宋体" w:eastAsia="宋体" w:cs="宋体"/>
          <w:b/>
          <w:bCs w:val="0"/>
          <w:sz w:val="32"/>
          <w:szCs w:val="32"/>
        </w:rPr>
        <w:t>部分  名词解释</w:t>
      </w:r>
    </w:p>
    <w:p>
      <w:pPr>
        <w:spacing w:line="600" w:lineRule="exact"/>
        <w:jc w:val="center"/>
        <w:rPr>
          <w:rFonts w:hint="eastAsia" w:ascii="宋体" w:hAnsi="宋体" w:eastAsia="宋体" w:cs="宋体"/>
          <w:sz w:val="32"/>
          <w:szCs w:val="32"/>
        </w:rPr>
      </w:pP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lang w:eastAsia="zh-CN"/>
        </w:rPr>
      </w:pP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lang w:eastAsia="zh-CN"/>
        </w:rPr>
      </w:pP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lang w:eastAsia="zh-CN"/>
        </w:rPr>
      </w:pP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lang w:eastAsia="zh-CN"/>
        </w:rPr>
      </w:pP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lang w:eastAsia="zh-CN"/>
        </w:rPr>
      </w:pP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lang w:eastAsia="zh-CN"/>
        </w:rPr>
      </w:pP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32"/>
          <w:szCs w:val="32"/>
        </w:rPr>
      </w:pPr>
      <w:r>
        <w:rPr>
          <w:rFonts w:hint="eastAsia" w:ascii="宋体" w:hAnsi="宋体" w:eastAsia="宋体" w:cs="宋体"/>
          <w:b/>
          <w:sz w:val="32"/>
          <w:szCs w:val="32"/>
        </w:rPr>
        <w:t xml:space="preserve">第一部分 </w:t>
      </w:r>
      <w:r>
        <w:rPr>
          <w:rFonts w:hint="eastAsia" w:ascii="宋体" w:hAnsi="宋体" w:eastAsia="宋体" w:cs="宋体"/>
          <w:b/>
          <w:sz w:val="32"/>
          <w:szCs w:val="32"/>
          <w:lang w:val="en-US" w:eastAsia="zh-CN"/>
        </w:rPr>
        <w:t>兴国县金融局</w:t>
      </w:r>
      <w:r>
        <w:rPr>
          <w:rFonts w:hint="eastAsia" w:ascii="宋体" w:hAnsi="宋体" w:eastAsia="宋体" w:cs="宋体"/>
          <w:b/>
          <w:sz w:val="32"/>
          <w:szCs w:val="32"/>
        </w:rPr>
        <w:t>概况</w:t>
      </w: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rPr>
      </w:pPr>
      <w:r>
        <w:rPr>
          <w:rFonts w:hint="eastAsia" w:ascii="宋体" w:hAnsi="宋体" w:eastAsia="宋体" w:cs="宋体"/>
          <w:b/>
          <w:bCs/>
          <w:color w:val="000000"/>
          <w:sz w:val="32"/>
          <w:szCs w:val="32"/>
          <w:lang w:eastAsia="zh-CN"/>
        </w:rPr>
        <w:t>一、</w:t>
      </w:r>
      <w:r>
        <w:rPr>
          <w:rFonts w:hint="eastAsia" w:ascii="宋体" w:hAnsi="宋体" w:eastAsia="宋体" w:cs="宋体"/>
          <w:b/>
          <w:bCs/>
          <w:color w:val="000000"/>
          <w:sz w:val="32"/>
          <w:szCs w:val="32"/>
        </w:rPr>
        <w:t>部门主要职责</w:t>
      </w:r>
    </w:p>
    <w:p>
      <w:pPr>
        <w:pStyle w:val="4"/>
        <w:keepNext w:val="0"/>
        <w:keepLines w:val="0"/>
        <w:pageBreakBefore w:val="0"/>
        <w:widowControl/>
        <w:suppressLineNumbers w:val="0"/>
        <w:kinsoku/>
        <w:wordWrap w:val="0"/>
        <w:overflowPunct/>
        <w:topLinePunct w:val="0"/>
        <w:autoSpaceDN/>
        <w:bidi w:val="0"/>
        <w:snapToGrid w:val="0"/>
        <w:spacing w:before="0" w:beforeAutospacing="0" w:after="0" w:afterAutospacing="0" w:line="500" w:lineRule="exact"/>
        <w:ind w:left="0" w:right="0"/>
        <w:textAlignment w:val="auto"/>
        <w:rPr>
          <w:rFonts w:hint="eastAsia" w:ascii="宋体" w:hAnsi="宋体" w:eastAsia="宋体" w:cs="宋体"/>
          <w:color w:val="000000"/>
          <w:sz w:val="32"/>
          <w:szCs w:val="32"/>
          <w:lang w:eastAsia="zh-CN"/>
        </w:rPr>
      </w:pPr>
      <w:r>
        <w:rPr>
          <w:rFonts w:hint="eastAsia" w:ascii="宋体" w:hAnsi="宋体" w:eastAsia="宋体" w:cs="宋体"/>
          <w:snapToGrid w:val="0"/>
          <w:color w:val="333333"/>
          <w:sz w:val="32"/>
          <w:szCs w:val="32"/>
        </w:rPr>
        <w:t>　</w:t>
      </w:r>
      <w:r>
        <w:rPr>
          <w:rFonts w:hint="eastAsia" w:ascii="宋体" w:hAnsi="宋体" w:eastAsia="宋体" w:cs="宋体"/>
          <w:snapToGrid w:val="0"/>
          <w:color w:val="333333"/>
          <w:sz w:val="32"/>
          <w:szCs w:val="32"/>
          <w:lang w:val="en-US" w:eastAsia="zh-CN"/>
        </w:rPr>
        <w:t xml:space="preserve">     </w:t>
      </w:r>
      <w:r>
        <w:rPr>
          <w:rFonts w:hint="eastAsia" w:ascii="宋体" w:hAnsi="宋体" w:eastAsia="宋体" w:cs="宋体"/>
          <w:color w:val="000000"/>
          <w:sz w:val="32"/>
          <w:szCs w:val="32"/>
          <w:lang w:eastAsia="zh-CN"/>
        </w:rPr>
        <w:t>根据兴国县机构编制委员会《关于成立兴国县金融工作局的通知》（兴编字〔</w:t>
      </w:r>
      <w:r>
        <w:rPr>
          <w:rFonts w:hint="eastAsia" w:ascii="宋体" w:hAnsi="宋体" w:eastAsia="宋体" w:cs="宋体"/>
          <w:color w:val="000000"/>
          <w:sz w:val="32"/>
          <w:szCs w:val="32"/>
          <w:lang w:val="en-US" w:eastAsia="zh-CN"/>
        </w:rPr>
        <w:t>2013</w:t>
      </w:r>
      <w:r>
        <w:rPr>
          <w:rFonts w:hint="eastAsia" w:ascii="宋体" w:hAnsi="宋体" w:eastAsia="宋体" w:cs="宋体"/>
          <w:color w:val="000000"/>
          <w:sz w:val="32"/>
          <w:szCs w:val="32"/>
          <w:lang w:eastAsia="zh-CN"/>
        </w:rPr>
        <w:t>〕</w:t>
      </w:r>
      <w:r>
        <w:rPr>
          <w:rFonts w:hint="eastAsia" w:ascii="宋体" w:hAnsi="宋体" w:eastAsia="宋体" w:cs="宋体"/>
          <w:color w:val="000000"/>
          <w:sz w:val="32"/>
          <w:szCs w:val="32"/>
          <w:lang w:val="en-US" w:eastAsia="zh-CN"/>
        </w:rPr>
        <w:t>30</w:t>
      </w:r>
      <w:r>
        <w:rPr>
          <w:rFonts w:hint="eastAsia" w:ascii="宋体" w:hAnsi="宋体" w:eastAsia="宋体" w:cs="宋体"/>
          <w:color w:val="000000"/>
          <w:sz w:val="32"/>
          <w:szCs w:val="32"/>
          <w:lang w:eastAsia="zh-CN"/>
        </w:rPr>
        <w:t>号）文件精神，成立兴国县金融工作局，为县人民政府直属正科级全额拨款事业单位。主要职责是：</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5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（一）拟定我县落实国家金融政策的实施意见，督促驻县金融机构落实好国家、省、市和县委、县政府的决策部署，协调和支持各金融机构创新业务，加大对地方经济和社会发展的支持。</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5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（二）研究拟订全县金融发展中长期规划和工作计划；研究分析经济金融形势，提出优化金融环境、改善金融服务、促进我县金融业发展的政策建议。</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（三）负责全县企业上市工作，指导和推动拟上市公司资产重组及融资；协助做好证券期货机构和上市公司规范发展工作。</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（四）承担对地方金融机构的相关业务管理工作，参与对地方金融机构及其高管人员的业绩考核。对县属金融企业高管人员的提名、任免提出意见。</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（五）指导全县小额贷款公司的设立初审和监管工作，负责辖区内小额贷款公司日常监管工作。</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（六）负责融资性担保机构和其他地方金融中介组织的设立审检报批和业务监管。</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（七）协助金融监管机构对地方金融机构及金融行业自律组织的监管；负责组织实施县政府对地方金融机构和地方金融中介组织的管理；负责与驻县金融机构的联系。</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（八）协助推进地方金融机构的政策重组；指导和推进金融市场体系建设；指导和推进农村金融政策和发展。</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（九）配合协助省、市政府金融办对驻县省、市属金融企业进行监管。</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（十）配合有关部门整顿和规范金融秩序、查处非法金融机构和非法金融活动，防范和化解金融风险。</w:t>
      </w:r>
    </w:p>
    <w:p>
      <w:pPr>
        <w:pStyle w:val="4"/>
        <w:keepNext w:val="0"/>
        <w:keepLines w:val="0"/>
        <w:pageBreakBefore w:val="0"/>
        <w:widowControl/>
        <w:shd w:val="clear" w:color="auto" w:fill="FFFFFF"/>
        <w:kinsoku/>
        <w:wordWrap w:val="0"/>
        <w:overflowPunct/>
        <w:topLinePunct w:val="0"/>
        <w:autoSpaceDE w:val="0"/>
        <w:autoSpaceDN/>
        <w:bidi w:val="0"/>
        <w:adjustRightInd w:val="0"/>
        <w:snapToGrid w:val="0"/>
        <w:spacing w:before="100" w:beforeAutospacing="1" w:after="100" w:afterAutospacing="1" w:line="600" w:lineRule="exact"/>
        <w:ind w:left="0" w:leftChars="0" w:right="0" w:rightChars="0" w:firstLine="770" w:firstLineChars="200"/>
        <w:jc w:val="left"/>
        <w:textAlignment w:val="auto"/>
        <w:outlineLvl w:val="9"/>
        <w:rPr>
          <w:rFonts w:hint="eastAsia" w:ascii="宋体" w:hAnsi="宋体" w:eastAsia="宋体" w:cs="宋体"/>
          <w:color w:val="000000"/>
          <w:sz w:val="32"/>
          <w:szCs w:val="32"/>
          <w:lang w:eastAsia="zh-CN"/>
        </w:rPr>
      </w:pPr>
      <w:r>
        <w:rPr>
          <w:rFonts w:hint="eastAsia" w:ascii="宋体" w:hAnsi="宋体" w:eastAsia="宋体" w:cs="宋体"/>
          <w:color w:val="000000"/>
          <w:sz w:val="32"/>
          <w:szCs w:val="32"/>
          <w:lang w:eastAsia="zh-CN"/>
        </w:rPr>
        <w:t>（十一）承办县委、县政府交办的其它事项。</w:t>
      </w:r>
    </w:p>
    <w:p>
      <w:pPr>
        <w:keepNext w:val="0"/>
        <w:keepLines w:val="0"/>
        <w:pageBreakBefore w:val="0"/>
        <w:widowControl w:val="0"/>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bCs/>
          <w:color w:val="000000"/>
          <w:sz w:val="32"/>
          <w:szCs w:val="32"/>
        </w:rPr>
      </w:pPr>
      <w:r>
        <w:rPr>
          <w:rFonts w:hint="eastAsia" w:ascii="宋体" w:hAnsi="宋体" w:eastAsia="宋体" w:cs="宋体"/>
          <w:b/>
          <w:bCs/>
          <w:color w:val="000000"/>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兴国县金融工作局编制数6人，其中：全额事业编制5人；实有人数12人，其中：在职人数12人，包括编制人员5人，借调工作人员3人，金融服务中心抽调工作人员4人。本单位分三个股室，一个办公室负责单位日常事务；一个资本市场股负责负责全县企业上市工作，指导和推动拟上市公司资产重组及融资；协助做好证券期货机构和上市公司规范发展工作；一个地方金融股负责督促驻县金融机构落实好国家、省、市和县委、县政府的决策部署，协调和支持各金融机构创新业务，加大对地方经济和社会发展的支持，承担对地方金融机构的相关业务管理工作，参与对地方金融机构及其高管人员的业绩考核。</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b/>
          <w:sz w:val="32"/>
          <w:szCs w:val="32"/>
        </w:rPr>
      </w:pPr>
      <w:r>
        <w:rPr>
          <w:rFonts w:hint="eastAsia" w:ascii="宋体" w:hAnsi="宋体" w:eastAsia="宋体" w:cs="宋体"/>
          <w:b/>
          <w:sz w:val="32"/>
          <w:szCs w:val="32"/>
        </w:rPr>
        <w:t xml:space="preserve">第二部分  </w:t>
      </w:r>
      <w:r>
        <w:rPr>
          <w:rFonts w:hint="eastAsia" w:ascii="宋体" w:hAnsi="宋体" w:eastAsia="宋体" w:cs="宋体"/>
          <w:b/>
          <w:sz w:val="32"/>
          <w:szCs w:val="32"/>
          <w:lang w:val="en-US" w:eastAsia="zh-CN"/>
        </w:rPr>
        <w:t>2019</w:t>
      </w:r>
      <w:r>
        <w:rPr>
          <w:rFonts w:hint="eastAsia" w:ascii="宋体" w:hAnsi="宋体" w:eastAsia="宋体" w:cs="宋体"/>
          <w:b/>
          <w:sz w:val="32"/>
          <w:szCs w:val="32"/>
        </w:rPr>
        <w:t>年部门预算情况说明</w:t>
      </w:r>
    </w:p>
    <w:p>
      <w:pPr>
        <w:keepNext w:val="0"/>
        <w:keepLines w:val="0"/>
        <w:pageBreakBefore w:val="0"/>
        <w:widowControl w:val="0"/>
        <w:kinsoku/>
        <w:wordWrap/>
        <w:overflowPunct/>
        <w:topLinePunct w:val="0"/>
        <w:autoSpaceDE/>
        <w:autoSpaceDN/>
        <w:bidi w:val="0"/>
        <w:adjustRightInd/>
        <w:snapToGrid/>
        <w:spacing w:line="460" w:lineRule="exact"/>
        <w:ind w:firstLine="770" w:firstLineChars="200"/>
        <w:textAlignment w:val="auto"/>
        <w:rPr>
          <w:rFonts w:hint="eastAsia" w:ascii="宋体" w:hAnsi="宋体" w:eastAsia="宋体" w:cs="宋体"/>
          <w:b/>
          <w:sz w:val="32"/>
          <w:szCs w:val="32"/>
        </w:rPr>
      </w:pPr>
      <w:r>
        <w:rPr>
          <w:rFonts w:hint="eastAsia" w:ascii="宋体" w:hAnsi="宋体" w:eastAsia="宋体" w:cs="宋体"/>
          <w:b/>
          <w:sz w:val="32"/>
          <w:szCs w:val="32"/>
        </w:rPr>
        <w:t>一、</w:t>
      </w:r>
      <w:r>
        <w:rPr>
          <w:rFonts w:hint="eastAsia" w:ascii="宋体" w:hAnsi="宋体" w:eastAsia="宋体" w:cs="宋体"/>
          <w:b/>
          <w:sz w:val="32"/>
          <w:szCs w:val="32"/>
          <w:lang w:val="en-US" w:eastAsia="zh-CN"/>
        </w:rPr>
        <w:t>2019</w:t>
      </w:r>
      <w:r>
        <w:rPr>
          <w:rFonts w:hint="eastAsia" w:ascii="宋体" w:hAnsi="宋体" w:eastAsia="宋体" w:cs="宋体"/>
          <w:b/>
          <w:sz w:val="32"/>
          <w:szCs w:val="32"/>
        </w:rPr>
        <w:t>年部门预算收支情况说明</w:t>
      </w:r>
    </w:p>
    <w:p>
      <w:pPr>
        <w:widowControl/>
        <w:spacing w:line="580" w:lineRule="exact"/>
        <w:ind w:firstLine="640"/>
        <w:jc w:val="left"/>
        <w:rPr>
          <w:rFonts w:hint="eastAsia" w:ascii="宋体" w:hAnsi="宋体" w:eastAsia="宋体" w:cs="宋体"/>
          <w:b/>
          <w:sz w:val="32"/>
          <w:szCs w:val="32"/>
        </w:rPr>
      </w:pPr>
      <w:r>
        <w:rPr>
          <w:rFonts w:hint="eastAsia" w:ascii="宋体" w:hAnsi="宋体" w:eastAsia="宋体" w:cs="宋体"/>
          <w:b/>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2019年金融工作局收入预算总额为557.94元，较上年预算安排增加211.94万元，增幅61.25%。其中：财政拨款收入557.94万元，占收入预算总额的100%，包括财政拨款收入557.942万元，无事业收入、事业单位经营收入，上年结转（结余）23.013447万元，较上年增加了0.5%。</w:t>
      </w:r>
    </w:p>
    <w:p>
      <w:pPr>
        <w:widowControl/>
        <w:numPr>
          <w:ilvl w:val="0"/>
          <w:numId w:val="1"/>
        </w:numPr>
        <w:spacing w:line="580" w:lineRule="exact"/>
        <w:ind w:firstLine="640"/>
        <w:jc w:val="left"/>
        <w:rPr>
          <w:rFonts w:hint="eastAsia" w:ascii="宋体" w:hAnsi="宋体" w:eastAsia="宋体" w:cs="宋体"/>
          <w:b/>
          <w:sz w:val="32"/>
          <w:szCs w:val="32"/>
        </w:rPr>
      </w:pPr>
      <w:r>
        <w:rPr>
          <w:rFonts w:hint="eastAsia" w:ascii="宋体" w:hAnsi="宋体" w:eastAsia="宋体" w:cs="宋体"/>
          <w:b/>
          <w:sz w:val="32"/>
          <w:szCs w:val="32"/>
        </w:rPr>
        <w:t>支出预算情况</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2019年支出预算总额557.94万元，较上年预算安排增长61.23%万元。</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按支出项目类别划分：基本支出42.94万元，占支出预算总额7.7%，包括工资福利支出37.19万元、商品和服务支出2.75万元、办公设备购置支出3万元，项目支出515元，占支出预算总额92.30%。</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按支出功能科目划分：一般公共服务支出547.02万元，占支出预算总额98.04%；社会保障和就业支出5.26万元，占支出预算总额0.9%；医疗卫生和计划生育支出2.66万元，占支出预算总0.5%；住房保障支出3万元，占支出预算总0.56%。</w:t>
      </w:r>
    </w:p>
    <w:p>
      <w:pPr>
        <w:widowControl/>
        <w:spacing w:line="580" w:lineRule="exact"/>
        <w:ind w:firstLine="770" w:firstLineChars="200"/>
        <w:jc w:val="left"/>
        <w:rPr>
          <w:rFonts w:hint="eastAsia" w:ascii="宋体" w:hAnsi="宋体" w:eastAsia="宋体" w:cs="宋体"/>
          <w:b/>
          <w:sz w:val="32"/>
          <w:szCs w:val="32"/>
        </w:rPr>
      </w:pPr>
      <w:r>
        <w:rPr>
          <w:rFonts w:hint="eastAsia" w:ascii="宋体" w:hAnsi="宋体" w:eastAsia="宋体" w:cs="宋体"/>
          <w:b/>
          <w:sz w:val="32"/>
          <w:szCs w:val="32"/>
        </w:rPr>
        <w:t>（三）财政补助支出情况</w:t>
      </w:r>
    </w:p>
    <w:p>
      <w:pPr>
        <w:widowControl/>
        <w:spacing w:line="580" w:lineRule="exact"/>
        <w:ind w:firstLine="640"/>
        <w:jc w:val="left"/>
        <w:rPr>
          <w:rFonts w:hint="eastAsia" w:ascii="宋体" w:hAnsi="宋体" w:eastAsia="宋体" w:cs="宋体"/>
          <w:sz w:val="32"/>
          <w:szCs w:val="32"/>
        </w:rPr>
      </w:pPr>
      <w:r>
        <w:rPr>
          <w:rFonts w:hint="eastAsia" w:ascii="宋体" w:hAnsi="宋体" w:eastAsia="宋体" w:cs="宋体"/>
          <w:color w:val="000000"/>
          <w:kern w:val="0"/>
          <w:sz w:val="32"/>
          <w:szCs w:val="32"/>
          <w:lang w:val="en-US" w:eastAsia="zh-CN" w:bidi="ar-SA"/>
        </w:rPr>
        <w:t>2019年财政补助支出预算557.94万元，占支出预算总额100%。其中：（1）基本支出42.94万元。其中：工资福利支出37.19万元；部品和服务支出2.75万元；办公设备购置支出3万元。（2）项目支出515万元。</w:t>
      </w:r>
    </w:p>
    <w:p>
      <w:pPr>
        <w:widowControl/>
        <w:spacing w:line="580" w:lineRule="exact"/>
        <w:ind w:firstLine="640"/>
        <w:jc w:val="left"/>
        <w:rPr>
          <w:rFonts w:hint="eastAsia" w:ascii="宋体" w:hAnsi="宋体" w:eastAsia="宋体" w:cs="宋体"/>
          <w:b/>
          <w:sz w:val="32"/>
          <w:szCs w:val="32"/>
        </w:rPr>
      </w:pPr>
      <w:r>
        <w:rPr>
          <w:rFonts w:hint="eastAsia" w:ascii="宋体" w:hAnsi="宋体" w:eastAsia="宋体" w:cs="宋体"/>
          <w:b/>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无政府性基金</w:t>
      </w:r>
    </w:p>
    <w:p>
      <w:pPr>
        <w:widowControl/>
        <w:spacing w:line="580" w:lineRule="exact"/>
        <w:ind w:firstLine="640"/>
        <w:jc w:val="left"/>
        <w:rPr>
          <w:rFonts w:hint="eastAsia" w:ascii="宋体" w:hAnsi="宋体" w:eastAsia="宋体" w:cs="宋体"/>
          <w:b/>
          <w:sz w:val="32"/>
          <w:szCs w:val="32"/>
        </w:rPr>
      </w:pPr>
      <w:r>
        <w:rPr>
          <w:rFonts w:hint="eastAsia" w:ascii="宋体" w:hAnsi="宋体" w:eastAsia="宋体" w:cs="宋体"/>
          <w:b/>
          <w:sz w:val="32"/>
          <w:szCs w:val="32"/>
        </w:rPr>
        <w:t>（五）</w:t>
      </w:r>
      <w:r>
        <w:rPr>
          <w:rFonts w:hint="eastAsia" w:ascii="宋体" w:hAnsi="宋体" w:eastAsia="宋体" w:cs="宋体"/>
          <w:b/>
          <w:sz w:val="32"/>
          <w:szCs w:val="32"/>
          <w:lang w:eastAsia="zh-CN"/>
        </w:rPr>
        <w:t>单位</w:t>
      </w:r>
      <w:r>
        <w:rPr>
          <w:rFonts w:hint="eastAsia" w:ascii="宋体" w:hAnsi="宋体" w:eastAsia="宋体" w:cs="宋体"/>
          <w:b/>
          <w:sz w:val="32"/>
          <w:szCs w:val="32"/>
        </w:rPr>
        <w:t>运行经费等重要事项的说明</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2019年局本级无下属单位。</w:t>
      </w:r>
    </w:p>
    <w:p>
      <w:pPr>
        <w:widowControl/>
        <w:spacing w:line="580" w:lineRule="exact"/>
        <w:ind w:firstLine="640"/>
        <w:jc w:val="left"/>
        <w:rPr>
          <w:rFonts w:hint="eastAsia" w:ascii="宋体" w:hAnsi="宋体" w:eastAsia="宋体" w:cs="宋体"/>
          <w:b/>
          <w:sz w:val="32"/>
          <w:szCs w:val="32"/>
        </w:rPr>
      </w:pPr>
      <w:r>
        <w:rPr>
          <w:rFonts w:hint="eastAsia" w:ascii="宋体" w:hAnsi="宋体" w:eastAsia="宋体" w:cs="宋体"/>
          <w:b/>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2019年金融工作局需要采购一批办公设备，财政拨款支出预算3万元，占支出预算总额的0.56%。</w:t>
      </w:r>
    </w:p>
    <w:p>
      <w:pPr>
        <w:keepNext w:val="0"/>
        <w:keepLines w:val="0"/>
        <w:pageBreakBefore w:val="0"/>
        <w:widowControl w:val="0"/>
        <w:numPr>
          <w:ilvl w:val="0"/>
          <w:numId w:val="2"/>
        </w:numPr>
        <w:kinsoku/>
        <w:wordWrap/>
        <w:overflowPunct/>
        <w:topLinePunct w:val="0"/>
        <w:autoSpaceDN/>
        <w:bidi w:val="0"/>
        <w:adjustRightInd w:val="0"/>
        <w:snapToGrid w:val="0"/>
        <w:spacing w:line="600" w:lineRule="exact"/>
        <w:ind w:left="0" w:leftChars="0" w:right="0" w:rightChars="0" w:firstLine="770" w:firstLineChars="200"/>
        <w:textAlignment w:val="auto"/>
        <w:outlineLvl w:val="9"/>
        <w:rPr>
          <w:rFonts w:hint="eastAsia" w:ascii="宋体" w:hAnsi="宋体" w:eastAsia="宋体" w:cs="宋体"/>
          <w:b/>
          <w:sz w:val="32"/>
          <w:szCs w:val="32"/>
        </w:rPr>
      </w:pPr>
      <w:r>
        <w:rPr>
          <w:rFonts w:hint="eastAsia" w:ascii="宋体" w:hAnsi="宋体" w:eastAsia="宋体" w:cs="宋体"/>
          <w:b/>
          <w:sz w:val="32"/>
          <w:szCs w:val="32"/>
        </w:rPr>
        <w:t>国有资产占有使用情况</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2019年部门无公车，预算安排购置车辆  0   辆，无安排购置单位价值200万元以上大型设备。</w:t>
      </w:r>
    </w:p>
    <w:p>
      <w:pPr>
        <w:widowControl/>
        <w:spacing w:line="580" w:lineRule="exact"/>
        <w:ind w:firstLine="770" w:firstLineChars="200"/>
        <w:jc w:val="left"/>
        <w:rPr>
          <w:rFonts w:hint="eastAsia" w:ascii="宋体" w:hAnsi="宋体" w:eastAsia="宋体" w:cs="宋体"/>
          <w:b/>
          <w:sz w:val="32"/>
          <w:szCs w:val="32"/>
        </w:rPr>
      </w:pPr>
      <w:r>
        <w:rPr>
          <w:rFonts w:hint="eastAsia" w:ascii="宋体" w:hAnsi="宋体" w:eastAsia="宋体" w:cs="宋体"/>
          <w:b/>
          <w:sz w:val="32"/>
          <w:szCs w:val="32"/>
        </w:rPr>
        <w:t>（八）绩效目标设置情况、</w:t>
      </w:r>
    </w:p>
    <w:p>
      <w:pPr>
        <w:widowControl/>
        <w:spacing w:line="580" w:lineRule="exact"/>
        <w:ind w:firstLine="1347" w:firstLineChars="350"/>
        <w:jc w:val="left"/>
        <w:rPr>
          <w:rFonts w:hint="eastAsia" w:ascii="宋体" w:hAnsi="宋体" w:eastAsia="宋体" w:cs="宋体"/>
          <w:b/>
          <w:sz w:val="32"/>
          <w:szCs w:val="32"/>
        </w:rPr>
      </w:pPr>
      <w:r>
        <w:rPr>
          <w:rFonts w:hint="eastAsia" w:ascii="宋体" w:hAnsi="宋体" w:eastAsia="宋体" w:cs="宋体"/>
          <w:b/>
          <w:sz w:val="32"/>
          <w:szCs w:val="32"/>
        </w:rPr>
        <w:t>无</w:t>
      </w:r>
    </w:p>
    <w:p>
      <w:pPr>
        <w:widowControl/>
        <w:spacing w:line="580" w:lineRule="exact"/>
        <w:ind w:firstLine="640"/>
        <w:jc w:val="left"/>
        <w:rPr>
          <w:rFonts w:hint="eastAsia" w:ascii="宋体" w:hAnsi="宋体" w:eastAsia="宋体" w:cs="宋体"/>
          <w:sz w:val="32"/>
          <w:szCs w:val="32"/>
        </w:rPr>
      </w:pPr>
      <w:r>
        <w:rPr>
          <w:rFonts w:hint="eastAsia" w:ascii="宋体" w:hAnsi="宋体" w:eastAsia="宋体" w:cs="宋体"/>
          <w:b/>
          <w:kern w:val="0"/>
          <w:sz w:val="32"/>
          <w:szCs w:val="32"/>
        </w:rPr>
        <w:t>二、</w:t>
      </w:r>
      <w:r>
        <w:rPr>
          <w:rFonts w:hint="eastAsia" w:ascii="宋体" w:hAnsi="宋体" w:eastAsia="宋体" w:cs="宋体"/>
          <w:b/>
          <w:sz w:val="32"/>
          <w:szCs w:val="32"/>
        </w:rPr>
        <w:t>2019年“三公”经费预算情况说明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2019“三公”经费一般公共预算安2.8万元。</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1.因公出国（境）费0万元。</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2.公务接待费2.8万元。</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3.公务用车运行维护费</w:t>
      </w:r>
      <w:bookmarkStart w:id="0" w:name="_GoBack"/>
      <w:bookmarkEnd w:id="0"/>
      <w:r>
        <w:rPr>
          <w:rFonts w:hint="eastAsia" w:ascii="宋体" w:hAnsi="宋体" w:eastAsia="宋体" w:cs="宋体"/>
          <w:color w:val="000000"/>
          <w:kern w:val="0"/>
          <w:sz w:val="32"/>
          <w:szCs w:val="32"/>
          <w:lang w:val="en-US" w:eastAsia="zh-CN" w:bidi="ar-SA"/>
        </w:rPr>
        <w:t>0万元。</w:t>
      </w:r>
    </w:p>
    <w:p>
      <w:pPr>
        <w:widowControl/>
        <w:spacing w:line="580" w:lineRule="exact"/>
        <w:ind w:firstLine="640"/>
        <w:jc w:val="left"/>
        <w:rPr>
          <w:rFonts w:hint="eastAsia" w:ascii="宋体" w:hAnsi="宋体" w:eastAsia="宋体" w:cs="宋体"/>
          <w:b/>
          <w:sz w:val="32"/>
          <w:szCs w:val="32"/>
        </w:rPr>
      </w:pPr>
    </w:p>
    <w:p>
      <w:pPr>
        <w:widowControl/>
        <w:spacing w:line="580" w:lineRule="exact"/>
        <w:ind w:firstLine="640"/>
        <w:jc w:val="center"/>
        <w:rPr>
          <w:rFonts w:hint="eastAsia" w:ascii="宋体" w:hAnsi="宋体" w:eastAsia="宋体" w:cs="宋体"/>
          <w:b/>
          <w:sz w:val="32"/>
          <w:szCs w:val="32"/>
        </w:rPr>
      </w:pPr>
      <w:r>
        <w:rPr>
          <w:rFonts w:hint="eastAsia" w:ascii="宋体" w:hAnsi="宋体" w:eastAsia="宋体" w:cs="宋体"/>
          <w:b/>
          <w:sz w:val="32"/>
          <w:szCs w:val="32"/>
        </w:rPr>
        <w:t>第三部分  2019年部门预算表</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jc w:val="center"/>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八张表（详见附表）</w:t>
      </w:r>
    </w:p>
    <w:p>
      <w:pPr>
        <w:widowControl/>
        <w:spacing w:line="580" w:lineRule="exact"/>
        <w:ind w:firstLine="640"/>
        <w:jc w:val="center"/>
        <w:rPr>
          <w:rFonts w:hint="eastAsia" w:ascii="宋体" w:hAnsi="宋体" w:eastAsia="宋体" w:cs="宋体"/>
          <w:b/>
          <w:sz w:val="32"/>
          <w:szCs w:val="32"/>
        </w:rPr>
      </w:pPr>
    </w:p>
    <w:p>
      <w:pPr>
        <w:widowControl/>
        <w:spacing w:line="580" w:lineRule="exact"/>
        <w:ind w:firstLine="640"/>
        <w:jc w:val="center"/>
        <w:rPr>
          <w:rFonts w:hint="eastAsia" w:ascii="宋体" w:hAnsi="宋体" w:eastAsia="宋体" w:cs="宋体"/>
          <w:b/>
          <w:sz w:val="32"/>
          <w:szCs w:val="32"/>
        </w:rPr>
      </w:pPr>
      <w:r>
        <w:rPr>
          <w:rFonts w:hint="eastAsia" w:ascii="宋体" w:hAnsi="宋体" w:eastAsia="宋体" w:cs="宋体"/>
          <w:b/>
          <w:sz w:val="32"/>
          <w:szCs w:val="32"/>
        </w:rPr>
        <w:t>第四部分   名词解释</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一、收入科目</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（一）财政拨款：指省级财政当年拨付的资金。</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（四）上年结转和结余：填列2017年全部结转和结余的资金数，包括当年结转结余资金和历年滚存结转结余资金。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二、支出科目</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（一）行政运行：反映行政单位（包括参公单位）的基本支出。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（二）一般行政管理事务：反映行政单位（包括参公单位）未单独设置项级科目的其他项目支出。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（三）机关服务：反映为行政单位（包括参公单位）提供后勤服务的各类后勤服务中心的支出。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（四）预算改革业务：反映财政部门用于预算改革方面的支出。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（五）财政国库业务：反映财政部门用于财政国库集中支出收付业务方面的支出。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（六）财政监察：反映财政监察派出机构的专项业务支出。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（七）信息化建设：反映财政部门用于“金财工程”等信息化建设方面的支出。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（八）事业运行：反映事业单位的基本支出。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（九）其他财政事务支出：反映除上述项目以外的其他财政事务方面的支出。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（十）高等职业教育：反映经国家批准设立的高等职业大学、专科职业教育等方面的支出。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（十一）培训支出：反映各部门安排的用于培训的支出。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（十二）机关事业单位基本养老保险缴费支出：反映机关事业单位实施养老保险制度由单位缴纳的基本养老保险费的支出。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（十三）行政单位医疗：反映行政事业单位基本医疗保险缴费经费。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（十四）事业单位医疗：反映财政部门集中安排的事业单位基本医疗保险缴费经费。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（十五）农业综合开发机构运行：反映农业综合开发部门的基本支出。</w:t>
      </w:r>
    </w:p>
    <w:p>
      <w:pPr>
        <w:keepNext w:val="0"/>
        <w:keepLines w:val="0"/>
        <w:pageBreakBefore w:val="0"/>
        <w:widowControl w:val="0"/>
        <w:kinsoku/>
        <w:wordWrap/>
        <w:overflowPunct/>
        <w:topLinePunct w:val="0"/>
        <w:autoSpaceDE/>
        <w:autoSpaceDN/>
        <w:bidi w:val="0"/>
        <w:adjustRightInd/>
        <w:snapToGrid/>
        <w:spacing w:line="600" w:lineRule="exact"/>
        <w:ind w:left="819" w:leftChars="0" w:hanging="819" w:hangingChars="213"/>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（十六）购房补贴：反映按房改政策规定，行政事业单位向符合条件职工发放的用于购买住房的补贴。</w:t>
      </w:r>
    </w:p>
    <w:p>
      <w:pPr>
        <w:keepNext w:val="0"/>
        <w:keepLines w:val="0"/>
        <w:pageBreakBefore w:val="0"/>
        <w:widowControl w:val="0"/>
        <w:kinsoku/>
        <w:wordWrap/>
        <w:overflowPunct/>
        <w:topLinePunct w:val="0"/>
        <w:autoSpaceDE/>
        <w:autoSpaceDN/>
        <w:bidi w:val="0"/>
        <w:adjustRightInd/>
        <w:snapToGrid/>
        <w:spacing w:line="600" w:lineRule="exact"/>
        <w:ind w:firstLine="770" w:firstLineChars="200"/>
        <w:textAlignment w:val="auto"/>
        <w:rPr>
          <w:rFonts w:hint="eastAsia" w:ascii="宋体" w:hAnsi="宋体" w:eastAsia="宋体" w:cs="宋体"/>
          <w:color w:val="000000"/>
          <w:kern w:val="0"/>
          <w:sz w:val="32"/>
          <w:szCs w:val="32"/>
          <w:lang w:val="en-US" w:eastAsia="zh-CN" w:bidi="ar-SA"/>
        </w:rPr>
      </w:pPr>
      <w:r>
        <w:rPr>
          <w:rFonts w:hint="eastAsia" w:ascii="宋体" w:hAnsi="宋体" w:eastAsia="宋体" w:cs="宋体"/>
          <w:color w:val="000000"/>
          <w:kern w:val="0"/>
          <w:sz w:val="32"/>
          <w:szCs w:val="32"/>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left"/>
        <w:textAlignment w:val="bottom"/>
        <w:outlineLvl w:val="9"/>
        <w:rPr>
          <w:rFonts w:hint="eastAsia" w:ascii="宋体" w:hAnsi="宋体" w:eastAsia="宋体" w:cs="宋体"/>
          <w:sz w:val="30"/>
          <w:szCs w:val="30"/>
        </w:rPr>
      </w:pPr>
      <w:r>
        <w:rPr>
          <w:rFonts w:hint="eastAsia" w:ascii="宋体" w:hAnsi="宋体" w:eastAsia="宋体" w:cs="宋体"/>
          <w:sz w:val="30"/>
          <w:szCs w:val="30"/>
          <w:lang w:val="en-US" w:eastAsia="zh-CN"/>
        </w:rPr>
        <w:t xml:space="preserve">                         </w:t>
      </w:r>
    </w:p>
    <w:sectPr>
      <w:pgSz w:w="11849" w:h="16781"/>
      <w:pgMar w:top="1372" w:right="1514" w:bottom="1383" w:left="1508" w:header="851" w:footer="992" w:gutter="0"/>
      <w:cols w:space="720" w:num="1"/>
      <w:rtlGutter w:val="0"/>
      <w:docGrid w:type="linesAndChars" w:linePitch="425" w:charSpace="1348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2"/>
      <w:numFmt w:val="chineseCounting"/>
      <w:suff w:val="nothing"/>
      <w:lvlText w:val="（%1）"/>
      <w:lvlJc w:val="left"/>
    </w:lvl>
  </w:abstractNum>
  <w:abstractNum w:abstractNumId="1">
    <w:nsid w:val="6CD3C239"/>
    <w:multiLevelType w:val="singleLevel"/>
    <w:tmpl w:val="6CD3C239"/>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5732B"/>
    <w:rsid w:val="00A727C9"/>
    <w:rsid w:val="00BB6046"/>
    <w:rsid w:val="00DF7603"/>
    <w:rsid w:val="01033736"/>
    <w:rsid w:val="018C791A"/>
    <w:rsid w:val="01DD4D2E"/>
    <w:rsid w:val="01F96061"/>
    <w:rsid w:val="022566A6"/>
    <w:rsid w:val="02441A74"/>
    <w:rsid w:val="04E7364B"/>
    <w:rsid w:val="098C133D"/>
    <w:rsid w:val="0A212625"/>
    <w:rsid w:val="0A861550"/>
    <w:rsid w:val="0C3C3B67"/>
    <w:rsid w:val="0D0F05E8"/>
    <w:rsid w:val="0D5508A0"/>
    <w:rsid w:val="0DC601B0"/>
    <w:rsid w:val="0DE518CC"/>
    <w:rsid w:val="0DEC54D7"/>
    <w:rsid w:val="0E461870"/>
    <w:rsid w:val="0F022F29"/>
    <w:rsid w:val="1063440A"/>
    <w:rsid w:val="10A82843"/>
    <w:rsid w:val="11787E39"/>
    <w:rsid w:val="118632E7"/>
    <w:rsid w:val="129313A4"/>
    <w:rsid w:val="13BA2FCD"/>
    <w:rsid w:val="13E12CF5"/>
    <w:rsid w:val="13F343BA"/>
    <w:rsid w:val="15DE4B08"/>
    <w:rsid w:val="15EF1ED9"/>
    <w:rsid w:val="15F8009C"/>
    <w:rsid w:val="15F90BA2"/>
    <w:rsid w:val="16E3064B"/>
    <w:rsid w:val="1B7374F3"/>
    <w:rsid w:val="1BD53C4C"/>
    <w:rsid w:val="1D166B98"/>
    <w:rsid w:val="1F435B4A"/>
    <w:rsid w:val="20382403"/>
    <w:rsid w:val="232A0CA5"/>
    <w:rsid w:val="24156F14"/>
    <w:rsid w:val="25206D6F"/>
    <w:rsid w:val="25322B60"/>
    <w:rsid w:val="255818C9"/>
    <w:rsid w:val="255A4158"/>
    <w:rsid w:val="25C066FD"/>
    <w:rsid w:val="26437DF7"/>
    <w:rsid w:val="279878C8"/>
    <w:rsid w:val="2B3545C7"/>
    <w:rsid w:val="2C376B54"/>
    <w:rsid w:val="2D3338A3"/>
    <w:rsid w:val="30225017"/>
    <w:rsid w:val="33BE46F5"/>
    <w:rsid w:val="344F31BE"/>
    <w:rsid w:val="355D3AC3"/>
    <w:rsid w:val="356C7CA1"/>
    <w:rsid w:val="362F4566"/>
    <w:rsid w:val="36B6105D"/>
    <w:rsid w:val="37DA3ED6"/>
    <w:rsid w:val="39A13B8B"/>
    <w:rsid w:val="3A5A74E1"/>
    <w:rsid w:val="3B33040F"/>
    <w:rsid w:val="3B4C2EF8"/>
    <w:rsid w:val="3BC01FB6"/>
    <w:rsid w:val="3CEE2341"/>
    <w:rsid w:val="3DEA4221"/>
    <w:rsid w:val="3E091F3C"/>
    <w:rsid w:val="3E212723"/>
    <w:rsid w:val="3EE113BC"/>
    <w:rsid w:val="3FF32B3B"/>
    <w:rsid w:val="41D90643"/>
    <w:rsid w:val="42A51FA7"/>
    <w:rsid w:val="42AD4D4E"/>
    <w:rsid w:val="46BD4167"/>
    <w:rsid w:val="47653258"/>
    <w:rsid w:val="48555769"/>
    <w:rsid w:val="489A5FD4"/>
    <w:rsid w:val="49975860"/>
    <w:rsid w:val="4A5B39DA"/>
    <w:rsid w:val="4B917893"/>
    <w:rsid w:val="4C703039"/>
    <w:rsid w:val="4E1C0979"/>
    <w:rsid w:val="4F8A2D88"/>
    <w:rsid w:val="4FE57DA6"/>
    <w:rsid w:val="501D352C"/>
    <w:rsid w:val="50584474"/>
    <w:rsid w:val="50924F26"/>
    <w:rsid w:val="52DD31D3"/>
    <w:rsid w:val="53316277"/>
    <w:rsid w:val="533270A7"/>
    <w:rsid w:val="55503178"/>
    <w:rsid w:val="55DD18A9"/>
    <w:rsid w:val="57BC5BB3"/>
    <w:rsid w:val="57E34338"/>
    <w:rsid w:val="58F35165"/>
    <w:rsid w:val="59337D5F"/>
    <w:rsid w:val="5B2F1049"/>
    <w:rsid w:val="5B985652"/>
    <w:rsid w:val="5BF17522"/>
    <w:rsid w:val="5C4C7151"/>
    <w:rsid w:val="5C554975"/>
    <w:rsid w:val="5CE701EE"/>
    <w:rsid w:val="5D007174"/>
    <w:rsid w:val="5E1D2E67"/>
    <w:rsid w:val="5E717FE9"/>
    <w:rsid w:val="5E775EE4"/>
    <w:rsid w:val="5E905A29"/>
    <w:rsid w:val="5EDF6B78"/>
    <w:rsid w:val="5F941502"/>
    <w:rsid w:val="5FAB5887"/>
    <w:rsid w:val="604F766A"/>
    <w:rsid w:val="61970F4D"/>
    <w:rsid w:val="61CD125B"/>
    <w:rsid w:val="65E32A8E"/>
    <w:rsid w:val="66730DEC"/>
    <w:rsid w:val="668B79A8"/>
    <w:rsid w:val="670042B5"/>
    <w:rsid w:val="67870345"/>
    <w:rsid w:val="68005AF5"/>
    <w:rsid w:val="69A47A2D"/>
    <w:rsid w:val="69DA0608"/>
    <w:rsid w:val="6AAD6F50"/>
    <w:rsid w:val="6C520213"/>
    <w:rsid w:val="6F1D32C9"/>
    <w:rsid w:val="6FEA452E"/>
    <w:rsid w:val="709F1AB3"/>
    <w:rsid w:val="71504D1F"/>
    <w:rsid w:val="72456A1A"/>
    <w:rsid w:val="73D678AB"/>
    <w:rsid w:val="740629C5"/>
    <w:rsid w:val="743C570C"/>
    <w:rsid w:val="78285301"/>
    <w:rsid w:val="79BC5BB0"/>
    <w:rsid w:val="79D8376C"/>
    <w:rsid w:val="79FB484A"/>
    <w:rsid w:val="7A0E2D4A"/>
    <w:rsid w:val="7A1E7EBA"/>
    <w:rsid w:val="7A284229"/>
    <w:rsid w:val="7A547CA0"/>
    <w:rsid w:val="7A641712"/>
    <w:rsid w:val="7BAB76CC"/>
    <w:rsid w:val="7BE23D17"/>
    <w:rsid w:val="7C8772AE"/>
    <w:rsid w:val="7CFD54B8"/>
    <w:rsid w:val="7D28040F"/>
    <w:rsid w:val="7D7F6EBB"/>
    <w:rsid w:val="7D841026"/>
    <w:rsid w:val="7E3E1138"/>
    <w:rsid w:val="7E6E1B80"/>
    <w:rsid w:val="7EE60D82"/>
    <w:rsid w:val="7FFA6E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500" w:lineRule="exact"/>
      <w:ind w:firstLine="560" w:firstLineChars="200"/>
    </w:pPr>
    <w:rPr>
      <w:rFonts w:ascii="楷体_GB2312" w:eastAsia="楷体_GB2312"/>
      <w:sz w:val="28"/>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 w:type="character" w:styleId="7">
    <w:name w:val="Strong"/>
    <w:basedOn w:val="6"/>
    <w:qFormat/>
    <w:uiPriority w:val="0"/>
    <w:rPr>
      <w:b/>
      <w:bCs/>
    </w:rPr>
  </w:style>
  <w:style w:type="character" w:styleId="8">
    <w:name w:val="page number"/>
    <w:basedOn w:val="6"/>
    <w:qFormat/>
    <w:uiPriority w:val="0"/>
  </w:style>
  <w:style w:type="character" w:styleId="9">
    <w:name w:val="FollowedHyperlink"/>
    <w:basedOn w:val="6"/>
    <w:qFormat/>
    <w:uiPriority w:val="0"/>
    <w:rPr>
      <w:color w:val="333333"/>
      <w:u w:val="none"/>
    </w:rPr>
  </w:style>
  <w:style w:type="character" w:styleId="10">
    <w:name w:val="Hyperlink"/>
    <w:basedOn w:val="6"/>
    <w:qFormat/>
    <w:uiPriority w:val="0"/>
    <w:rPr>
      <w:color w:val="333333"/>
      <w:u w:val="none"/>
    </w:rPr>
  </w:style>
  <w:style w:type="paragraph" w:customStyle="1" w:styleId="11">
    <w:name w:val="p0"/>
    <w:basedOn w:val="1"/>
    <w:qFormat/>
    <w:uiPriority w:val="0"/>
    <w:pPr>
      <w:widowControl/>
    </w:pPr>
    <w:rPr>
      <w:rFonts w:ascii="Times New Roman" w:hAnsi="Times New Roman" w:eastAsia="宋体" w:cs="Times New Roman"/>
      <w:kern w:val="0"/>
      <w:szCs w:val="21"/>
    </w:rPr>
  </w:style>
  <w:style w:type="character" w:customStyle="1" w:styleId="12">
    <w:name w:val="bot"/>
    <w:basedOn w:val="6"/>
    <w:qFormat/>
    <w:uiPriority w:val="0"/>
    <w:rPr>
      <w:bdr w:val="dashed" w:color="auto" w:sz="48" w:space="0"/>
    </w:rPr>
  </w:style>
  <w:style w:type="character" w:customStyle="1" w:styleId="13">
    <w:name w:val="top"/>
    <w:basedOn w:val="6"/>
    <w:qFormat/>
    <w:uiPriority w:val="0"/>
    <w:rPr>
      <w:bdr w:val="dashed" w:color="auto" w:sz="48" w:space="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2018-11-13T04:25:00Z</cp:lastPrinted>
  <dcterms:modified xsi:type="dcterms:W3CDTF">2021-06-02T00:39:01Z</dcterms:modified>
  <dc:title>2018年兴国县金融工作局部门</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3160BF923ADA4EF5B12BB3C567C03121</vt:lpwstr>
  </property>
</Properties>
</file>