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20" w:lineRule="exact"/>
        <w:ind w:left="0" w:leftChars="0" w:right="0" w:rightChars="0"/>
        <w:jc w:val="center"/>
        <w:textAlignment w:val="auto"/>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lang w:eastAsia="zh-CN"/>
        </w:rPr>
        <w:t>兴国县侨联</w:t>
      </w:r>
      <w:r>
        <w:rPr>
          <w:rFonts w:hint="eastAsia" w:ascii="方正小标宋简体" w:hAnsi="方正小标宋简体" w:eastAsia="方正小标宋简体" w:cs="方正小标宋简体"/>
          <w:b w:val="0"/>
          <w:bCs/>
          <w:sz w:val="44"/>
          <w:szCs w:val="44"/>
        </w:rPr>
        <w:t>201</w:t>
      </w:r>
      <w:r>
        <w:rPr>
          <w:rFonts w:hint="eastAsia" w:ascii="方正小标宋简体" w:hAnsi="方正小标宋简体" w:eastAsia="方正小标宋简体" w:cs="方正小标宋简体"/>
          <w:b w:val="0"/>
          <w:bCs/>
          <w:sz w:val="44"/>
          <w:szCs w:val="44"/>
          <w:lang w:val="en-US" w:eastAsia="zh-CN"/>
        </w:rPr>
        <w:t>9</w:t>
      </w:r>
      <w:r>
        <w:rPr>
          <w:rFonts w:hint="eastAsia" w:ascii="方正小标宋简体" w:hAnsi="方正小标宋简体" w:eastAsia="方正小标宋简体" w:cs="方正小标宋简体"/>
          <w:b w:val="0"/>
          <w:bCs/>
          <w:sz w:val="44"/>
          <w:szCs w:val="44"/>
        </w:rPr>
        <w:t>年部门预算</w:t>
      </w:r>
    </w:p>
    <w:p>
      <w:pPr>
        <w:keepNext w:val="0"/>
        <w:keepLines w:val="0"/>
        <w:pageBreakBefore w:val="0"/>
        <w:kinsoku/>
        <w:wordWrap/>
        <w:overflowPunct/>
        <w:topLinePunct w:val="0"/>
        <w:autoSpaceDE/>
        <w:autoSpaceDN/>
        <w:bidi w:val="0"/>
        <w:adjustRightInd/>
        <w:snapToGrid/>
        <w:spacing w:line="520" w:lineRule="exact"/>
        <w:ind w:left="0" w:leftChars="0" w:right="0" w:rightChars="0" w:firstLine="643" w:firstLineChars="200"/>
        <w:textAlignment w:val="auto"/>
        <w:outlineLvl w:val="9"/>
        <w:rPr>
          <w:rFonts w:hint="eastAsia" w:ascii="仿宋_GB2312" w:hAnsi="仿宋_GB2312" w:eastAsia="仿宋_GB2312" w:cs="仿宋_GB2312"/>
          <w:b/>
          <w:sz w:val="32"/>
          <w:szCs w:val="32"/>
        </w:rPr>
      </w:pPr>
    </w:p>
    <w:p>
      <w:pPr>
        <w:keepNext w:val="0"/>
        <w:keepLines w:val="0"/>
        <w:pageBreakBefore w:val="0"/>
        <w:kinsoku/>
        <w:wordWrap/>
        <w:overflowPunct/>
        <w:topLinePunct w:val="0"/>
        <w:autoSpaceDE/>
        <w:autoSpaceDN/>
        <w:bidi w:val="0"/>
        <w:adjustRightInd/>
        <w:snapToGrid/>
        <w:spacing w:line="520" w:lineRule="exact"/>
        <w:jc w:val="center"/>
        <w:textAlignment w:val="auto"/>
        <w:rPr>
          <w:rFonts w:hint="eastAsia"/>
        </w:rPr>
      </w:pPr>
      <w:r>
        <w:rPr>
          <w:rFonts w:hint="eastAsia" w:ascii="黑体" w:hAnsi="黑体" w:eastAsia="黑体"/>
          <w:sz w:val="32"/>
          <w:szCs w:val="32"/>
        </w:rPr>
        <w:t>目     录</w:t>
      </w:r>
    </w:p>
    <w:p>
      <w:pPr>
        <w:pStyle w:val="3"/>
        <w:keepNext w:val="0"/>
        <w:keepLines w:val="0"/>
        <w:pageBreakBefore w:val="0"/>
        <w:kinsoku/>
        <w:wordWrap/>
        <w:overflowPunct/>
        <w:topLinePunct w:val="0"/>
        <w:autoSpaceDE/>
        <w:autoSpaceDN/>
        <w:bidi w:val="0"/>
        <w:adjustRightInd/>
        <w:snapToGrid/>
        <w:spacing w:line="420" w:lineRule="exact"/>
        <w:textAlignment w:val="auto"/>
        <w:rPr>
          <w:rFonts w:hint="eastAsia" w:ascii="宋体" w:hAnsi="宋体" w:eastAsia="宋体" w:cs="宋体"/>
          <w:b/>
          <w:bCs/>
          <w:sz w:val="32"/>
          <w:szCs w:val="32"/>
        </w:rPr>
      </w:pPr>
      <w:bookmarkStart w:id="0" w:name="_GoBack"/>
      <w:r>
        <w:rPr>
          <w:rFonts w:hint="eastAsia" w:ascii="宋体" w:hAnsi="宋体" w:eastAsia="宋体" w:cs="宋体"/>
          <w:b/>
          <w:bCs/>
          <w:sz w:val="32"/>
          <w:szCs w:val="32"/>
        </w:rPr>
        <w:t>　　第一部分  </w:t>
      </w:r>
      <w:r>
        <w:rPr>
          <w:rFonts w:hint="eastAsia" w:ascii="宋体" w:hAnsi="宋体" w:eastAsia="宋体" w:cs="宋体"/>
          <w:b/>
          <w:bCs/>
          <w:sz w:val="32"/>
          <w:szCs w:val="32"/>
          <w:lang w:eastAsia="zh-CN"/>
        </w:rPr>
        <w:t>兴国县侨联</w:t>
      </w:r>
      <w:r>
        <w:rPr>
          <w:rFonts w:hint="eastAsia" w:ascii="宋体" w:hAnsi="宋体" w:eastAsia="宋体" w:cs="宋体"/>
          <w:b/>
          <w:bCs/>
          <w:sz w:val="32"/>
          <w:szCs w:val="32"/>
        </w:rPr>
        <w:t>概况</w:t>
      </w:r>
    </w:p>
    <w:p>
      <w:pPr>
        <w:pStyle w:val="3"/>
        <w:keepNext w:val="0"/>
        <w:keepLines w:val="0"/>
        <w:pageBreakBefore w:val="0"/>
        <w:kinsoku/>
        <w:wordWrap/>
        <w:overflowPunct/>
        <w:topLinePunct w:val="0"/>
        <w:autoSpaceDE/>
        <w:autoSpaceDN/>
        <w:bidi w:val="0"/>
        <w:adjustRightInd/>
        <w:snapToGrid/>
        <w:spacing w:line="420" w:lineRule="exact"/>
        <w:textAlignment w:val="auto"/>
        <w:rPr>
          <w:rFonts w:hint="eastAsia" w:ascii="宋体" w:hAnsi="宋体" w:eastAsia="宋体" w:cs="宋体"/>
          <w:sz w:val="32"/>
          <w:szCs w:val="32"/>
        </w:rPr>
      </w:pPr>
      <w:r>
        <w:rPr>
          <w:rFonts w:hint="eastAsia" w:ascii="宋体" w:hAnsi="宋体" w:eastAsia="宋体" w:cs="宋体"/>
          <w:sz w:val="32"/>
          <w:szCs w:val="32"/>
        </w:rPr>
        <w:t>　　一、部门主要职责</w:t>
      </w:r>
    </w:p>
    <w:p>
      <w:pPr>
        <w:pStyle w:val="3"/>
        <w:keepNext w:val="0"/>
        <w:keepLines w:val="0"/>
        <w:pageBreakBefore w:val="0"/>
        <w:kinsoku/>
        <w:wordWrap/>
        <w:overflowPunct/>
        <w:topLinePunct w:val="0"/>
        <w:autoSpaceDE/>
        <w:autoSpaceDN/>
        <w:bidi w:val="0"/>
        <w:adjustRightInd/>
        <w:snapToGrid/>
        <w:spacing w:line="420" w:lineRule="exact"/>
        <w:textAlignment w:val="auto"/>
        <w:rPr>
          <w:rFonts w:hint="eastAsia" w:ascii="宋体" w:hAnsi="宋体" w:eastAsia="宋体" w:cs="宋体"/>
          <w:sz w:val="32"/>
          <w:szCs w:val="32"/>
        </w:rPr>
      </w:pPr>
      <w:r>
        <w:rPr>
          <w:rFonts w:hint="eastAsia" w:ascii="宋体" w:hAnsi="宋体" w:eastAsia="宋体" w:cs="宋体"/>
          <w:sz w:val="32"/>
          <w:szCs w:val="32"/>
        </w:rPr>
        <w:t>　　二、部门基本情况</w:t>
      </w:r>
    </w:p>
    <w:p>
      <w:pPr>
        <w:pStyle w:val="3"/>
        <w:keepNext w:val="0"/>
        <w:keepLines w:val="0"/>
        <w:pageBreakBefore w:val="0"/>
        <w:kinsoku/>
        <w:wordWrap/>
        <w:overflowPunct/>
        <w:topLinePunct w:val="0"/>
        <w:autoSpaceDE/>
        <w:autoSpaceDN/>
        <w:bidi w:val="0"/>
        <w:adjustRightInd/>
        <w:snapToGrid/>
        <w:spacing w:line="420" w:lineRule="exact"/>
        <w:textAlignment w:val="auto"/>
        <w:rPr>
          <w:rFonts w:hint="eastAsia" w:ascii="宋体" w:hAnsi="宋体" w:eastAsia="宋体" w:cs="宋体"/>
          <w:b/>
          <w:bCs/>
          <w:sz w:val="32"/>
          <w:szCs w:val="32"/>
        </w:rPr>
      </w:pPr>
      <w:r>
        <w:rPr>
          <w:rFonts w:hint="eastAsia" w:ascii="宋体" w:hAnsi="宋体" w:eastAsia="宋体" w:cs="宋体"/>
          <w:b/>
          <w:bCs/>
          <w:sz w:val="32"/>
          <w:szCs w:val="32"/>
        </w:rPr>
        <w:t xml:space="preserve">　　第二部分  </w:t>
      </w:r>
      <w:r>
        <w:rPr>
          <w:rFonts w:hint="eastAsia" w:ascii="宋体" w:hAnsi="宋体" w:eastAsia="宋体" w:cs="宋体"/>
          <w:b/>
          <w:bCs/>
          <w:sz w:val="32"/>
          <w:szCs w:val="32"/>
          <w:lang w:eastAsia="zh-CN"/>
        </w:rPr>
        <w:t>兴国县侨联</w:t>
      </w:r>
      <w:r>
        <w:rPr>
          <w:rFonts w:hint="eastAsia" w:ascii="宋体" w:hAnsi="宋体" w:eastAsia="宋体" w:cs="宋体"/>
          <w:b/>
          <w:bCs/>
          <w:sz w:val="32"/>
          <w:szCs w:val="32"/>
        </w:rPr>
        <w:t>2019年部门预算情况说明</w:t>
      </w:r>
    </w:p>
    <w:p>
      <w:pPr>
        <w:pStyle w:val="3"/>
        <w:keepNext w:val="0"/>
        <w:keepLines w:val="0"/>
        <w:pageBreakBefore w:val="0"/>
        <w:kinsoku/>
        <w:wordWrap/>
        <w:overflowPunct/>
        <w:topLinePunct w:val="0"/>
        <w:autoSpaceDE/>
        <w:autoSpaceDN/>
        <w:bidi w:val="0"/>
        <w:adjustRightInd/>
        <w:snapToGrid/>
        <w:spacing w:line="420" w:lineRule="exact"/>
        <w:textAlignment w:val="auto"/>
        <w:rPr>
          <w:rFonts w:hint="eastAsia" w:ascii="宋体" w:hAnsi="宋体" w:eastAsia="宋体" w:cs="宋体"/>
          <w:sz w:val="32"/>
          <w:szCs w:val="32"/>
        </w:rPr>
      </w:pPr>
      <w:r>
        <w:rPr>
          <w:rFonts w:hint="eastAsia" w:ascii="宋体" w:hAnsi="宋体" w:eastAsia="宋体" w:cs="宋体"/>
          <w:sz w:val="32"/>
          <w:szCs w:val="32"/>
        </w:rPr>
        <w:t>　　一、2019年部门预算收支情况说明</w:t>
      </w:r>
    </w:p>
    <w:p>
      <w:pPr>
        <w:pStyle w:val="3"/>
        <w:keepNext w:val="0"/>
        <w:keepLines w:val="0"/>
        <w:pageBreakBefore w:val="0"/>
        <w:kinsoku/>
        <w:wordWrap/>
        <w:overflowPunct/>
        <w:topLinePunct w:val="0"/>
        <w:autoSpaceDE/>
        <w:autoSpaceDN/>
        <w:bidi w:val="0"/>
        <w:adjustRightInd/>
        <w:snapToGrid/>
        <w:spacing w:line="420" w:lineRule="exact"/>
        <w:textAlignment w:val="auto"/>
        <w:rPr>
          <w:rFonts w:hint="eastAsia" w:ascii="宋体" w:hAnsi="宋体" w:eastAsia="宋体" w:cs="宋体"/>
          <w:sz w:val="32"/>
          <w:szCs w:val="32"/>
        </w:rPr>
      </w:pPr>
      <w:r>
        <w:rPr>
          <w:rFonts w:hint="eastAsia" w:ascii="宋体" w:hAnsi="宋体" w:eastAsia="宋体" w:cs="宋体"/>
          <w:sz w:val="32"/>
          <w:szCs w:val="32"/>
        </w:rPr>
        <w:t>　　二、2019年“三公”经费预算情况说明</w:t>
      </w:r>
    </w:p>
    <w:p>
      <w:pPr>
        <w:pStyle w:val="3"/>
        <w:keepNext w:val="0"/>
        <w:keepLines w:val="0"/>
        <w:pageBreakBefore w:val="0"/>
        <w:kinsoku/>
        <w:wordWrap/>
        <w:overflowPunct/>
        <w:topLinePunct w:val="0"/>
        <w:autoSpaceDE/>
        <w:autoSpaceDN/>
        <w:bidi w:val="0"/>
        <w:adjustRightInd/>
        <w:snapToGrid/>
        <w:spacing w:line="420" w:lineRule="exact"/>
        <w:textAlignment w:val="auto"/>
        <w:rPr>
          <w:rFonts w:hint="eastAsia" w:ascii="宋体" w:hAnsi="宋体" w:eastAsia="宋体" w:cs="宋体"/>
          <w:sz w:val="32"/>
          <w:szCs w:val="32"/>
        </w:rPr>
      </w:pPr>
      <w:r>
        <w:rPr>
          <w:rFonts w:hint="eastAsia" w:ascii="宋体" w:hAnsi="宋体" w:eastAsia="宋体" w:cs="宋体"/>
          <w:sz w:val="32"/>
          <w:szCs w:val="32"/>
        </w:rPr>
        <w:t>　　</w:t>
      </w:r>
      <w:r>
        <w:rPr>
          <w:rFonts w:hint="eastAsia" w:ascii="宋体" w:hAnsi="宋体" w:eastAsia="宋体" w:cs="宋体"/>
          <w:b/>
          <w:bCs/>
          <w:sz w:val="32"/>
          <w:szCs w:val="32"/>
        </w:rPr>
        <w:t>第三部分  </w:t>
      </w:r>
      <w:r>
        <w:rPr>
          <w:rFonts w:hint="eastAsia" w:ascii="宋体" w:hAnsi="宋体" w:eastAsia="宋体" w:cs="宋体"/>
          <w:b/>
          <w:bCs/>
          <w:sz w:val="32"/>
          <w:szCs w:val="32"/>
          <w:lang w:eastAsia="zh-CN"/>
        </w:rPr>
        <w:t>兴国县侨联</w:t>
      </w:r>
      <w:r>
        <w:rPr>
          <w:rFonts w:hint="eastAsia" w:ascii="宋体" w:hAnsi="宋体" w:eastAsia="宋体" w:cs="宋体"/>
          <w:b/>
          <w:bCs/>
          <w:sz w:val="32"/>
          <w:szCs w:val="32"/>
        </w:rPr>
        <w:t>201</w:t>
      </w:r>
      <w:r>
        <w:rPr>
          <w:rFonts w:hint="eastAsia" w:ascii="宋体" w:hAnsi="宋体" w:eastAsia="宋体" w:cs="宋体"/>
          <w:b/>
          <w:bCs/>
          <w:sz w:val="32"/>
          <w:szCs w:val="32"/>
          <w:lang w:val="en-US" w:eastAsia="zh-CN"/>
        </w:rPr>
        <w:t>9</w:t>
      </w:r>
      <w:r>
        <w:rPr>
          <w:rFonts w:hint="eastAsia" w:ascii="宋体" w:hAnsi="宋体" w:eastAsia="宋体" w:cs="宋体"/>
          <w:b/>
          <w:bCs/>
          <w:sz w:val="32"/>
          <w:szCs w:val="32"/>
        </w:rPr>
        <w:t>年部门预算表</w:t>
      </w:r>
    </w:p>
    <w:p>
      <w:pPr>
        <w:pStyle w:val="3"/>
        <w:keepNext w:val="0"/>
        <w:keepLines w:val="0"/>
        <w:pageBreakBefore w:val="0"/>
        <w:kinsoku/>
        <w:wordWrap/>
        <w:overflowPunct/>
        <w:topLinePunct w:val="0"/>
        <w:autoSpaceDE/>
        <w:autoSpaceDN/>
        <w:bidi w:val="0"/>
        <w:adjustRightInd/>
        <w:snapToGrid/>
        <w:spacing w:line="420" w:lineRule="exact"/>
        <w:textAlignment w:val="auto"/>
        <w:rPr>
          <w:rFonts w:hint="eastAsia" w:ascii="宋体" w:hAnsi="宋体" w:eastAsia="宋体" w:cs="宋体"/>
          <w:sz w:val="32"/>
          <w:szCs w:val="32"/>
        </w:rPr>
      </w:pPr>
      <w:r>
        <w:rPr>
          <w:rFonts w:hint="eastAsia" w:ascii="宋体" w:hAnsi="宋体" w:eastAsia="宋体" w:cs="宋体"/>
          <w:sz w:val="32"/>
          <w:szCs w:val="32"/>
        </w:rPr>
        <w:t>　　一、《收支预算总表》</w:t>
      </w:r>
    </w:p>
    <w:p>
      <w:pPr>
        <w:pStyle w:val="3"/>
        <w:keepNext w:val="0"/>
        <w:keepLines w:val="0"/>
        <w:pageBreakBefore w:val="0"/>
        <w:kinsoku/>
        <w:wordWrap/>
        <w:overflowPunct/>
        <w:topLinePunct w:val="0"/>
        <w:autoSpaceDE/>
        <w:autoSpaceDN/>
        <w:bidi w:val="0"/>
        <w:adjustRightInd/>
        <w:snapToGrid/>
        <w:spacing w:line="420" w:lineRule="exact"/>
        <w:textAlignment w:val="auto"/>
        <w:rPr>
          <w:rFonts w:hint="eastAsia" w:ascii="宋体" w:hAnsi="宋体" w:eastAsia="宋体" w:cs="宋体"/>
          <w:sz w:val="32"/>
          <w:szCs w:val="32"/>
        </w:rPr>
      </w:pPr>
      <w:r>
        <w:rPr>
          <w:rFonts w:hint="eastAsia" w:ascii="宋体" w:hAnsi="宋体" w:eastAsia="宋体" w:cs="宋体"/>
          <w:sz w:val="32"/>
          <w:szCs w:val="32"/>
        </w:rPr>
        <w:t>　　二、《部门收入总表》</w:t>
      </w:r>
    </w:p>
    <w:p>
      <w:pPr>
        <w:pStyle w:val="3"/>
        <w:keepNext w:val="0"/>
        <w:keepLines w:val="0"/>
        <w:pageBreakBefore w:val="0"/>
        <w:kinsoku/>
        <w:wordWrap/>
        <w:overflowPunct/>
        <w:topLinePunct w:val="0"/>
        <w:autoSpaceDE/>
        <w:autoSpaceDN/>
        <w:bidi w:val="0"/>
        <w:adjustRightInd/>
        <w:snapToGrid/>
        <w:spacing w:line="420" w:lineRule="exact"/>
        <w:textAlignment w:val="auto"/>
        <w:rPr>
          <w:rFonts w:hint="eastAsia" w:ascii="宋体" w:hAnsi="宋体" w:eastAsia="宋体" w:cs="宋体"/>
          <w:sz w:val="32"/>
          <w:szCs w:val="32"/>
        </w:rPr>
      </w:pPr>
      <w:r>
        <w:rPr>
          <w:rFonts w:hint="eastAsia" w:ascii="宋体" w:hAnsi="宋体" w:eastAsia="宋体" w:cs="宋体"/>
          <w:sz w:val="32"/>
          <w:szCs w:val="32"/>
        </w:rPr>
        <w:t>　　三、《部门支出总表》</w:t>
      </w:r>
    </w:p>
    <w:p>
      <w:pPr>
        <w:pStyle w:val="3"/>
        <w:keepNext w:val="0"/>
        <w:keepLines w:val="0"/>
        <w:pageBreakBefore w:val="0"/>
        <w:kinsoku/>
        <w:wordWrap/>
        <w:overflowPunct/>
        <w:topLinePunct w:val="0"/>
        <w:autoSpaceDE/>
        <w:autoSpaceDN/>
        <w:bidi w:val="0"/>
        <w:adjustRightInd/>
        <w:snapToGrid/>
        <w:spacing w:line="420" w:lineRule="exact"/>
        <w:textAlignment w:val="auto"/>
        <w:rPr>
          <w:rFonts w:hint="eastAsia" w:ascii="宋体" w:hAnsi="宋体" w:eastAsia="宋体" w:cs="宋体"/>
          <w:sz w:val="32"/>
          <w:szCs w:val="32"/>
        </w:rPr>
      </w:pPr>
      <w:r>
        <w:rPr>
          <w:rFonts w:hint="eastAsia" w:ascii="宋体" w:hAnsi="宋体" w:eastAsia="宋体" w:cs="宋体"/>
          <w:sz w:val="32"/>
          <w:szCs w:val="32"/>
        </w:rPr>
        <w:t>　　四、《财政拨款收支总表》</w:t>
      </w:r>
    </w:p>
    <w:p>
      <w:pPr>
        <w:pStyle w:val="3"/>
        <w:keepNext w:val="0"/>
        <w:keepLines w:val="0"/>
        <w:pageBreakBefore w:val="0"/>
        <w:kinsoku/>
        <w:wordWrap/>
        <w:overflowPunct/>
        <w:topLinePunct w:val="0"/>
        <w:autoSpaceDE/>
        <w:autoSpaceDN/>
        <w:bidi w:val="0"/>
        <w:adjustRightInd/>
        <w:snapToGrid/>
        <w:spacing w:line="420" w:lineRule="exact"/>
        <w:textAlignment w:val="auto"/>
        <w:rPr>
          <w:rFonts w:hint="eastAsia" w:ascii="宋体" w:hAnsi="宋体" w:eastAsia="宋体" w:cs="宋体"/>
          <w:sz w:val="32"/>
          <w:szCs w:val="32"/>
        </w:rPr>
      </w:pPr>
      <w:r>
        <w:rPr>
          <w:rFonts w:hint="eastAsia" w:ascii="宋体" w:hAnsi="宋体" w:eastAsia="宋体" w:cs="宋体"/>
          <w:sz w:val="32"/>
          <w:szCs w:val="32"/>
        </w:rPr>
        <w:t>　　五、《一般公共预算支出表》</w:t>
      </w:r>
    </w:p>
    <w:p>
      <w:pPr>
        <w:pStyle w:val="3"/>
        <w:keepNext w:val="0"/>
        <w:keepLines w:val="0"/>
        <w:pageBreakBefore w:val="0"/>
        <w:kinsoku/>
        <w:wordWrap/>
        <w:overflowPunct/>
        <w:topLinePunct w:val="0"/>
        <w:autoSpaceDE/>
        <w:autoSpaceDN/>
        <w:bidi w:val="0"/>
        <w:adjustRightInd/>
        <w:snapToGrid/>
        <w:spacing w:line="420" w:lineRule="exact"/>
        <w:textAlignment w:val="auto"/>
        <w:rPr>
          <w:rFonts w:hint="eastAsia" w:ascii="宋体" w:hAnsi="宋体" w:eastAsia="宋体" w:cs="宋体"/>
          <w:sz w:val="32"/>
          <w:szCs w:val="32"/>
        </w:rPr>
      </w:pPr>
      <w:r>
        <w:rPr>
          <w:rFonts w:hint="eastAsia" w:ascii="宋体" w:hAnsi="宋体" w:eastAsia="宋体" w:cs="宋体"/>
          <w:sz w:val="32"/>
          <w:szCs w:val="32"/>
        </w:rPr>
        <w:t>　　六、《一般公共预算基本支出表》</w:t>
      </w:r>
    </w:p>
    <w:p>
      <w:pPr>
        <w:pStyle w:val="3"/>
        <w:keepNext w:val="0"/>
        <w:keepLines w:val="0"/>
        <w:pageBreakBefore w:val="0"/>
        <w:kinsoku/>
        <w:wordWrap/>
        <w:overflowPunct/>
        <w:topLinePunct w:val="0"/>
        <w:autoSpaceDE/>
        <w:autoSpaceDN/>
        <w:bidi w:val="0"/>
        <w:adjustRightInd/>
        <w:snapToGrid/>
        <w:spacing w:line="420" w:lineRule="exact"/>
        <w:textAlignment w:val="auto"/>
        <w:rPr>
          <w:rFonts w:hint="eastAsia" w:ascii="宋体" w:hAnsi="宋体" w:eastAsia="宋体" w:cs="宋体"/>
          <w:sz w:val="32"/>
          <w:szCs w:val="32"/>
        </w:rPr>
      </w:pPr>
      <w:r>
        <w:rPr>
          <w:rFonts w:hint="eastAsia" w:ascii="宋体" w:hAnsi="宋体" w:eastAsia="宋体" w:cs="宋体"/>
          <w:sz w:val="32"/>
          <w:szCs w:val="32"/>
        </w:rPr>
        <w:t>　　七、《一般公共预算“三公”经费支出表》</w:t>
      </w:r>
    </w:p>
    <w:p>
      <w:pPr>
        <w:pStyle w:val="3"/>
        <w:keepNext w:val="0"/>
        <w:keepLines w:val="0"/>
        <w:pageBreakBefore w:val="0"/>
        <w:kinsoku/>
        <w:wordWrap/>
        <w:overflowPunct/>
        <w:topLinePunct w:val="0"/>
        <w:autoSpaceDE/>
        <w:autoSpaceDN/>
        <w:bidi w:val="0"/>
        <w:adjustRightInd/>
        <w:snapToGrid/>
        <w:spacing w:line="420" w:lineRule="exact"/>
        <w:ind w:firstLine="640"/>
        <w:textAlignment w:val="auto"/>
        <w:rPr>
          <w:rFonts w:hint="eastAsia" w:ascii="宋体" w:hAnsi="宋体" w:eastAsia="宋体" w:cs="宋体"/>
          <w:sz w:val="32"/>
          <w:szCs w:val="32"/>
        </w:rPr>
      </w:pPr>
      <w:r>
        <w:rPr>
          <w:rFonts w:hint="eastAsia" w:ascii="宋体" w:hAnsi="宋体" w:eastAsia="宋体" w:cs="宋体"/>
          <w:sz w:val="32"/>
          <w:szCs w:val="32"/>
        </w:rPr>
        <w:t>八、《政府性基金预算支出表》</w:t>
      </w:r>
    </w:p>
    <w:p>
      <w:pPr>
        <w:keepNext w:val="0"/>
        <w:keepLines w:val="0"/>
        <w:pageBreakBefore w:val="0"/>
        <w:kinsoku/>
        <w:wordWrap/>
        <w:overflowPunct/>
        <w:topLinePunct w:val="0"/>
        <w:autoSpaceDE/>
        <w:autoSpaceDN/>
        <w:bidi w:val="0"/>
        <w:adjustRightInd/>
        <w:snapToGrid/>
        <w:spacing w:line="420" w:lineRule="exact"/>
        <w:ind w:firstLine="643" w:firstLineChars="200"/>
        <w:jc w:val="left"/>
        <w:textAlignment w:val="auto"/>
        <w:rPr>
          <w:rFonts w:hint="eastAsia" w:ascii="宋体" w:hAnsi="宋体" w:eastAsia="宋体" w:cs="宋体"/>
          <w:b/>
          <w:bCs/>
          <w:sz w:val="32"/>
          <w:szCs w:val="32"/>
        </w:rPr>
      </w:pPr>
      <w:r>
        <w:rPr>
          <w:rFonts w:hint="eastAsia" w:ascii="宋体" w:hAnsi="宋体" w:eastAsia="宋体" w:cs="宋体"/>
          <w:b/>
          <w:bCs/>
          <w:sz w:val="32"/>
          <w:szCs w:val="32"/>
        </w:rPr>
        <w:t>第</w:t>
      </w:r>
      <w:r>
        <w:rPr>
          <w:rFonts w:hint="eastAsia" w:ascii="宋体" w:hAnsi="宋体" w:eastAsia="宋体" w:cs="宋体"/>
          <w:b/>
          <w:bCs/>
          <w:sz w:val="32"/>
          <w:szCs w:val="32"/>
          <w:lang w:eastAsia="zh-CN"/>
        </w:rPr>
        <w:t>四</w:t>
      </w:r>
      <w:r>
        <w:rPr>
          <w:rFonts w:hint="eastAsia" w:ascii="宋体" w:hAnsi="宋体" w:eastAsia="宋体" w:cs="宋体"/>
          <w:b/>
          <w:bCs/>
          <w:sz w:val="32"/>
          <w:szCs w:val="32"/>
        </w:rPr>
        <w:t>部分  名词解释</w:t>
      </w:r>
    </w:p>
    <w:p>
      <w:pPr>
        <w:keepNext w:val="0"/>
        <w:keepLines w:val="0"/>
        <w:pageBreakBefore w:val="0"/>
        <w:kinsoku/>
        <w:wordWrap/>
        <w:overflowPunct/>
        <w:topLinePunct w:val="0"/>
        <w:autoSpaceDE/>
        <w:autoSpaceDN/>
        <w:bidi w:val="0"/>
        <w:adjustRightInd/>
        <w:snapToGrid/>
        <w:spacing w:line="420" w:lineRule="exact"/>
        <w:ind w:firstLine="643" w:firstLineChars="200"/>
        <w:jc w:val="left"/>
        <w:textAlignment w:val="auto"/>
        <w:rPr>
          <w:rFonts w:hint="eastAsia" w:ascii="宋体" w:hAnsi="宋体" w:eastAsia="宋体" w:cs="宋体"/>
          <w:b/>
          <w:bCs/>
          <w:sz w:val="32"/>
          <w:szCs w:val="32"/>
        </w:rPr>
      </w:pPr>
    </w:p>
    <w:p>
      <w:pPr>
        <w:keepNext w:val="0"/>
        <w:keepLines w:val="0"/>
        <w:pageBreakBefore w:val="0"/>
        <w:kinsoku/>
        <w:wordWrap/>
        <w:overflowPunct/>
        <w:topLinePunct w:val="0"/>
        <w:autoSpaceDE/>
        <w:autoSpaceDN/>
        <w:bidi w:val="0"/>
        <w:adjustRightInd/>
        <w:snapToGrid/>
        <w:spacing w:line="420" w:lineRule="exact"/>
        <w:ind w:firstLine="643" w:firstLineChars="200"/>
        <w:jc w:val="left"/>
        <w:textAlignment w:val="auto"/>
        <w:rPr>
          <w:rFonts w:hint="eastAsia" w:ascii="宋体" w:hAnsi="宋体" w:eastAsia="宋体" w:cs="宋体"/>
          <w:b/>
          <w:bCs/>
          <w:sz w:val="32"/>
          <w:szCs w:val="32"/>
        </w:rPr>
      </w:pPr>
    </w:p>
    <w:p>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auto"/>
        <w:rPr>
          <w:rFonts w:hint="eastAsia" w:ascii="宋体" w:hAnsi="宋体" w:eastAsia="宋体" w:cs="宋体"/>
          <w:b/>
          <w:sz w:val="32"/>
          <w:szCs w:val="32"/>
        </w:rPr>
      </w:pPr>
      <w:r>
        <w:rPr>
          <w:rFonts w:hint="eastAsia" w:ascii="宋体" w:hAnsi="宋体" w:eastAsia="宋体" w:cs="宋体"/>
          <w:b/>
          <w:sz w:val="32"/>
          <w:szCs w:val="32"/>
        </w:rPr>
        <w:t xml:space="preserve">第一部分  </w:t>
      </w:r>
      <w:r>
        <w:rPr>
          <w:rFonts w:hint="eastAsia" w:ascii="宋体" w:hAnsi="宋体" w:eastAsia="宋体" w:cs="宋体"/>
          <w:b/>
          <w:sz w:val="32"/>
          <w:szCs w:val="32"/>
          <w:lang w:eastAsia="zh-CN"/>
        </w:rPr>
        <w:t>兴国县归国华侨联合会</w:t>
      </w:r>
      <w:r>
        <w:rPr>
          <w:rFonts w:hint="eastAsia" w:ascii="宋体" w:hAnsi="宋体" w:eastAsia="宋体" w:cs="宋体"/>
          <w:b/>
          <w:sz w:val="32"/>
          <w:szCs w:val="32"/>
        </w:rPr>
        <w:t>概况</w:t>
      </w:r>
    </w:p>
    <w:p>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auto"/>
        <w:rPr>
          <w:rFonts w:hint="eastAsia" w:ascii="宋体" w:hAnsi="宋体" w:eastAsia="宋体" w:cs="宋体"/>
          <w:b/>
          <w:sz w:val="32"/>
          <w:szCs w:val="32"/>
        </w:rPr>
      </w:pPr>
    </w:p>
    <w:p>
      <w:pPr>
        <w:keepNext w:val="0"/>
        <w:keepLines w:val="0"/>
        <w:pageBreakBefore w:val="0"/>
        <w:kinsoku/>
        <w:wordWrap/>
        <w:overflowPunct/>
        <w:topLinePunct w:val="0"/>
        <w:autoSpaceDE/>
        <w:autoSpaceDN/>
        <w:bidi w:val="0"/>
        <w:adjustRightInd/>
        <w:snapToGrid/>
        <w:spacing w:line="520" w:lineRule="exact"/>
        <w:ind w:left="0" w:leftChars="0" w:right="0" w:rightChars="0" w:firstLine="643" w:firstLineChars="200"/>
        <w:textAlignment w:val="auto"/>
        <w:outlineLvl w:val="9"/>
        <w:rPr>
          <w:rFonts w:hint="eastAsia" w:ascii="宋体" w:hAnsi="宋体" w:eastAsia="宋体" w:cs="宋体"/>
          <w:b/>
          <w:sz w:val="32"/>
          <w:szCs w:val="32"/>
        </w:rPr>
      </w:pPr>
      <w:r>
        <w:rPr>
          <w:rFonts w:hint="eastAsia" w:ascii="宋体" w:hAnsi="宋体" w:eastAsia="宋体" w:cs="宋体"/>
          <w:b/>
          <w:sz w:val="32"/>
          <w:szCs w:val="32"/>
        </w:rPr>
        <w:t>一、部门主要职能</w:t>
      </w:r>
    </w:p>
    <w:p>
      <w:pPr>
        <w:keepNext w:val="0"/>
        <w:keepLines w:val="0"/>
        <w:pageBreakBefore w:val="0"/>
        <w:kinsoku/>
        <w:wordWrap/>
        <w:overflowPunct/>
        <w:topLinePunct w:val="0"/>
        <w:autoSpaceDE/>
        <w:autoSpaceDN/>
        <w:bidi w:val="0"/>
        <w:adjustRightInd/>
        <w:snapToGrid/>
        <w:spacing w:line="520" w:lineRule="exact"/>
        <w:ind w:left="0" w:leftChars="0" w:right="0" w:rightChars="0" w:firstLine="630"/>
        <w:jc w:val="left"/>
        <w:textAlignment w:val="auto"/>
        <w:outlineLvl w:val="9"/>
        <w:rPr>
          <w:rFonts w:hint="eastAsia" w:ascii="宋体" w:hAnsi="宋体" w:eastAsia="宋体" w:cs="宋体"/>
          <w:sz w:val="32"/>
          <w:szCs w:val="32"/>
          <w:lang w:eastAsia="zh-CN"/>
        </w:rPr>
      </w:pPr>
      <w:r>
        <w:rPr>
          <w:rFonts w:hint="eastAsia" w:ascii="宋体" w:hAnsi="宋体" w:eastAsia="宋体" w:cs="宋体"/>
          <w:sz w:val="32"/>
          <w:szCs w:val="32"/>
          <w:lang w:eastAsia="zh-CN"/>
        </w:rPr>
        <w:t>教育归侨、侨眷遵守宪法和法规，依法维护广大归侨、侨眷及海外侨胞的合法权益，提供法律服务；开展调查研究工作，及时掌握有关情况，反映归侨、侨眷和海外侨胞的意见和要求，为有关部门制定侨务工作的方针政策提供建议；配合有关部门做好人大代表和政协委员人选推荐工作；组织实施侨代会和委员会的决议、指导、检查、监督基层侨联的工作；承办县委、县政府和市侨联交办的其它事项。</w:t>
      </w:r>
    </w:p>
    <w:p>
      <w:pPr>
        <w:pStyle w:val="3"/>
        <w:keepNext w:val="0"/>
        <w:keepLines w:val="0"/>
        <w:pageBreakBefore w:val="0"/>
        <w:kinsoku/>
        <w:wordWrap/>
        <w:overflowPunct/>
        <w:topLinePunct w:val="0"/>
        <w:autoSpaceDE/>
        <w:autoSpaceDN/>
        <w:bidi w:val="0"/>
        <w:adjustRightInd/>
        <w:snapToGrid/>
        <w:spacing w:before="0" w:beforeLines="0" w:beforeAutospacing="0" w:after="0" w:afterLines="0" w:afterAutospacing="0" w:line="520" w:lineRule="exact"/>
        <w:ind w:left="0" w:leftChars="0" w:right="0" w:rightChars="0" w:firstLine="640" w:firstLineChars="200"/>
        <w:textAlignment w:val="auto"/>
        <w:outlineLvl w:val="9"/>
        <w:rPr>
          <w:rFonts w:hint="eastAsia" w:ascii="宋体" w:hAnsi="宋体" w:eastAsia="宋体" w:cs="宋体"/>
          <w:b/>
          <w:sz w:val="32"/>
          <w:szCs w:val="32"/>
        </w:rPr>
      </w:pPr>
      <w:r>
        <w:rPr>
          <w:rFonts w:hint="eastAsia" w:ascii="宋体" w:hAnsi="宋体" w:eastAsia="宋体" w:cs="宋体"/>
          <w:b w:val="0"/>
          <w:i w:val="0"/>
          <w:caps w:val="0"/>
          <w:color w:val="333333"/>
          <w:spacing w:val="0"/>
          <w:sz w:val="32"/>
          <w:szCs w:val="32"/>
          <w:shd w:val="clear" w:color="auto" w:fill="FFFFFF"/>
          <w:lang w:val="en-US" w:eastAsia="zh-CN"/>
        </w:rPr>
        <w:t xml:space="preserve"> </w:t>
      </w:r>
      <w:r>
        <w:rPr>
          <w:rFonts w:hint="eastAsia" w:ascii="宋体" w:hAnsi="宋体" w:eastAsia="宋体" w:cs="宋体"/>
          <w:b/>
          <w:sz w:val="32"/>
          <w:szCs w:val="32"/>
        </w:rPr>
        <w:t>二、部门</w:t>
      </w:r>
      <w:r>
        <w:rPr>
          <w:rFonts w:hint="eastAsia" w:ascii="宋体" w:hAnsi="宋体" w:eastAsia="宋体" w:cs="宋体"/>
          <w:b/>
          <w:sz w:val="32"/>
          <w:szCs w:val="32"/>
          <w:lang w:eastAsia="zh-CN"/>
        </w:rPr>
        <w:t>预算</w:t>
      </w:r>
      <w:r>
        <w:rPr>
          <w:rFonts w:hint="eastAsia" w:ascii="宋体" w:hAnsi="宋体" w:eastAsia="宋体" w:cs="宋体"/>
          <w:b/>
          <w:sz w:val="32"/>
          <w:szCs w:val="32"/>
        </w:rPr>
        <w:t>单位构成</w:t>
      </w:r>
    </w:p>
    <w:p>
      <w:pPr>
        <w:keepNext w:val="0"/>
        <w:keepLines w:val="0"/>
        <w:pageBreakBefore w:val="0"/>
        <w:kinsoku/>
        <w:wordWrap/>
        <w:overflowPunct/>
        <w:topLinePunct w:val="0"/>
        <w:autoSpaceDE/>
        <w:autoSpaceDN/>
        <w:bidi w:val="0"/>
        <w:adjustRightInd/>
        <w:snapToGrid/>
        <w:spacing w:line="520" w:lineRule="exact"/>
        <w:ind w:left="0" w:leftChars="0" w:right="0" w:rightChars="0" w:firstLine="630"/>
        <w:jc w:val="left"/>
        <w:textAlignment w:val="auto"/>
        <w:outlineLvl w:val="9"/>
        <w:rPr>
          <w:rFonts w:hint="eastAsia" w:ascii="宋体" w:hAnsi="宋体" w:eastAsia="宋体" w:cs="宋体"/>
          <w:sz w:val="32"/>
          <w:szCs w:val="32"/>
          <w:lang w:eastAsia="zh-CN"/>
        </w:rPr>
      </w:pPr>
      <w:r>
        <w:rPr>
          <w:rFonts w:hint="eastAsia" w:ascii="宋体" w:hAnsi="宋体" w:eastAsia="宋体" w:cs="宋体"/>
          <w:sz w:val="32"/>
          <w:szCs w:val="32"/>
        </w:rPr>
        <w:t>纳入本套部门</w:t>
      </w:r>
      <w:r>
        <w:rPr>
          <w:rFonts w:hint="eastAsia" w:ascii="宋体" w:hAnsi="宋体" w:eastAsia="宋体" w:cs="宋体"/>
          <w:sz w:val="32"/>
          <w:szCs w:val="32"/>
          <w:lang w:eastAsia="zh-CN"/>
        </w:rPr>
        <w:t>预算</w:t>
      </w:r>
      <w:r>
        <w:rPr>
          <w:rFonts w:hint="eastAsia" w:ascii="宋体" w:hAnsi="宋体" w:eastAsia="宋体" w:cs="宋体"/>
          <w:sz w:val="32"/>
          <w:szCs w:val="32"/>
        </w:rPr>
        <w:t>汇编范围的单位共</w:t>
      </w:r>
      <w:r>
        <w:rPr>
          <w:rFonts w:hint="eastAsia" w:ascii="宋体" w:hAnsi="宋体" w:eastAsia="宋体" w:cs="宋体"/>
          <w:sz w:val="32"/>
          <w:szCs w:val="32"/>
          <w:lang w:val="en-US" w:eastAsia="zh-CN"/>
        </w:rPr>
        <w:t>1</w:t>
      </w:r>
      <w:r>
        <w:rPr>
          <w:rFonts w:hint="eastAsia" w:ascii="宋体" w:hAnsi="宋体" w:eastAsia="宋体" w:cs="宋体"/>
          <w:sz w:val="32"/>
          <w:szCs w:val="32"/>
        </w:rPr>
        <w:t>个，</w:t>
      </w:r>
      <w:r>
        <w:rPr>
          <w:rFonts w:hint="eastAsia" w:ascii="宋体" w:hAnsi="宋体" w:eastAsia="宋体" w:cs="宋体"/>
          <w:sz w:val="32"/>
          <w:szCs w:val="32"/>
          <w:lang w:eastAsia="zh-CN"/>
        </w:rPr>
        <w:t>为兴国县侨联机关</w:t>
      </w:r>
      <w:r>
        <w:rPr>
          <w:rFonts w:hint="eastAsia" w:ascii="宋体" w:hAnsi="宋体" w:eastAsia="宋体" w:cs="宋体"/>
          <w:sz w:val="32"/>
          <w:szCs w:val="32"/>
          <w:lang w:val="en-US" w:eastAsia="zh-CN"/>
        </w:rPr>
        <w:t>,编制数3人，其中参照公务员管理全额事业编制3人。实有人数1人</w:t>
      </w:r>
      <w:r>
        <w:rPr>
          <w:rFonts w:hint="eastAsia" w:ascii="宋体" w:hAnsi="宋体" w:eastAsia="宋体" w:cs="宋体"/>
          <w:sz w:val="32"/>
          <w:szCs w:val="32"/>
          <w:lang w:eastAsia="zh-CN"/>
        </w:rPr>
        <w:t>。无内设机构。</w:t>
      </w:r>
    </w:p>
    <w:p>
      <w:pPr>
        <w:keepNext w:val="0"/>
        <w:keepLines w:val="0"/>
        <w:pageBreakBefore w:val="0"/>
        <w:kinsoku/>
        <w:wordWrap/>
        <w:overflowPunct/>
        <w:topLinePunct w:val="0"/>
        <w:autoSpaceDE/>
        <w:autoSpaceDN/>
        <w:bidi w:val="0"/>
        <w:adjustRightInd/>
        <w:snapToGrid/>
        <w:spacing w:line="520" w:lineRule="exact"/>
        <w:ind w:left="0" w:leftChars="0" w:right="0" w:rightChars="0" w:firstLine="630"/>
        <w:jc w:val="left"/>
        <w:textAlignment w:val="auto"/>
        <w:outlineLvl w:val="9"/>
        <w:rPr>
          <w:rFonts w:hint="eastAsia" w:ascii="宋体" w:hAnsi="宋体" w:eastAsia="宋体" w:cs="宋体"/>
          <w:sz w:val="32"/>
          <w:szCs w:val="32"/>
          <w:lang w:eastAsia="zh-CN"/>
        </w:rPr>
      </w:pP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left="640" w:leftChars="0" w:right="0" w:rightChars="0" w:firstLine="643" w:firstLineChars="200"/>
        <w:textAlignment w:val="auto"/>
        <w:outlineLvl w:val="9"/>
        <w:rPr>
          <w:rFonts w:hint="eastAsia" w:ascii="宋体" w:hAnsi="宋体" w:eastAsia="宋体" w:cs="宋体"/>
          <w:b/>
          <w:sz w:val="32"/>
          <w:szCs w:val="32"/>
        </w:rPr>
      </w:pPr>
      <w:r>
        <w:rPr>
          <w:rFonts w:hint="eastAsia" w:ascii="宋体" w:hAnsi="宋体" w:eastAsia="宋体" w:cs="宋体"/>
          <w:b/>
          <w:sz w:val="32"/>
          <w:szCs w:val="32"/>
          <w:lang w:eastAsia="zh-CN"/>
        </w:rPr>
        <w:t>第二部分  侨联</w:t>
      </w:r>
      <w:r>
        <w:rPr>
          <w:rFonts w:hint="eastAsia" w:ascii="宋体" w:hAnsi="宋体" w:eastAsia="宋体" w:cs="宋体"/>
          <w:b/>
          <w:sz w:val="32"/>
          <w:szCs w:val="32"/>
        </w:rPr>
        <w:t>201</w:t>
      </w:r>
      <w:r>
        <w:rPr>
          <w:rFonts w:hint="eastAsia" w:ascii="宋体" w:hAnsi="宋体" w:eastAsia="宋体" w:cs="宋体"/>
          <w:b/>
          <w:sz w:val="32"/>
          <w:szCs w:val="32"/>
          <w:lang w:val="en-US" w:eastAsia="zh-CN"/>
        </w:rPr>
        <w:t>9</w:t>
      </w:r>
      <w:r>
        <w:rPr>
          <w:rFonts w:hint="eastAsia" w:ascii="宋体" w:hAnsi="宋体" w:eastAsia="宋体" w:cs="宋体"/>
          <w:b/>
          <w:sz w:val="32"/>
          <w:szCs w:val="32"/>
        </w:rPr>
        <w:t>年部门</w:t>
      </w:r>
      <w:r>
        <w:rPr>
          <w:rFonts w:hint="eastAsia" w:ascii="宋体" w:hAnsi="宋体" w:eastAsia="宋体" w:cs="宋体"/>
          <w:b/>
          <w:sz w:val="32"/>
          <w:szCs w:val="32"/>
          <w:lang w:eastAsia="zh-CN"/>
        </w:rPr>
        <w:t>预</w:t>
      </w:r>
      <w:r>
        <w:rPr>
          <w:rFonts w:hint="eastAsia" w:ascii="宋体" w:hAnsi="宋体" w:eastAsia="宋体" w:cs="宋体"/>
          <w:b/>
          <w:sz w:val="32"/>
          <w:szCs w:val="32"/>
        </w:rPr>
        <w:t>算情况说明</w:t>
      </w:r>
    </w:p>
    <w:p>
      <w:pPr>
        <w:keepNext w:val="0"/>
        <w:keepLines w:val="0"/>
        <w:pageBreakBefore w:val="0"/>
        <w:kinsoku/>
        <w:wordWrap/>
        <w:overflowPunct/>
        <w:topLinePunct w:val="0"/>
        <w:autoSpaceDE/>
        <w:autoSpaceDN/>
        <w:bidi w:val="0"/>
        <w:adjustRightInd/>
        <w:snapToGrid/>
        <w:spacing w:line="520" w:lineRule="exact"/>
        <w:ind w:left="0" w:leftChars="0" w:right="0" w:rightChars="0" w:firstLine="643" w:firstLineChars="200"/>
        <w:textAlignment w:val="auto"/>
        <w:outlineLvl w:val="9"/>
        <w:rPr>
          <w:rFonts w:hint="eastAsia" w:ascii="宋体" w:hAnsi="宋体" w:eastAsia="宋体" w:cs="宋体"/>
          <w:b/>
          <w:sz w:val="32"/>
          <w:szCs w:val="32"/>
        </w:rPr>
      </w:pPr>
    </w:p>
    <w:p>
      <w:pPr>
        <w:keepNext w:val="0"/>
        <w:keepLines w:val="0"/>
        <w:pageBreakBefore w:val="0"/>
        <w:kinsoku/>
        <w:wordWrap/>
        <w:overflowPunct/>
        <w:topLinePunct w:val="0"/>
        <w:autoSpaceDE/>
        <w:autoSpaceDN/>
        <w:bidi w:val="0"/>
        <w:adjustRightInd/>
        <w:snapToGrid/>
        <w:spacing w:line="520" w:lineRule="exact"/>
        <w:ind w:left="0" w:leftChars="0" w:right="0" w:rightChars="0" w:firstLine="643" w:firstLineChars="200"/>
        <w:textAlignment w:val="auto"/>
        <w:outlineLvl w:val="9"/>
        <w:rPr>
          <w:rFonts w:hint="eastAsia" w:ascii="宋体" w:hAnsi="宋体" w:eastAsia="宋体" w:cs="宋体"/>
          <w:b/>
          <w:sz w:val="32"/>
          <w:szCs w:val="32"/>
        </w:rPr>
      </w:pPr>
      <w:r>
        <w:rPr>
          <w:rFonts w:hint="eastAsia" w:ascii="宋体" w:hAnsi="宋体" w:eastAsia="宋体" w:cs="宋体"/>
          <w:b/>
          <w:sz w:val="32"/>
          <w:szCs w:val="32"/>
        </w:rPr>
        <w:t>一、201</w:t>
      </w:r>
      <w:r>
        <w:rPr>
          <w:rFonts w:hint="eastAsia" w:ascii="宋体" w:hAnsi="宋体" w:eastAsia="宋体" w:cs="宋体"/>
          <w:b/>
          <w:sz w:val="32"/>
          <w:szCs w:val="32"/>
          <w:lang w:val="en-US" w:eastAsia="zh-CN"/>
        </w:rPr>
        <w:t>9</w:t>
      </w:r>
      <w:r>
        <w:rPr>
          <w:rFonts w:hint="eastAsia" w:ascii="宋体" w:hAnsi="宋体" w:eastAsia="宋体" w:cs="宋体"/>
          <w:b/>
          <w:sz w:val="32"/>
          <w:szCs w:val="32"/>
        </w:rPr>
        <w:t>年部门预算收支情况说明</w:t>
      </w:r>
    </w:p>
    <w:p>
      <w:pPr>
        <w:keepNext w:val="0"/>
        <w:keepLines w:val="0"/>
        <w:pageBreakBefore w:val="0"/>
        <w:kinsoku/>
        <w:wordWrap/>
        <w:overflowPunct/>
        <w:topLinePunct w:val="0"/>
        <w:autoSpaceDE/>
        <w:autoSpaceDN/>
        <w:bidi w:val="0"/>
        <w:adjustRightInd/>
        <w:snapToGrid/>
        <w:spacing w:line="520" w:lineRule="exact"/>
        <w:ind w:left="0" w:leftChars="0" w:right="0" w:rightChars="0" w:firstLine="643" w:firstLineChars="200"/>
        <w:textAlignment w:val="auto"/>
        <w:outlineLvl w:val="9"/>
        <w:rPr>
          <w:rFonts w:hint="eastAsia" w:ascii="宋体" w:hAnsi="宋体" w:eastAsia="宋体" w:cs="宋体"/>
          <w:b/>
          <w:sz w:val="32"/>
          <w:szCs w:val="32"/>
        </w:rPr>
      </w:pPr>
      <w:r>
        <w:rPr>
          <w:rFonts w:hint="eastAsia" w:ascii="宋体" w:hAnsi="宋体" w:eastAsia="宋体" w:cs="宋体"/>
          <w:b/>
          <w:sz w:val="32"/>
          <w:szCs w:val="32"/>
        </w:rPr>
        <w:t>（一）收入预算情况</w:t>
      </w:r>
    </w:p>
    <w:p>
      <w:pPr>
        <w:keepNext w:val="0"/>
        <w:keepLines w:val="0"/>
        <w:pageBreakBefore w:val="0"/>
        <w:kinsoku/>
        <w:wordWrap/>
        <w:overflowPunct/>
        <w:topLinePunct w:val="0"/>
        <w:autoSpaceDE/>
        <w:autoSpaceDN/>
        <w:bidi w:val="0"/>
        <w:adjustRightInd/>
        <w:snapToGrid/>
        <w:spacing w:line="520" w:lineRule="exact"/>
        <w:ind w:left="0" w:leftChars="0" w:right="0" w:rightChars="0" w:firstLine="640" w:firstLineChars="200"/>
        <w:textAlignment w:val="auto"/>
        <w:outlineLvl w:val="9"/>
        <w:rPr>
          <w:rFonts w:hint="eastAsia" w:ascii="宋体" w:hAnsi="宋体" w:eastAsia="宋体" w:cs="宋体"/>
          <w:sz w:val="32"/>
          <w:szCs w:val="32"/>
        </w:rPr>
      </w:pPr>
      <w:r>
        <w:rPr>
          <w:rFonts w:hint="eastAsia" w:ascii="宋体" w:hAnsi="宋体" w:eastAsia="宋体" w:cs="宋体"/>
          <w:sz w:val="32"/>
          <w:szCs w:val="32"/>
          <w:lang w:eastAsia="zh-CN"/>
        </w:rPr>
        <w:t>201</w:t>
      </w:r>
      <w:r>
        <w:rPr>
          <w:rFonts w:hint="eastAsia" w:ascii="宋体" w:hAnsi="宋体" w:eastAsia="宋体" w:cs="宋体"/>
          <w:sz w:val="32"/>
          <w:szCs w:val="32"/>
          <w:lang w:val="en-US" w:eastAsia="zh-CN"/>
        </w:rPr>
        <w:t>9</w:t>
      </w:r>
      <w:r>
        <w:rPr>
          <w:rFonts w:hint="eastAsia" w:ascii="宋体" w:hAnsi="宋体" w:eastAsia="宋体" w:cs="宋体"/>
          <w:sz w:val="32"/>
          <w:szCs w:val="32"/>
        </w:rPr>
        <w:t>年</w:t>
      </w:r>
      <w:r>
        <w:rPr>
          <w:rFonts w:hint="eastAsia" w:ascii="宋体" w:hAnsi="宋体" w:eastAsia="宋体" w:cs="宋体"/>
          <w:sz w:val="32"/>
          <w:szCs w:val="32"/>
          <w:lang w:eastAsia="zh-CN"/>
        </w:rPr>
        <w:t>县侨联</w:t>
      </w:r>
      <w:r>
        <w:rPr>
          <w:rFonts w:hint="eastAsia" w:ascii="宋体" w:hAnsi="宋体" w:eastAsia="宋体" w:cs="宋体"/>
          <w:sz w:val="32"/>
          <w:szCs w:val="32"/>
        </w:rPr>
        <w:t>收入预算总额为</w:t>
      </w:r>
      <w:r>
        <w:rPr>
          <w:rFonts w:hint="eastAsia" w:ascii="宋体" w:hAnsi="宋体" w:eastAsia="宋体" w:cs="宋体"/>
          <w:sz w:val="32"/>
          <w:szCs w:val="32"/>
          <w:lang w:val="en-US" w:eastAsia="zh-CN"/>
        </w:rPr>
        <w:t>16.77</w:t>
      </w:r>
      <w:r>
        <w:rPr>
          <w:rFonts w:hint="eastAsia" w:ascii="宋体" w:hAnsi="宋体" w:eastAsia="宋体" w:cs="宋体"/>
          <w:sz w:val="32"/>
          <w:szCs w:val="32"/>
        </w:rPr>
        <w:t>万元</w:t>
      </w:r>
      <w:r>
        <w:rPr>
          <w:rFonts w:hint="eastAsia" w:ascii="宋体" w:hAnsi="宋体" w:eastAsia="宋体" w:cs="宋体"/>
          <w:color w:val="000000"/>
          <w:sz w:val="32"/>
          <w:szCs w:val="32"/>
        </w:rPr>
        <w:t>，</w:t>
      </w:r>
      <w:r>
        <w:rPr>
          <w:rFonts w:hint="eastAsia" w:ascii="宋体" w:hAnsi="宋体" w:eastAsia="宋体" w:cs="宋体"/>
          <w:sz w:val="32"/>
          <w:szCs w:val="32"/>
          <w:lang w:val="en-US" w:eastAsia="zh-CN"/>
        </w:rPr>
        <w:t>较上年预算安排增加141%</w:t>
      </w:r>
      <w:r>
        <w:rPr>
          <w:rFonts w:hint="eastAsia" w:ascii="宋体" w:hAnsi="宋体" w:eastAsia="宋体" w:cs="宋体"/>
          <w:sz w:val="32"/>
          <w:szCs w:val="32"/>
          <w:lang w:eastAsia="zh-CN"/>
        </w:rPr>
        <w:t>。</w:t>
      </w:r>
      <w:r>
        <w:rPr>
          <w:rFonts w:hint="eastAsia" w:ascii="宋体" w:hAnsi="宋体" w:eastAsia="宋体" w:cs="宋体"/>
          <w:sz w:val="32"/>
          <w:szCs w:val="32"/>
        </w:rPr>
        <w:t>其中：财政拨款收入</w:t>
      </w:r>
      <w:r>
        <w:rPr>
          <w:rFonts w:hint="eastAsia" w:ascii="宋体" w:hAnsi="宋体" w:eastAsia="宋体" w:cs="宋体"/>
          <w:sz w:val="32"/>
          <w:szCs w:val="32"/>
          <w:lang w:val="en-US" w:eastAsia="zh-CN"/>
        </w:rPr>
        <w:t>16.77</w:t>
      </w:r>
      <w:r>
        <w:rPr>
          <w:rFonts w:hint="eastAsia" w:ascii="宋体" w:hAnsi="宋体" w:eastAsia="宋体" w:cs="宋体"/>
          <w:sz w:val="32"/>
          <w:szCs w:val="32"/>
        </w:rPr>
        <w:t>万元</w:t>
      </w:r>
      <w:r>
        <w:rPr>
          <w:rFonts w:hint="eastAsia" w:ascii="宋体" w:hAnsi="宋体" w:eastAsia="宋体" w:cs="宋体"/>
          <w:color w:val="000000"/>
          <w:sz w:val="32"/>
          <w:szCs w:val="32"/>
        </w:rPr>
        <w:t>，</w:t>
      </w:r>
      <w:r>
        <w:rPr>
          <w:rFonts w:hint="eastAsia" w:ascii="宋体" w:hAnsi="宋体" w:eastAsia="宋体" w:cs="宋体"/>
          <w:sz w:val="32"/>
          <w:szCs w:val="32"/>
          <w:lang w:val="en-US" w:eastAsia="zh-CN"/>
        </w:rPr>
        <w:t>较上年预算安排增加141%</w:t>
      </w:r>
      <w:r>
        <w:rPr>
          <w:rFonts w:hint="eastAsia" w:ascii="宋体" w:hAnsi="宋体" w:eastAsia="宋体" w:cs="宋体"/>
          <w:sz w:val="32"/>
          <w:szCs w:val="32"/>
        </w:rPr>
        <w:t>；纳入预算的政府性基金收入</w:t>
      </w:r>
      <w:r>
        <w:rPr>
          <w:rFonts w:hint="eastAsia" w:ascii="宋体" w:hAnsi="宋体" w:eastAsia="宋体" w:cs="宋体"/>
          <w:sz w:val="32"/>
          <w:szCs w:val="32"/>
          <w:lang w:val="en-US" w:eastAsia="zh-CN"/>
        </w:rPr>
        <w:t>0</w:t>
      </w:r>
      <w:r>
        <w:rPr>
          <w:rFonts w:hint="eastAsia" w:ascii="宋体" w:hAnsi="宋体" w:eastAsia="宋体" w:cs="宋体"/>
          <w:sz w:val="32"/>
          <w:szCs w:val="32"/>
        </w:rPr>
        <w:t>万元；事业收入</w:t>
      </w:r>
      <w:r>
        <w:rPr>
          <w:rFonts w:hint="eastAsia" w:ascii="宋体" w:hAnsi="宋体" w:eastAsia="宋体" w:cs="宋体"/>
          <w:sz w:val="32"/>
          <w:szCs w:val="32"/>
          <w:lang w:val="en-US" w:eastAsia="zh-CN"/>
        </w:rPr>
        <w:t>0</w:t>
      </w:r>
      <w:r>
        <w:rPr>
          <w:rFonts w:hint="eastAsia" w:ascii="宋体" w:hAnsi="宋体" w:eastAsia="宋体" w:cs="宋体"/>
          <w:sz w:val="32"/>
          <w:szCs w:val="32"/>
        </w:rPr>
        <w:t>万元；上年结转收入</w:t>
      </w:r>
      <w:r>
        <w:rPr>
          <w:rFonts w:hint="eastAsia" w:ascii="宋体" w:hAnsi="宋体" w:eastAsia="宋体" w:cs="宋体"/>
          <w:sz w:val="32"/>
          <w:szCs w:val="32"/>
          <w:lang w:val="en-US" w:eastAsia="zh-CN"/>
        </w:rPr>
        <w:t>0</w:t>
      </w:r>
      <w:r>
        <w:rPr>
          <w:rFonts w:hint="eastAsia" w:ascii="宋体" w:hAnsi="宋体" w:eastAsia="宋体" w:cs="宋体"/>
          <w:sz w:val="32"/>
          <w:szCs w:val="32"/>
        </w:rPr>
        <w:t>万元。</w:t>
      </w:r>
    </w:p>
    <w:p>
      <w:pPr>
        <w:keepNext w:val="0"/>
        <w:keepLines w:val="0"/>
        <w:pageBreakBefore w:val="0"/>
        <w:kinsoku/>
        <w:wordWrap/>
        <w:overflowPunct/>
        <w:topLinePunct w:val="0"/>
        <w:autoSpaceDE/>
        <w:autoSpaceDN/>
        <w:bidi w:val="0"/>
        <w:adjustRightInd/>
        <w:snapToGrid/>
        <w:spacing w:line="520" w:lineRule="exact"/>
        <w:ind w:left="0" w:leftChars="0" w:right="0" w:rightChars="0" w:firstLine="643" w:firstLineChars="200"/>
        <w:textAlignment w:val="auto"/>
        <w:outlineLvl w:val="9"/>
        <w:rPr>
          <w:rFonts w:hint="eastAsia" w:ascii="宋体" w:hAnsi="宋体" w:eastAsia="宋体" w:cs="宋体"/>
          <w:b/>
          <w:sz w:val="32"/>
          <w:szCs w:val="32"/>
        </w:rPr>
      </w:pPr>
      <w:r>
        <w:rPr>
          <w:rFonts w:hint="eastAsia" w:ascii="宋体" w:hAnsi="宋体" w:eastAsia="宋体" w:cs="宋体"/>
          <w:b/>
          <w:sz w:val="32"/>
          <w:szCs w:val="32"/>
        </w:rPr>
        <w:t>（二）支出预算情况</w:t>
      </w:r>
    </w:p>
    <w:p>
      <w:pPr>
        <w:keepNext w:val="0"/>
        <w:keepLines w:val="0"/>
        <w:pageBreakBefore w:val="0"/>
        <w:kinsoku/>
        <w:wordWrap/>
        <w:overflowPunct/>
        <w:topLinePunct w:val="0"/>
        <w:autoSpaceDE/>
        <w:autoSpaceDN/>
        <w:bidi w:val="0"/>
        <w:adjustRightInd/>
        <w:snapToGrid/>
        <w:spacing w:line="520" w:lineRule="exact"/>
        <w:ind w:left="0" w:leftChars="0" w:right="0" w:rightChars="0" w:firstLine="640" w:firstLineChars="200"/>
        <w:textAlignment w:val="auto"/>
        <w:outlineLvl w:val="9"/>
        <w:rPr>
          <w:rFonts w:hint="eastAsia" w:ascii="宋体" w:hAnsi="宋体" w:eastAsia="宋体" w:cs="宋体"/>
          <w:sz w:val="32"/>
          <w:szCs w:val="32"/>
        </w:rPr>
      </w:pPr>
      <w:r>
        <w:rPr>
          <w:rFonts w:hint="eastAsia" w:ascii="宋体" w:hAnsi="宋体" w:eastAsia="宋体" w:cs="宋体"/>
          <w:sz w:val="32"/>
          <w:szCs w:val="32"/>
          <w:lang w:eastAsia="zh-CN"/>
        </w:rPr>
        <w:t>201</w:t>
      </w:r>
      <w:r>
        <w:rPr>
          <w:rFonts w:hint="eastAsia" w:ascii="宋体" w:hAnsi="宋体" w:eastAsia="宋体" w:cs="宋体"/>
          <w:sz w:val="32"/>
          <w:szCs w:val="32"/>
          <w:lang w:val="en-US" w:eastAsia="zh-CN"/>
        </w:rPr>
        <w:t>9</w:t>
      </w:r>
      <w:r>
        <w:rPr>
          <w:rFonts w:hint="eastAsia" w:ascii="宋体" w:hAnsi="宋体" w:eastAsia="宋体" w:cs="宋体"/>
          <w:sz w:val="32"/>
          <w:szCs w:val="32"/>
        </w:rPr>
        <w:t>年</w:t>
      </w:r>
      <w:r>
        <w:rPr>
          <w:rFonts w:hint="eastAsia" w:ascii="宋体" w:hAnsi="宋体" w:eastAsia="宋体" w:cs="宋体"/>
          <w:sz w:val="32"/>
          <w:szCs w:val="32"/>
          <w:lang w:eastAsia="zh-CN"/>
        </w:rPr>
        <w:t>县侨联</w:t>
      </w:r>
      <w:r>
        <w:rPr>
          <w:rFonts w:hint="eastAsia" w:ascii="宋体" w:hAnsi="宋体" w:eastAsia="宋体" w:cs="宋体"/>
          <w:sz w:val="32"/>
          <w:szCs w:val="32"/>
        </w:rPr>
        <w:t>支出预算总额为</w:t>
      </w:r>
      <w:r>
        <w:rPr>
          <w:rFonts w:hint="eastAsia" w:ascii="宋体" w:hAnsi="宋体" w:eastAsia="宋体" w:cs="宋体"/>
          <w:sz w:val="32"/>
          <w:szCs w:val="32"/>
          <w:lang w:val="en-US" w:eastAsia="zh-CN"/>
        </w:rPr>
        <w:t>16.77</w:t>
      </w:r>
      <w:r>
        <w:rPr>
          <w:rFonts w:hint="eastAsia" w:ascii="宋体" w:hAnsi="宋体" w:eastAsia="宋体" w:cs="宋体"/>
          <w:sz w:val="32"/>
          <w:szCs w:val="32"/>
        </w:rPr>
        <w:t>万元</w:t>
      </w:r>
      <w:r>
        <w:rPr>
          <w:rFonts w:hint="eastAsia" w:ascii="宋体" w:hAnsi="宋体" w:eastAsia="宋体" w:cs="宋体"/>
          <w:color w:val="000000"/>
          <w:sz w:val="32"/>
          <w:szCs w:val="32"/>
        </w:rPr>
        <w:t>，</w:t>
      </w:r>
      <w:r>
        <w:rPr>
          <w:rFonts w:hint="eastAsia" w:ascii="宋体" w:hAnsi="宋体" w:eastAsia="宋体" w:cs="宋体"/>
          <w:sz w:val="32"/>
          <w:szCs w:val="32"/>
          <w:lang w:val="en-US" w:eastAsia="zh-CN"/>
        </w:rPr>
        <w:t>较上年预算安排增加141%</w:t>
      </w:r>
      <w:r>
        <w:rPr>
          <w:rFonts w:hint="eastAsia" w:ascii="宋体" w:hAnsi="宋体" w:eastAsia="宋体" w:cs="宋体"/>
          <w:sz w:val="32"/>
          <w:szCs w:val="32"/>
          <w:lang w:eastAsia="zh-CN"/>
        </w:rPr>
        <w:t>。</w:t>
      </w:r>
      <w:r>
        <w:rPr>
          <w:rFonts w:hint="eastAsia" w:ascii="宋体" w:hAnsi="宋体" w:eastAsia="宋体" w:cs="宋体"/>
          <w:sz w:val="32"/>
          <w:szCs w:val="32"/>
        </w:rPr>
        <w:t>其中：</w:t>
      </w:r>
    </w:p>
    <w:p>
      <w:pPr>
        <w:keepNext w:val="0"/>
        <w:keepLines w:val="0"/>
        <w:pageBreakBefore w:val="0"/>
        <w:kinsoku/>
        <w:wordWrap/>
        <w:overflowPunct/>
        <w:topLinePunct w:val="0"/>
        <w:autoSpaceDE/>
        <w:autoSpaceDN/>
        <w:bidi w:val="0"/>
        <w:adjustRightInd/>
        <w:snapToGrid/>
        <w:spacing w:line="520" w:lineRule="exact"/>
        <w:ind w:left="0" w:leftChars="0" w:right="0" w:rightChars="0" w:firstLine="640" w:firstLineChars="200"/>
        <w:textAlignment w:val="auto"/>
        <w:outlineLvl w:val="9"/>
        <w:rPr>
          <w:rFonts w:hint="eastAsia" w:ascii="宋体" w:hAnsi="宋体" w:eastAsia="宋体" w:cs="宋体"/>
          <w:sz w:val="32"/>
          <w:szCs w:val="32"/>
        </w:rPr>
      </w:pPr>
      <w:r>
        <w:rPr>
          <w:rFonts w:hint="eastAsia" w:ascii="宋体" w:hAnsi="宋体" w:eastAsia="宋体" w:cs="宋体"/>
          <w:sz w:val="32"/>
          <w:szCs w:val="32"/>
        </w:rPr>
        <w:t>按支出项目类别划分：基本支出</w:t>
      </w:r>
      <w:r>
        <w:rPr>
          <w:rFonts w:hint="eastAsia" w:ascii="宋体" w:hAnsi="宋体" w:eastAsia="宋体" w:cs="宋体"/>
          <w:sz w:val="32"/>
          <w:szCs w:val="32"/>
          <w:lang w:val="en-US" w:eastAsia="zh-CN"/>
        </w:rPr>
        <w:t>14.19</w:t>
      </w:r>
      <w:r>
        <w:rPr>
          <w:rFonts w:hint="eastAsia" w:ascii="宋体" w:hAnsi="宋体" w:eastAsia="宋体" w:cs="宋体"/>
          <w:sz w:val="32"/>
          <w:szCs w:val="32"/>
        </w:rPr>
        <w:t>万元，包括工资福利支出</w:t>
      </w:r>
      <w:r>
        <w:rPr>
          <w:rFonts w:hint="eastAsia" w:ascii="宋体" w:hAnsi="宋体" w:eastAsia="宋体" w:cs="宋体"/>
          <w:sz w:val="32"/>
          <w:szCs w:val="32"/>
          <w:lang w:val="en-US" w:eastAsia="zh-CN"/>
        </w:rPr>
        <w:t>9.01</w:t>
      </w:r>
      <w:r>
        <w:rPr>
          <w:rFonts w:hint="eastAsia" w:ascii="宋体" w:hAnsi="宋体" w:eastAsia="宋体" w:cs="宋体"/>
          <w:sz w:val="32"/>
          <w:szCs w:val="32"/>
        </w:rPr>
        <w:t>万元，商品和服务支出</w:t>
      </w:r>
      <w:r>
        <w:rPr>
          <w:rFonts w:hint="eastAsia" w:ascii="宋体" w:hAnsi="宋体" w:eastAsia="宋体" w:cs="宋体"/>
          <w:sz w:val="32"/>
          <w:szCs w:val="32"/>
          <w:lang w:val="en-US" w:eastAsia="zh-CN"/>
        </w:rPr>
        <w:t>6</w:t>
      </w:r>
      <w:r>
        <w:rPr>
          <w:rFonts w:hint="eastAsia" w:ascii="宋体" w:hAnsi="宋体" w:eastAsia="宋体" w:cs="宋体"/>
          <w:sz w:val="32"/>
          <w:szCs w:val="32"/>
        </w:rPr>
        <w:t>万元，对个人和家庭的补助支出</w:t>
      </w:r>
      <w:r>
        <w:rPr>
          <w:rFonts w:hint="eastAsia" w:ascii="宋体" w:hAnsi="宋体" w:eastAsia="宋体" w:cs="宋体"/>
          <w:sz w:val="32"/>
          <w:szCs w:val="32"/>
          <w:lang w:val="en-US" w:eastAsia="zh-CN"/>
        </w:rPr>
        <w:t>0.48</w:t>
      </w:r>
      <w:r>
        <w:rPr>
          <w:rFonts w:hint="eastAsia" w:ascii="宋体" w:hAnsi="宋体" w:eastAsia="宋体" w:cs="宋体"/>
          <w:sz w:val="32"/>
          <w:szCs w:val="32"/>
        </w:rPr>
        <w:t>万元；项目支出</w:t>
      </w:r>
      <w:r>
        <w:rPr>
          <w:rFonts w:hint="eastAsia" w:ascii="宋体" w:hAnsi="宋体" w:eastAsia="宋体" w:cs="宋体"/>
          <w:sz w:val="32"/>
          <w:szCs w:val="32"/>
          <w:lang w:val="en-US" w:eastAsia="zh-CN"/>
        </w:rPr>
        <w:t>0</w:t>
      </w:r>
      <w:r>
        <w:rPr>
          <w:rFonts w:hint="eastAsia" w:ascii="宋体" w:hAnsi="宋体" w:eastAsia="宋体" w:cs="宋体"/>
          <w:sz w:val="32"/>
          <w:szCs w:val="32"/>
        </w:rPr>
        <w:t>万元。</w:t>
      </w:r>
    </w:p>
    <w:p>
      <w:pPr>
        <w:keepNext w:val="0"/>
        <w:keepLines w:val="0"/>
        <w:pageBreakBefore w:val="0"/>
        <w:kinsoku/>
        <w:wordWrap/>
        <w:overflowPunct/>
        <w:topLinePunct w:val="0"/>
        <w:autoSpaceDE/>
        <w:autoSpaceDN/>
        <w:bidi w:val="0"/>
        <w:adjustRightInd/>
        <w:snapToGrid/>
        <w:spacing w:line="520" w:lineRule="exact"/>
        <w:ind w:left="0" w:leftChars="0" w:right="0" w:rightChars="0" w:firstLine="640" w:firstLineChars="200"/>
        <w:textAlignment w:val="auto"/>
        <w:outlineLvl w:val="9"/>
        <w:rPr>
          <w:rFonts w:hint="eastAsia" w:ascii="宋体" w:hAnsi="宋体" w:eastAsia="宋体" w:cs="宋体"/>
          <w:sz w:val="32"/>
          <w:szCs w:val="32"/>
          <w:lang w:val="en-US"/>
        </w:rPr>
      </w:pPr>
      <w:r>
        <w:rPr>
          <w:rFonts w:hint="eastAsia" w:ascii="宋体" w:hAnsi="宋体" w:eastAsia="宋体" w:cs="宋体"/>
          <w:sz w:val="32"/>
          <w:szCs w:val="32"/>
        </w:rPr>
        <w:t>按支出功能科目划分：</w:t>
      </w:r>
      <w:r>
        <w:rPr>
          <w:rFonts w:hint="eastAsia" w:ascii="宋体" w:hAnsi="宋体" w:eastAsia="宋体" w:cs="宋体"/>
          <w:sz w:val="32"/>
          <w:szCs w:val="32"/>
          <w:lang w:eastAsia="zh-CN"/>
        </w:rPr>
        <w:t>港澳台侨事务</w:t>
      </w:r>
      <w:r>
        <w:rPr>
          <w:rFonts w:hint="eastAsia" w:ascii="宋体" w:hAnsi="宋体" w:eastAsia="宋体" w:cs="宋体"/>
          <w:sz w:val="32"/>
          <w:szCs w:val="32"/>
          <w:lang w:val="en-US" w:eastAsia="zh-CN"/>
        </w:rPr>
        <w:t>14.19</w:t>
      </w:r>
      <w:r>
        <w:rPr>
          <w:rFonts w:hint="eastAsia" w:ascii="宋体" w:hAnsi="宋体" w:eastAsia="宋体" w:cs="宋体"/>
          <w:sz w:val="32"/>
          <w:szCs w:val="32"/>
        </w:rPr>
        <w:t>万元</w:t>
      </w:r>
      <w:r>
        <w:rPr>
          <w:rFonts w:hint="eastAsia" w:ascii="宋体" w:hAnsi="宋体" w:eastAsia="宋体" w:cs="宋体"/>
          <w:sz w:val="32"/>
          <w:szCs w:val="32"/>
          <w:lang w:eastAsia="zh-CN"/>
        </w:rPr>
        <w:t>；社会保障和就业支出</w:t>
      </w:r>
      <w:r>
        <w:rPr>
          <w:rFonts w:hint="eastAsia" w:ascii="宋体" w:hAnsi="宋体" w:eastAsia="宋体" w:cs="宋体"/>
          <w:sz w:val="32"/>
          <w:szCs w:val="32"/>
          <w:lang w:val="en-US" w:eastAsia="zh-CN"/>
        </w:rPr>
        <w:t>1.28万元；卫生健康支出0.57万元；住房保障支出0.73万元。</w:t>
      </w:r>
    </w:p>
    <w:p>
      <w:pPr>
        <w:keepNext w:val="0"/>
        <w:keepLines w:val="0"/>
        <w:pageBreakBefore w:val="0"/>
        <w:kinsoku/>
        <w:wordWrap/>
        <w:overflowPunct/>
        <w:topLinePunct w:val="0"/>
        <w:autoSpaceDE/>
        <w:autoSpaceDN/>
        <w:bidi w:val="0"/>
        <w:adjustRightInd/>
        <w:snapToGrid/>
        <w:spacing w:line="520" w:lineRule="exact"/>
        <w:ind w:left="0" w:leftChars="0" w:right="0" w:rightChars="0" w:firstLine="640" w:firstLineChars="200"/>
        <w:textAlignment w:val="auto"/>
        <w:outlineLvl w:val="9"/>
        <w:rPr>
          <w:rFonts w:hint="eastAsia" w:ascii="宋体" w:hAnsi="宋体" w:eastAsia="宋体" w:cs="宋体"/>
          <w:sz w:val="32"/>
          <w:szCs w:val="32"/>
        </w:rPr>
      </w:pPr>
      <w:r>
        <w:rPr>
          <w:rFonts w:hint="eastAsia" w:ascii="宋体" w:hAnsi="宋体" w:eastAsia="宋体" w:cs="宋体"/>
          <w:sz w:val="32"/>
          <w:szCs w:val="32"/>
        </w:rPr>
        <w:t>按支出经济分类划分：工资福利支出</w:t>
      </w:r>
      <w:r>
        <w:rPr>
          <w:rFonts w:hint="eastAsia" w:ascii="宋体" w:hAnsi="宋体" w:eastAsia="宋体" w:cs="宋体"/>
          <w:sz w:val="32"/>
          <w:szCs w:val="32"/>
          <w:lang w:val="en-US" w:eastAsia="zh-CN"/>
        </w:rPr>
        <w:t>9.01</w:t>
      </w:r>
      <w:r>
        <w:rPr>
          <w:rFonts w:hint="eastAsia" w:ascii="宋体" w:hAnsi="宋体" w:eastAsia="宋体" w:cs="宋体"/>
          <w:sz w:val="32"/>
          <w:szCs w:val="32"/>
        </w:rPr>
        <w:t>万元；商品和服务支出</w:t>
      </w:r>
      <w:r>
        <w:rPr>
          <w:rFonts w:hint="eastAsia" w:ascii="宋体" w:hAnsi="宋体" w:eastAsia="宋体" w:cs="宋体"/>
          <w:sz w:val="32"/>
          <w:szCs w:val="32"/>
          <w:lang w:val="en-US" w:eastAsia="zh-CN"/>
        </w:rPr>
        <w:t>6</w:t>
      </w:r>
      <w:r>
        <w:rPr>
          <w:rFonts w:hint="eastAsia" w:ascii="宋体" w:hAnsi="宋体" w:eastAsia="宋体" w:cs="宋体"/>
          <w:sz w:val="32"/>
          <w:szCs w:val="32"/>
        </w:rPr>
        <w:t>万元；对个人和家庭补助支出</w:t>
      </w:r>
      <w:r>
        <w:rPr>
          <w:rFonts w:hint="eastAsia" w:ascii="宋体" w:hAnsi="宋体" w:eastAsia="宋体" w:cs="宋体"/>
          <w:sz w:val="32"/>
          <w:szCs w:val="32"/>
          <w:lang w:val="en-US" w:eastAsia="zh-CN"/>
        </w:rPr>
        <w:t>0.48</w:t>
      </w:r>
      <w:r>
        <w:rPr>
          <w:rFonts w:hint="eastAsia" w:ascii="宋体" w:hAnsi="宋体" w:eastAsia="宋体" w:cs="宋体"/>
          <w:sz w:val="32"/>
          <w:szCs w:val="32"/>
        </w:rPr>
        <w:t>万元</w:t>
      </w:r>
      <w:r>
        <w:rPr>
          <w:rFonts w:hint="eastAsia" w:ascii="宋体" w:hAnsi="宋体" w:eastAsia="宋体" w:cs="宋体"/>
          <w:sz w:val="32"/>
          <w:szCs w:val="32"/>
          <w:lang w:eastAsia="zh-CN"/>
        </w:rPr>
        <w:t>。</w:t>
      </w:r>
    </w:p>
    <w:p>
      <w:pPr>
        <w:keepNext w:val="0"/>
        <w:keepLines w:val="0"/>
        <w:pageBreakBefore w:val="0"/>
        <w:kinsoku/>
        <w:wordWrap/>
        <w:overflowPunct/>
        <w:topLinePunct w:val="0"/>
        <w:autoSpaceDE/>
        <w:autoSpaceDN/>
        <w:bidi w:val="0"/>
        <w:adjustRightInd/>
        <w:snapToGrid/>
        <w:spacing w:line="520" w:lineRule="exact"/>
        <w:ind w:left="0" w:leftChars="0" w:right="0" w:rightChars="0" w:firstLine="643" w:firstLineChars="200"/>
        <w:textAlignment w:val="auto"/>
        <w:outlineLvl w:val="9"/>
        <w:rPr>
          <w:rFonts w:hint="eastAsia" w:ascii="宋体" w:hAnsi="宋体" w:eastAsia="宋体" w:cs="宋体"/>
          <w:b/>
          <w:sz w:val="32"/>
          <w:szCs w:val="32"/>
        </w:rPr>
      </w:pPr>
      <w:r>
        <w:rPr>
          <w:rFonts w:hint="eastAsia" w:ascii="宋体" w:hAnsi="宋体" w:eastAsia="宋体" w:cs="宋体"/>
          <w:b/>
          <w:sz w:val="32"/>
          <w:szCs w:val="32"/>
        </w:rPr>
        <w:t>（三）财政拨款支出情况</w:t>
      </w:r>
    </w:p>
    <w:p>
      <w:pPr>
        <w:keepNext w:val="0"/>
        <w:keepLines w:val="0"/>
        <w:pageBreakBefore w:val="0"/>
        <w:kinsoku/>
        <w:wordWrap/>
        <w:overflowPunct/>
        <w:topLinePunct w:val="0"/>
        <w:autoSpaceDE/>
        <w:autoSpaceDN/>
        <w:bidi w:val="0"/>
        <w:adjustRightInd/>
        <w:snapToGrid/>
        <w:spacing w:line="520" w:lineRule="exact"/>
        <w:ind w:left="0" w:leftChars="0" w:right="0" w:rightChars="0" w:firstLine="640" w:firstLineChars="200"/>
        <w:textAlignment w:val="auto"/>
        <w:outlineLvl w:val="9"/>
        <w:rPr>
          <w:rFonts w:hint="eastAsia" w:ascii="宋体" w:hAnsi="宋体" w:eastAsia="宋体" w:cs="宋体"/>
          <w:sz w:val="32"/>
          <w:szCs w:val="32"/>
          <w:lang w:eastAsia="zh-CN"/>
        </w:rPr>
      </w:pPr>
      <w:r>
        <w:rPr>
          <w:rFonts w:hint="eastAsia" w:ascii="宋体" w:hAnsi="宋体" w:eastAsia="宋体" w:cs="宋体"/>
          <w:sz w:val="32"/>
          <w:szCs w:val="32"/>
          <w:lang w:eastAsia="zh-CN"/>
        </w:rPr>
        <w:t>201</w:t>
      </w:r>
      <w:r>
        <w:rPr>
          <w:rFonts w:hint="eastAsia" w:ascii="宋体" w:hAnsi="宋体" w:eastAsia="宋体" w:cs="宋体"/>
          <w:sz w:val="32"/>
          <w:szCs w:val="32"/>
          <w:lang w:val="en-US" w:eastAsia="zh-CN"/>
        </w:rPr>
        <w:t>9</w:t>
      </w:r>
      <w:r>
        <w:rPr>
          <w:rFonts w:hint="eastAsia" w:ascii="宋体" w:hAnsi="宋体" w:eastAsia="宋体" w:cs="宋体"/>
          <w:sz w:val="32"/>
          <w:szCs w:val="32"/>
        </w:rPr>
        <w:t>年</w:t>
      </w:r>
      <w:r>
        <w:rPr>
          <w:rFonts w:hint="eastAsia" w:ascii="宋体" w:hAnsi="宋体" w:eastAsia="宋体" w:cs="宋体"/>
          <w:sz w:val="32"/>
          <w:szCs w:val="32"/>
          <w:lang w:eastAsia="zh-CN"/>
        </w:rPr>
        <w:t>县侨联</w:t>
      </w:r>
      <w:r>
        <w:rPr>
          <w:rFonts w:hint="eastAsia" w:ascii="宋体" w:hAnsi="宋体" w:eastAsia="宋体" w:cs="宋体"/>
          <w:sz w:val="32"/>
          <w:szCs w:val="32"/>
        </w:rPr>
        <w:t>财政拨款支出预算</w:t>
      </w:r>
      <w:r>
        <w:rPr>
          <w:rFonts w:hint="eastAsia" w:ascii="宋体" w:hAnsi="宋体" w:eastAsia="宋体" w:cs="宋体"/>
          <w:sz w:val="32"/>
          <w:szCs w:val="32"/>
          <w:lang w:val="en-US" w:eastAsia="zh-CN"/>
        </w:rPr>
        <w:t>16.77</w:t>
      </w:r>
      <w:r>
        <w:rPr>
          <w:rFonts w:hint="eastAsia" w:ascii="宋体" w:hAnsi="宋体" w:eastAsia="宋体" w:cs="宋体"/>
          <w:sz w:val="32"/>
          <w:szCs w:val="32"/>
        </w:rPr>
        <w:t>万元</w:t>
      </w:r>
      <w:r>
        <w:rPr>
          <w:rFonts w:hint="eastAsia" w:ascii="宋体" w:hAnsi="宋体" w:eastAsia="宋体" w:cs="宋体"/>
          <w:color w:val="000000"/>
          <w:sz w:val="32"/>
          <w:szCs w:val="32"/>
        </w:rPr>
        <w:t>，</w:t>
      </w:r>
      <w:r>
        <w:rPr>
          <w:rFonts w:hint="eastAsia" w:ascii="宋体" w:hAnsi="宋体" w:eastAsia="宋体" w:cs="宋体"/>
          <w:sz w:val="32"/>
          <w:szCs w:val="32"/>
          <w:lang w:val="en-US" w:eastAsia="zh-CN"/>
        </w:rPr>
        <w:t>较上年预算安排增加141%</w:t>
      </w:r>
      <w:r>
        <w:rPr>
          <w:rFonts w:hint="eastAsia" w:ascii="宋体" w:hAnsi="宋体" w:eastAsia="宋体" w:cs="宋体"/>
          <w:sz w:val="32"/>
          <w:szCs w:val="32"/>
        </w:rPr>
        <w:t>。</w:t>
      </w:r>
      <w:r>
        <w:rPr>
          <w:rFonts w:hint="eastAsia" w:ascii="宋体" w:hAnsi="宋体" w:eastAsia="宋体" w:cs="宋体"/>
          <w:sz w:val="32"/>
          <w:szCs w:val="32"/>
          <w:lang w:eastAsia="zh-CN"/>
        </w:rPr>
        <w:t>其中：</w:t>
      </w:r>
    </w:p>
    <w:p>
      <w:pPr>
        <w:keepNext w:val="0"/>
        <w:keepLines w:val="0"/>
        <w:pageBreakBefore w:val="0"/>
        <w:kinsoku/>
        <w:wordWrap/>
        <w:overflowPunct/>
        <w:topLinePunct w:val="0"/>
        <w:autoSpaceDE/>
        <w:autoSpaceDN/>
        <w:bidi w:val="0"/>
        <w:adjustRightInd/>
        <w:snapToGrid/>
        <w:spacing w:line="520" w:lineRule="exact"/>
        <w:ind w:left="0" w:leftChars="0" w:right="0" w:rightChars="0" w:firstLine="640" w:firstLineChars="200"/>
        <w:textAlignment w:val="auto"/>
        <w:outlineLvl w:val="9"/>
        <w:rPr>
          <w:rFonts w:hint="eastAsia" w:ascii="宋体" w:hAnsi="宋体" w:eastAsia="宋体" w:cs="宋体"/>
          <w:sz w:val="32"/>
          <w:szCs w:val="32"/>
        </w:rPr>
      </w:pPr>
      <w:r>
        <w:rPr>
          <w:rFonts w:hint="eastAsia" w:ascii="宋体" w:hAnsi="宋体" w:eastAsia="宋体" w:cs="宋体"/>
          <w:sz w:val="32"/>
          <w:szCs w:val="32"/>
        </w:rPr>
        <w:t>按支出功能科目划分：</w:t>
      </w:r>
      <w:r>
        <w:rPr>
          <w:rFonts w:hint="eastAsia" w:ascii="宋体" w:hAnsi="宋体" w:eastAsia="宋体" w:cs="宋体"/>
          <w:sz w:val="32"/>
          <w:szCs w:val="32"/>
          <w:lang w:eastAsia="zh-CN"/>
        </w:rPr>
        <w:t>港澳台侨事务</w:t>
      </w:r>
      <w:r>
        <w:rPr>
          <w:rFonts w:hint="eastAsia" w:ascii="宋体" w:hAnsi="宋体" w:eastAsia="宋体" w:cs="宋体"/>
          <w:sz w:val="32"/>
          <w:szCs w:val="32"/>
          <w:lang w:val="en-US" w:eastAsia="zh-CN"/>
        </w:rPr>
        <w:t>6</w:t>
      </w:r>
      <w:r>
        <w:rPr>
          <w:rFonts w:hint="eastAsia" w:ascii="宋体" w:hAnsi="宋体" w:eastAsia="宋体" w:cs="宋体"/>
          <w:sz w:val="32"/>
          <w:szCs w:val="32"/>
        </w:rPr>
        <w:t>万元</w:t>
      </w:r>
      <w:r>
        <w:rPr>
          <w:rFonts w:hint="eastAsia" w:ascii="宋体" w:hAnsi="宋体" w:eastAsia="宋体" w:cs="宋体"/>
          <w:sz w:val="32"/>
          <w:szCs w:val="32"/>
          <w:lang w:eastAsia="zh-CN"/>
        </w:rPr>
        <w:t>；一般公共服务支出</w:t>
      </w:r>
      <w:r>
        <w:rPr>
          <w:rFonts w:hint="eastAsia" w:ascii="宋体" w:hAnsi="宋体" w:eastAsia="宋体" w:cs="宋体"/>
          <w:sz w:val="32"/>
          <w:szCs w:val="32"/>
          <w:lang w:val="en-US" w:eastAsia="zh-CN"/>
        </w:rPr>
        <w:t>6万元</w:t>
      </w:r>
      <w:r>
        <w:rPr>
          <w:rFonts w:hint="eastAsia" w:ascii="宋体" w:hAnsi="宋体" w:eastAsia="宋体" w:cs="宋体"/>
          <w:sz w:val="32"/>
          <w:szCs w:val="32"/>
        </w:rPr>
        <w:t>。</w:t>
      </w:r>
    </w:p>
    <w:p>
      <w:pPr>
        <w:keepNext w:val="0"/>
        <w:keepLines w:val="0"/>
        <w:pageBreakBefore w:val="0"/>
        <w:kinsoku/>
        <w:wordWrap/>
        <w:overflowPunct/>
        <w:topLinePunct w:val="0"/>
        <w:autoSpaceDE/>
        <w:autoSpaceDN/>
        <w:bidi w:val="0"/>
        <w:adjustRightInd/>
        <w:snapToGrid/>
        <w:spacing w:line="520" w:lineRule="exact"/>
        <w:ind w:left="0" w:leftChars="0" w:right="0" w:rightChars="0" w:firstLine="640" w:firstLineChars="200"/>
        <w:textAlignment w:val="auto"/>
        <w:outlineLvl w:val="9"/>
        <w:rPr>
          <w:rFonts w:hint="eastAsia" w:ascii="宋体" w:hAnsi="宋体" w:eastAsia="宋体" w:cs="宋体"/>
          <w:sz w:val="32"/>
          <w:szCs w:val="32"/>
        </w:rPr>
      </w:pPr>
      <w:r>
        <w:rPr>
          <w:rFonts w:hint="eastAsia" w:ascii="宋体" w:hAnsi="宋体" w:eastAsia="宋体" w:cs="宋体"/>
          <w:sz w:val="32"/>
          <w:szCs w:val="32"/>
        </w:rPr>
        <w:t>按支出经济分类划分：基本支出</w:t>
      </w:r>
      <w:r>
        <w:rPr>
          <w:rFonts w:hint="eastAsia" w:ascii="宋体" w:hAnsi="宋体" w:eastAsia="宋体" w:cs="宋体"/>
          <w:sz w:val="32"/>
          <w:szCs w:val="32"/>
          <w:lang w:val="en-US" w:eastAsia="zh-CN"/>
        </w:rPr>
        <w:t>14.19</w:t>
      </w:r>
      <w:r>
        <w:rPr>
          <w:rFonts w:hint="eastAsia" w:ascii="宋体" w:hAnsi="宋体" w:eastAsia="宋体" w:cs="宋体"/>
          <w:sz w:val="32"/>
          <w:szCs w:val="32"/>
        </w:rPr>
        <w:t>万元，包括工资福利支出</w:t>
      </w:r>
      <w:r>
        <w:rPr>
          <w:rFonts w:hint="eastAsia" w:ascii="宋体" w:hAnsi="宋体" w:eastAsia="宋体" w:cs="宋体"/>
          <w:sz w:val="32"/>
          <w:szCs w:val="32"/>
          <w:lang w:val="en-US" w:eastAsia="zh-CN"/>
        </w:rPr>
        <w:t>9.01</w:t>
      </w:r>
      <w:r>
        <w:rPr>
          <w:rFonts w:hint="eastAsia" w:ascii="宋体" w:hAnsi="宋体" w:eastAsia="宋体" w:cs="宋体"/>
          <w:sz w:val="32"/>
          <w:szCs w:val="32"/>
        </w:rPr>
        <w:t>万元，商品和服务支出</w:t>
      </w:r>
      <w:r>
        <w:rPr>
          <w:rFonts w:hint="eastAsia" w:ascii="宋体" w:hAnsi="宋体" w:eastAsia="宋体" w:cs="宋体"/>
          <w:sz w:val="32"/>
          <w:szCs w:val="32"/>
          <w:lang w:val="en-US" w:eastAsia="zh-CN"/>
        </w:rPr>
        <w:t>6</w:t>
      </w:r>
      <w:r>
        <w:rPr>
          <w:rFonts w:hint="eastAsia" w:ascii="宋体" w:hAnsi="宋体" w:eastAsia="宋体" w:cs="宋体"/>
          <w:sz w:val="32"/>
          <w:szCs w:val="32"/>
        </w:rPr>
        <w:t>万元，对个人和家庭的补助支出</w:t>
      </w:r>
      <w:r>
        <w:rPr>
          <w:rFonts w:hint="eastAsia" w:ascii="宋体" w:hAnsi="宋体" w:eastAsia="宋体" w:cs="宋体"/>
          <w:sz w:val="32"/>
          <w:szCs w:val="32"/>
          <w:lang w:val="en-US" w:eastAsia="zh-CN"/>
        </w:rPr>
        <w:t>0.48</w:t>
      </w:r>
      <w:r>
        <w:rPr>
          <w:rFonts w:hint="eastAsia" w:ascii="宋体" w:hAnsi="宋体" w:eastAsia="宋体" w:cs="宋体"/>
          <w:sz w:val="32"/>
          <w:szCs w:val="32"/>
        </w:rPr>
        <w:t>万元；项目支出</w:t>
      </w:r>
      <w:r>
        <w:rPr>
          <w:rFonts w:hint="eastAsia" w:ascii="宋体" w:hAnsi="宋体" w:eastAsia="宋体" w:cs="宋体"/>
          <w:sz w:val="32"/>
          <w:szCs w:val="32"/>
          <w:lang w:val="en-US" w:eastAsia="zh-CN"/>
        </w:rPr>
        <w:t>0</w:t>
      </w:r>
      <w:r>
        <w:rPr>
          <w:rFonts w:hint="eastAsia" w:ascii="宋体" w:hAnsi="宋体" w:eastAsia="宋体" w:cs="宋体"/>
          <w:sz w:val="32"/>
          <w:szCs w:val="32"/>
        </w:rPr>
        <w:t>万元。</w:t>
      </w:r>
    </w:p>
    <w:p>
      <w:pPr>
        <w:keepNext w:val="0"/>
        <w:keepLines w:val="0"/>
        <w:pageBreakBefore w:val="0"/>
        <w:kinsoku/>
        <w:wordWrap/>
        <w:overflowPunct/>
        <w:topLinePunct w:val="0"/>
        <w:autoSpaceDE/>
        <w:autoSpaceDN/>
        <w:bidi w:val="0"/>
        <w:adjustRightInd/>
        <w:snapToGrid/>
        <w:spacing w:line="520" w:lineRule="exact"/>
        <w:ind w:left="0" w:leftChars="0" w:right="0" w:rightChars="0" w:firstLine="643" w:firstLineChars="200"/>
        <w:textAlignment w:val="auto"/>
        <w:outlineLvl w:val="9"/>
        <w:rPr>
          <w:rFonts w:hint="eastAsia" w:ascii="宋体" w:hAnsi="宋体" w:eastAsia="宋体" w:cs="宋体"/>
          <w:b/>
          <w:sz w:val="32"/>
          <w:szCs w:val="32"/>
        </w:rPr>
      </w:pPr>
      <w:r>
        <w:rPr>
          <w:rFonts w:hint="eastAsia" w:ascii="宋体" w:hAnsi="宋体" w:eastAsia="宋体" w:cs="宋体"/>
          <w:b/>
          <w:sz w:val="32"/>
          <w:szCs w:val="32"/>
        </w:rPr>
        <w:t>（四）政府性基金情况</w:t>
      </w:r>
    </w:p>
    <w:p>
      <w:pPr>
        <w:keepNext w:val="0"/>
        <w:keepLines w:val="0"/>
        <w:pageBreakBefore w:val="0"/>
        <w:kinsoku/>
        <w:wordWrap/>
        <w:overflowPunct/>
        <w:topLinePunct w:val="0"/>
        <w:autoSpaceDE/>
        <w:autoSpaceDN/>
        <w:bidi w:val="0"/>
        <w:adjustRightInd/>
        <w:snapToGrid/>
        <w:spacing w:line="520" w:lineRule="exact"/>
        <w:ind w:left="0" w:leftChars="0" w:right="0" w:rightChars="0" w:firstLine="640" w:firstLineChars="200"/>
        <w:textAlignment w:val="auto"/>
        <w:outlineLvl w:val="9"/>
        <w:rPr>
          <w:rFonts w:hint="eastAsia" w:ascii="宋体" w:hAnsi="宋体" w:eastAsia="宋体" w:cs="宋体"/>
          <w:sz w:val="32"/>
          <w:szCs w:val="32"/>
        </w:rPr>
      </w:pPr>
      <w:r>
        <w:rPr>
          <w:rFonts w:hint="eastAsia" w:ascii="宋体" w:hAnsi="宋体" w:eastAsia="宋体" w:cs="宋体"/>
          <w:sz w:val="32"/>
          <w:szCs w:val="32"/>
          <w:lang w:eastAsia="zh-CN"/>
        </w:rPr>
        <w:t>201</w:t>
      </w:r>
      <w:r>
        <w:rPr>
          <w:rFonts w:hint="eastAsia" w:ascii="宋体" w:hAnsi="宋体" w:eastAsia="宋体" w:cs="宋体"/>
          <w:sz w:val="32"/>
          <w:szCs w:val="32"/>
          <w:lang w:val="en-US" w:eastAsia="zh-CN"/>
        </w:rPr>
        <w:t>9</w:t>
      </w:r>
      <w:r>
        <w:rPr>
          <w:rFonts w:hint="eastAsia" w:ascii="宋体" w:hAnsi="宋体" w:eastAsia="宋体" w:cs="宋体"/>
          <w:sz w:val="32"/>
          <w:szCs w:val="32"/>
        </w:rPr>
        <w:t>年</w:t>
      </w:r>
      <w:r>
        <w:rPr>
          <w:rFonts w:hint="eastAsia" w:ascii="宋体" w:hAnsi="宋体" w:eastAsia="宋体" w:cs="宋体"/>
          <w:sz w:val="32"/>
          <w:szCs w:val="32"/>
          <w:lang w:eastAsia="zh-CN"/>
        </w:rPr>
        <w:t>县侨联</w:t>
      </w:r>
      <w:r>
        <w:rPr>
          <w:rFonts w:hint="eastAsia" w:ascii="宋体" w:hAnsi="宋体" w:eastAsia="宋体" w:cs="宋体"/>
          <w:sz w:val="32"/>
          <w:szCs w:val="32"/>
        </w:rPr>
        <w:t>纳入预算管理的政府性基金支出预算</w:t>
      </w:r>
      <w:r>
        <w:rPr>
          <w:rFonts w:hint="eastAsia" w:ascii="宋体" w:hAnsi="宋体" w:eastAsia="宋体" w:cs="宋体"/>
          <w:sz w:val="32"/>
          <w:szCs w:val="32"/>
          <w:lang w:val="en-US" w:eastAsia="zh-CN"/>
        </w:rPr>
        <w:t>0</w:t>
      </w:r>
      <w:r>
        <w:rPr>
          <w:rFonts w:hint="eastAsia" w:ascii="宋体" w:hAnsi="宋体" w:eastAsia="宋体" w:cs="宋体"/>
          <w:sz w:val="32"/>
          <w:szCs w:val="32"/>
        </w:rPr>
        <w:t>万元。</w:t>
      </w:r>
    </w:p>
    <w:p>
      <w:pPr>
        <w:keepNext w:val="0"/>
        <w:keepLines w:val="0"/>
        <w:pageBreakBefore w:val="0"/>
        <w:numPr>
          <w:ilvl w:val="0"/>
          <w:numId w:val="0"/>
        </w:numPr>
        <w:kinsoku/>
        <w:wordWrap/>
        <w:overflowPunct/>
        <w:topLinePunct w:val="0"/>
        <w:autoSpaceDE/>
        <w:autoSpaceDN/>
        <w:bidi w:val="0"/>
        <w:adjustRightInd/>
        <w:snapToGrid/>
        <w:spacing w:line="520" w:lineRule="exact"/>
        <w:ind w:leftChars="200" w:right="0" w:rightChars="0"/>
        <w:textAlignment w:val="auto"/>
        <w:outlineLvl w:val="9"/>
        <w:rPr>
          <w:rFonts w:hint="eastAsia" w:ascii="宋体" w:hAnsi="宋体" w:eastAsia="宋体" w:cs="宋体"/>
          <w:b/>
          <w:sz w:val="32"/>
          <w:szCs w:val="32"/>
        </w:rPr>
      </w:pPr>
      <w:r>
        <w:rPr>
          <w:rFonts w:hint="eastAsia" w:ascii="宋体" w:hAnsi="宋体" w:eastAsia="宋体" w:cs="宋体"/>
          <w:b/>
          <w:sz w:val="32"/>
          <w:szCs w:val="32"/>
          <w:lang w:eastAsia="zh-CN"/>
        </w:rPr>
        <w:t>（五）</w:t>
      </w:r>
      <w:r>
        <w:rPr>
          <w:rFonts w:hint="eastAsia" w:ascii="宋体" w:hAnsi="宋体" w:eastAsia="宋体" w:cs="宋体"/>
          <w:b/>
          <w:sz w:val="32"/>
          <w:szCs w:val="32"/>
        </w:rPr>
        <w:t>机关运行经费等重要事项说明</w:t>
      </w:r>
    </w:p>
    <w:p>
      <w:pPr>
        <w:ind w:firstLine="585" w:firstLineChars="183"/>
        <w:rPr>
          <w:rFonts w:hint="eastAsia" w:ascii="宋体" w:hAnsi="宋体" w:eastAsia="宋体" w:cs="宋体"/>
          <w:sz w:val="32"/>
          <w:szCs w:val="32"/>
        </w:rPr>
      </w:pPr>
      <w:r>
        <w:rPr>
          <w:rFonts w:hint="eastAsia" w:ascii="宋体" w:hAnsi="宋体" w:eastAsia="宋体" w:cs="宋体"/>
          <w:sz w:val="32"/>
          <w:szCs w:val="32"/>
          <w:lang w:val="en-US" w:eastAsia="zh-CN"/>
        </w:rPr>
        <w:t>2019</w:t>
      </w:r>
      <w:r>
        <w:rPr>
          <w:rFonts w:hint="eastAsia" w:ascii="宋体" w:hAnsi="宋体" w:eastAsia="宋体" w:cs="宋体"/>
          <w:sz w:val="32"/>
          <w:szCs w:val="32"/>
        </w:rPr>
        <w:t>年部门机关运行费预算</w:t>
      </w:r>
      <w:r>
        <w:rPr>
          <w:rFonts w:hint="eastAsia" w:ascii="宋体" w:hAnsi="宋体" w:eastAsia="宋体" w:cs="宋体"/>
          <w:sz w:val="32"/>
          <w:szCs w:val="32"/>
          <w:u w:val="none"/>
          <w:lang w:val="en-US" w:eastAsia="zh-CN"/>
        </w:rPr>
        <w:t>16.77</w:t>
      </w:r>
      <w:r>
        <w:rPr>
          <w:rFonts w:hint="eastAsia" w:ascii="宋体" w:hAnsi="宋体" w:eastAsia="宋体" w:cs="宋体"/>
          <w:sz w:val="32"/>
          <w:szCs w:val="32"/>
        </w:rPr>
        <w:t>万元，比</w:t>
      </w:r>
      <w:r>
        <w:rPr>
          <w:rFonts w:hint="eastAsia" w:ascii="宋体" w:hAnsi="宋体" w:eastAsia="宋体" w:cs="宋体"/>
          <w:sz w:val="32"/>
          <w:szCs w:val="32"/>
          <w:lang w:val="en-US" w:eastAsia="zh-CN"/>
        </w:rPr>
        <w:t>2018</w:t>
      </w:r>
      <w:r>
        <w:rPr>
          <w:rFonts w:hint="eastAsia" w:ascii="宋体" w:hAnsi="宋体" w:eastAsia="宋体" w:cs="宋体"/>
          <w:sz w:val="32"/>
          <w:szCs w:val="32"/>
        </w:rPr>
        <w:t>年预算增加</w:t>
      </w:r>
      <w:r>
        <w:rPr>
          <w:rFonts w:hint="eastAsia" w:ascii="宋体" w:hAnsi="宋体" w:eastAsia="宋体" w:cs="宋体"/>
          <w:sz w:val="32"/>
          <w:szCs w:val="32"/>
          <w:lang w:val="en-US" w:eastAsia="zh-CN"/>
        </w:rPr>
        <w:t>9.83</w:t>
      </w:r>
      <w:r>
        <w:rPr>
          <w:rFonts w:hint="eastAsia" w:ascii="宋体" w:hAnsi="宋体" w:eastAsia="宋体" w:cs="宋体"/>
          <w:sz w:val="32"/>
          <w:szCs w:val="32"/>
        </w:rPr>
        <w:t>万元，增长</w:t>
      </w:r>
      <w:r>
        <w:rPr>
          <w:rFonts w:hint="eastAsia" w:ascii="宋体" w:hAnsi="宋体" w:eastAsia="宋体" w:cs="宋体"/>
          <w:sz w:val="32"/>
          <w:szCs w:val="32"/>
          <w:lang w:val="en-US" w:eastAsia="zh-CN"/>
        </w:rPr>
        <w:t>141</w:t>
      </w:r>
      <w:r>
        <w:rPr>
          <w:rFonts w:hint="eastAsia" w:ascii="宋体" w:hAnsi="宋体" w:eastAsia="宋体" w:cs="宋体"/>
          <w:sz w:val="32"/>
          <w:szCs w:val="32"/>
        </w:rPr>
        <w:t>％。</w:t>
      </w:r>
    </w:p>
    <w:p>
      <w:pPr>
        <w:keepNext w:val="0"/>
        <w:keepLines w:val="0"/>
        <w:pageBreakBefore w:val="0"/>
        <w:widowControl w:val="0"/>
        <w:kinsoku/>
        <w:wordWrap/>
        <w:overflowPunct/>
        <w:topLinePunct w:val="0"/>
        <w:autoSpaceDE/>
        <w:autoSpaceDN/>
        <w:bidi w:val="0"/>
        <w:adjustRightInd/>
        <w:snapToGrid/>
        <w:spacing w:line="520" w:lineRule="exact"/>
        <w:ind w:right="0" w:rightChars="0" w:firstLine="643" w:firstLineChars="200"/>
        <w:textAlignment w:val="auto"/>
        <w:outlineLvl w:val="9"/>
        <w:rPr>
          <w:rFonts w:hint="eastAsia" w:ascii="宋体" w:hAnsi="宋体" w:eastAsia="宋体" w:cs="宋体"/>
          <w:b/>
          <w:sz w:val="32"/>
          <w:szCs w:val="32"/>
          <w:lang w:eastAsia="zh-CN"/>
        </w:rPr>
      </w:pPr>
      <w:r>
        <w:rPr>
          <w:rFonts w:hint="eastAsia" w:ascii="宋体" w:hAnsi="宋体" w:eastAsia="宋体" w:cs="宋体"/>
          <w:b/>
          <w:sz w:val="32"/>
          <w:szCs w:val="32"/>
        </w:rPr>
        <w:t>（</w:t>
      </w:r>
      <w:r>
        <w:rPr>
          <w:rFonts w:hint="eastAsia" w:ascii="宋体" w:hAnsi="宋体" w:eastAsia="宋体" w:cs="宋体"/>
          <w:b/>
          <w:sz w:val="32"/>
          <w:szCs w:val="32"/>
          <w:lang w:eastAsia="zh-CN"/>
        </w:rPr>
        <w:t>六</w:t>
      </w:r>
      <w:r>
        <w:rPr>
          <w:rFonts w:hint="eastAsia" w:ascii="宋体" w:hAnsi="宋体" w:eastAsia="宋体" w:cs="宋体"/>
          <w:b/>
          <w:sz w:val="32"/>
          <w:szCs w:val="32"/>
        </w:rPr>
        <w:t>）政府采购</w:t>
      </w:r>
      <w:r>
        <w:rPr>
          <w:rFonts w:hint="eastAsia" w:ascii="宋体" w:hAnsi="宋体" w:eastAsia="宋体" w:cs="宋体"/>
          <w:b/>
          <w:sz w:val="32"/>
          <w:szCs w:val="32"/>
          <w:lang w:eastAsia="zh-CN"/>
        </w:rPr>
        <w:t>情况</w:t>
      </w:r>
    </w:p>
    <w:p>
      <w:pPr>
        <w:ind w:firstLine="604" w:firstLineChars="189"/>
        <w:rPr>
          <w:rFonts w:hint="eastAsia" w:ascii="宋体" w:hAnsi="宋体" w:eastAsia="宋体" w:cs="宋体"/>
          <w:b/>
          <w:sz w:val="32"/>
          <w:szCs w:val="32"/>
          <w:lang w:eastAsia="zh-CN"/>
        </w:rPr>
      </w:pPr>
      <w:r>
        <w:rPr>
          <w:rFonts w:hint="eastAsia" w:ascii="宋体" w:hAnsi="宋体" w:eastAsia="宋体" w:cs="宋体"/>
          <w:sz w:val="32"/>
          <w:szCs w:val="32"/>
          <w:lang w:val="en-US" w:eastAsia="zh-CN"/>
        </w:rPr>
        <w:t>2019</w:t>
      </w:r>
      <w:r>
        <w:rPr>
          <w:rFonts w:hint="eastAsia" w:ascii="宋体" w:hAnsi="宋体" w:eastAsia="宋体" w:cs="宋体"/>
          <w:sz w:val="32"/>
          <w:szCs w:val="32"/>
        </w:rPr>
        <w:t>年部门所属各单位政府采购总额</w:t>
      </w:r>
      <w:r>
        <w:rPr>
          <w:rFonts w:hint="eastAsia" w:ascii="宋体" w:hAnsi="宋体" w:eastAsia="宋体" w:cs="宋体"/>
          <w:sz w:val="32"/>
          <w:szCs w:val="32"/>
          <w:u w:val="none"/>
          <w:lang w:val="en-US" w:eastAsia="zh-CN"/>
        </w:rPr>
        <w:t>0</w:t>
      </w:r>
      <w:r>
        <w:rPr>
          <w:rFonts w:hint="eastAsia" w:ascii="宋体" w:hAnsi="宋体" w:eastAsia="宋体" w:cs="宋体"/>
          <w:sz w:val="32"/>
          <w:szCs w:val="32"/>
        </w:rPr>
        <w:t>万元，其中：政府采购货物预算</w:t>
      </w:r>
      <w:r>
        <w:rPr>
          <w:rFonts w:hint="eastAsia" w:ascii="宋体" w:hAnsi="宋体" w:eastAsia="宋体" w:cs="宋体"/>
          <w:sz w:val="32"/>
          <w:szCs w:val="32"/>
          <w:u w:val="none"/>
          <w:lang w:val="en-US" w:eastAsia="zh-CN"/>
        </w:rPr>
        <w:t>0</w:t>
      </w:r>
      <w:r>
        <w:rPr>
          <w:rFonts w:hint="eastAsia" w:ascii="宋体" w:hAnsi="宋体" w:eastAsia="宋体" w:cs="宋体"/>
          <w:sz w:val="32"/>
          <w:szCs w:val="32"/>
        </w:rPr>
        <w:t>万元、政府采购工程预算</w:t>
      </w:r>
      <w:r>
        <w:rPr>
          <w:rFonts w:hint="eastAsia" w:ascii="宋体" w:hAnsi="宋体" w:eastAsia="宋体" w:cs="宋体"/>
          <w:sz w:val="32"/>
          <w:szCs w:val="32"/>
          <w:u w:val="none"/>
          <w:lang w:val="en-US" w:eastAsia="zh-CN"/>
        </w:rPr>
        <w:t>0</w:t>
      </w:r>
      <w:r>
        <w:rPr>
          <w:rFonts w:hint="eastAsia" w:ascii="宋体" w:hAnsi="宋体" w:eastAsia="宋体" w:cs="宋体"/>
          <w:sz w:val="32"/>
          <w:szCs w:val="32"/>
        </w:rPr>
        <w:t>万元、政府采购服务预算</w:t>
      </w:r>
      <w:r>
        <w:rPr>
          <w:rFonts w:hint="eastAsia" w:ascii="宋体" w:hAnsi="宋体" w:eastAsia="宋体" w:cs="宋体"/>
          <w:sz w:val="32"/>
          <w:szCs w:val="32"/>
          <w:u w:val="none"/>
          <w:lang w:val="en-US" w:eastAsia="zh-CN"/>
        </w:rPr>
        <w:t>0</w:t>
      </w:r>
      <w:r>
        <w:rPr>
          <w:rFonts w:hint="eastAsia" w:ascii="宋体" w:hAnsi="宋体" w:eastAsia="宋体" w:cs="宋体"/>
          <w:sz w:val="32"/>
          <w:szCs w:val="32"/>
        </w:rPr>
        <w:t>万元。</w:t>
      </w:r>
    </w:p>
    <w:p>
      <w:pPr>
        <w:keepNext w:val="0"/>
        <w:keepLines w:val="0"/>
        <w:pageBreakBefore w:val="0"/>
        <w:numPr>
          <w:ilvl w:val="0"/>
          <w:numId w:val="0"/>
        </w:numPr>
        <w:kinsoku/>
        <w:wordWrap/>
        <w:overflowPunct/>
        <w:topLinePunct w:val="0"/>
        <w:autoSpaceDE/>
        <w:autoSpaceDN/>
        <w:bidi w:val="0"/>
        <w:adjustRightInd/>
        <w:snapToGrid/>
        <w:spacing w:line="520" w:lineRule="exact"/>
        <w:ind w:leftChars="200" w:right="0" w:rightChars="0"/>
        <w:textAlignment w:val="auto"/>
        <w:outlineLvl w:val="9"/>
        <w:rPr>
          <w:rFonts w:hint="eastAsia" w:ascii="宋体" w:hAnsi="宋体" w:eastAsia="宋体" w:cs="宋体"/>
          <w:b/>
          <w:sz w:val="32"/>
          <w:szCs w:val="32"/>
        </w:rPr>
      </w:pPr>
      <w:r>
        <w:rPr>
          <w:rFonts w:hint="eastAsia" w:ascii="宋体" w:hAnsi="宋体" w:eastAsia="宋体" w:cs="宋体"/>
          <w:b/>
          <w:sz w:val="32"/>
          <w:szCs w:val="32"/>
          <w:lang w:eastAsia="zh-CN"/>
        </w:rPr>
        <w:t>（七）</w:t>
      </w:r>
      <w:r>
        <w:rPr>
          <w:rFonts w:hint="eastAsia" w:ascii="宋体" w:hAnsi="宋体" w:eastAsia="宋体" w:cs="宋体"/>
          <w:b/>
          <w:sz w:val="32"/>
          <w:szCs w:val="32"/>
        </w:rPr>
        <w:t>国有资产占用情况</w:t>
      </w:r>
    </w:p>
    <w:p>
      <w:pPr>
        <w:keepNext w:val="0"/>
        <w:keepLines w:val="0"/>
        <w:pageBreakBefore w:val="0"/>
        <w:kinsoku/>
        <w:wordWrap/>
        <w:overflowPunct/>
        <w:topLinePunct w:val="0"/>
        <w:autoSpaceDE/>
        <w:autoSpaceDN/>
        <w:bidi w:val="0"/>
        <w:adjustRightInd/>
        <w:snapToGrid/>
        <w:spacing w:line="520" w:lineRule="exact"/>
        <w:ind w:left="0" w:leftChars="0" w:right="0" w:rightChars="0" w:firstLine="640" w:firstLineChars="200"/>
        <w:textAlignment w:val="auto"/>
        <w:outlineLvl w:val="9"/>
        <w:rPr>
          <w:rFonts w:hint="eastAsia" w:ascii="宋体" w:hAnsi="宋体" w:eastAsia="宋体" w:cs="宋体"/>
          <w:sz w:val="32"/>
          <w:szCs w:val="32"/>
        </w:rPr>
      </w:pPr>
      <w:r>
        <w:rPr>
          <w:rFonts w:hint="eastAsia" w:ascii="宋体" w:hAnsi="宋体" w:eastAsia="宋体" w:cs="宋体"/>
          <w:sz w:val="32"/>
          <w:szCs w:val="32"/>
        </w:rPr>
        <w:t>截止20</w:t>
      </w:r>
      <w:r>
        <w:rPr>
          <w:rFonts w:hint="eastAsia" w:ascii="宋体" w:hAnsi="宋体" w:eastAsia="宋体" w:cs="宋体"/>
          <w:sz w:val="32"/>
          <w:szCs w:val="32"/>
          <w:lang w:val="en-US" w:eastAsia="zh-CN"/>
        </w:rPr>
        <w:t>19</w:t>
      </w:r>
      <w:r>
        <w:rPr>
          <w:rFonts w:hint="eastAsia" w:ascii="宋体" w:hAnsi="宋体" w:eastAsia="宋体" w:cs="宋体"/>
          <w:sz w:val="32"/>
          <w:szCs w:val="32"/>
        </w:rPr>
        <w:t>年12月31日，本部门共有车辆</w:t>
      </w:r>
      <w:r>
        <w:rPr>
          <w:rFonts w:hint="eastAsia" w:ascii="宋体" w:hAnsi="宋体" w:eastAsia="宋体" w:cs="宋体"/>
          <w:sz w:val="32"/>
          <w:szCs w:val="32"/>
          <w:lang w:val="en-US" w:eastAsia="zh-CN"/>
        </w:rPr>
        <w:t>0</w:t>
      </w:r>
      <w:r>
        <w:rPr>
          <w:rFonts w:hint="eastAsia" w:ascii="宋体" w:hAnsi="宋体" w:eastAsia="宋体" w:cs="宋体"/>
          <w:sz w:val="32"/>
          <w:szCs w:val="32"/>
        </w:rPr>
        <w:t>辆，其中，主要领导干部用车</w:t>
      </w:r>
      <w:r>
        <w:rPr>
          <w:rFonts w:hint="eastAsia" w:ascii="宋体" w:hAnsi="宋体" w:eastAsia="宋体" w:cs="宋体"/>
          <w:sz w:val="32"/>
          <w:szCs w:val="32"/>
          <w:lang w:val="en-US" w:eastAsia="zh-CN"/>
        </w:rPr>
        <w:t>0</w:t>
      </w:r>
      <w:r>
        <w:rPr>
          <w:rFonts w:hint="eastAsia" w:ascii="宋体" w:hAnsi="宋体" w:eastAsia="宋体" w:cs="宋体"/>
          <w:sz w:val="32"/>
          <w:szCs w:val="32"/>
        </w:rPr>
        <w:t>辆、机要通信用车</w:t>
      </w:r>
      <w:r>
        <w:rPr>
          <w:rFonts w:hint="eastAsia" w:ascii="宋体" w:hAnsi="宋体" w:eastAsia="宋体" w:cs="宋体"/>
          <w:sz w:val="32"/>
          <w:szCs w:val="32"/>
          <w:lang w:val="en-US" w:eastAsia="zh-CN"/>
        </w:rPr>
        <w:t>0</w:t>
      </w:r>
      <w:r>
        <w:rPr>
          <w:rFonts w:hint="eastAsia" w:ascii="宋体" w:hAnsi="宋体" w:eastAsia="宋体" w:cs="宋体"/>
          <w:sz w:val="32"/>
          <w:szCs w:val="32"/>
        </w:rPr>
        <w:t>辆、应急保障用车</w:t>
      </w:r>
      <w:r>
        <w:rPr>
          <w:rFonts w:hint="eastAsia" w:ascii="宋体" w:hAnsi="宋体" w:eastAsia="宋体" w:cs="宋体"/>
          <w:sz w:val="32"/>
          <w:szCs w:val="32"/>
          <w:lang w:val="en-US" w:eastAsia="zh-CN"/>
        </w:rPr>
        <w:t>0</w:t>
      </w:r>
      <w:r>
        <w:rPr>
          <w:rFonts w:hint="eastAsia" w:ascii="宋体" w:hAnsi="宋体" w:eastAsia="宋体" w:cs="宋体"/>
          <w:sz w:val="32"/>
          <w:szCs w:val="32"/>
        </w:rPr>
        <w:t>辆、执法执勤用车</w:t>
      </w:r>
      <w:r>
        <w:rPr>
          <w:rFonts w:hint="eastAsia" w:ascii="宋体" w:hAnsi="宋体" w:eastAsia="宋体" w:cs="宋体"/>
          <w:sz w:val="32"/>
          <w:szCs w:val="32"/>
          <w:lang w:val="en-US" w:eastAsia="zh-CN"/>
        </w:rPr>
        <w:t>0</w:t>
      </w:r>
      <w:r>
        <w:rPr>
          <w:rFonts w:hint="eastAsia" w:ascii="宋体" w:hAnsi="宋体" w:eastAsia="宋体" w:cs="宋体"/>
          <w:sz w:val="32"/>
          <w:szCs w:val="32"/>
        </w:rPr>
        <w:t>辆、特种专业技术用车</w:t>
      </w:r>
      <w:r>
        <w:rPr>
          <w:rFonts w:hint="eastAsia" w:ascii="宋体" w:hAnsi="宋体" w:eastAsia="宋体" w:cs="宋体"/>
          <w:sz w:val="32"/>
          <w:szCs w:val="32"/>
          <w:lang w:val="en-US" w:eastAsia="zh-CN"/>
        </w:rPr>
        <w:t>0</w:t>
      </w:r>
      <w:r>
        <w:rPr>
          <w:rFonts w:hint="eastAsia" w:ascii="宋体" w:hAnsi="宋体" w:eastAsia="宋体" w:cs="宋体"/>
          <w:sz w:val="32"/>
          <w:szCs w:val="32"/>
        </w:rPr>
        <w:t>辆、其他用车</w:t>
      </w:r>
      <w:r>
        <w:rPr>
          <w:rFonts w:hint="eastAsia" w:ascii="宋体" w:hAnsi="宋体" w:eastAsia="宋体" w:cs="宋体"/>
          <w:sz w:val="32"/>
          <w:szCs w:val="32"/>
          <w:lang w:val="en-US" w:eastAsia="zh-CN"/>
        </w:rPr>
        <w:t>0</w:t>
      </w:r>
      <w:r>
        <w:rPr>
          <w:rFonts w:hint="eastAsia" w:ascii="宋体" w:hAnsi="宋体" w:eastAsia="宋体" w:cs="宋体"/>
          <w:sz w:val="32"/>
          <w:szCs w:val="32"/>
        </w:rPr>
        <w:t>辆；单位价值50万元以上通用设备</w:t>
      </w:r>
      <w:r>
        <w:rPr>
          <w:rFonts w:hint="eastAsia" w:ascii="宋体" w:hAnsi="宋体" w:eastAsia="宋体" w:cs="宋体"/>
          <w:sz w:val="32"/>
          <w:szCs w:val="32"/>
          <w:lang w:val="en-US" w:eastAsia="zh-CN"/>
        </w:rPr>
        <w:t>0</w:t>
      </w:r>
      <w:r>
        <w:rPr>
          <w:rFonts w:hint="eastAsia" w:ascii="宋体" w:hAnsi="宋体" w:eastAsia="宋体" w:cs="宋体"/>
          <w:sz w:val="32"/>
          <w:szCs w:val="32"/>
        </w:rPr>
        <w:t>台（套）；单位价值100万元以上专用设备</w:t>
      </w:r>
      <w:r>
        <w:rPr>
          <w:rFonts w:hint="eastAsia" w:ascii="宋体" w:hAnsi="宋体" w:eastAsia="宋体" w:cs="宋体"/>
          <w:sz w:val="32"/>
          <w:szCs w:val="32"/>
          <w:lang w:val="en-US" w:eastAsia="zh-CN"/>
        </w:rPr>
        <w:t>0</w:t>
      </w:r>
      <w:r>
        <w:rPr>
          <w:rFonts w:hint="eastAsia" w:ascii="宋体" w:hAnsi="宋体" w:eastAsia="宋体" w:cs="宋体"/>
          <w:sz w:val="32"/>
          <w:szCs w:val="32"/>
        </w:rPr>
        <w:t>台（套）。</w:t>
      </w:r>
    </w:p>
    <w:p>
      <w:pPr>
        <w:keepNext w:val="0"/>
        <w:keepLines w:val="0"/>
        <w:pageBreakBefore w:val="0"/>
        <w:numPr>
          <w:ilvl w:val="0"/>
          <w:numId w:val="0"/>
        </w:numPr>
        <w:kinsoku/>
        <w:wordWrap/>
        <w:overflowPunct/>
        <w:topLinePunct w:val="0"/>
        <w:autoSpaceDE/>
        <w:autoSpaceDN/>
        <w:bidi w:val="0"/>
        <w:adjustRightInd/>
        <w:snapToGrid/>
        <w:spacing w:line="520" w:lineRule="exact"/>
        <w:ind w:right="0" w:rightChars="0" w:firstLine="643" w:firstLineChars="200"/>
        <w:textAlignment w:val="auto"/>
        <w:outlineLvl w:val="9"/>
        <w:rPr>
          <w:rFonts w:hint="eastAsia" w:ascii="宋体" w:hAnsi="宋体" w:eastAsia="宋体" w:cs="宋体"/>
          <w:b/>
          <w:sz w:val="32"/>
          <w:szCs w:val="32"/>
          <w:lang w:eastAsia="zh-CN"/>
        </w:rPr>
      </w:pPr>
      <w:r>
        <w:rPr>
          <w:rFonts w:hint="eastAsia" w:ascii="宋体" w:hAnsi="宋体" w:eastAsia="宋体" w:cs="宋体"/>
          <w:b/>
          <w:sz w:val="32"/>
          <w:szCs w:val="32"/>
        </w:rPr>
        <w:t>（</w:t>
      </w:r>
      <w:r>
        <w:rPr>
          <w:rFonts w:hint="eastAsia" w:ascii="宋体" w:hAnsi="宋体" w:eastAsia="宋体" w:cs="宋体"/>
          <w:b/>
          <w:sz w:val="32"/>
          <w:szCs w:val="32"/>
          <w:lang w:eastAsia="zh-CN"/>
        </w:rPr>
        <w:t>八</w:t>
      </w:r>
      <w:r>
        <w:rPr>
          <w:rFonts w:hint="eastAsia" w:ascii="宋体" w:hAnsi="宋体" w:eastAsia="宋体" w:cs="宋体"/>
          <w:b/>
          <w:sz w:val="32"/>
          <w:szCs w:val="32"/>
        </w:rPr>
        <w:t>）</w:t>
      </w:r>
      <w:r>
        <w:rPr>
          <w:rFonts w:hint="eastAsia" w:ascii="宋体" w:hAnsi="宋体" w:eastAsia="宋体" w:cs="宋体"/>
          <w:b/>
          <w:sz w:val="32"/>
          <w:szCs w:val="32"/>
          <w:lang w:eastAsia="zh-CN"/>
        </w:rPr>
        <w:t>重点项目预算的绩效目标等预算绩效情况说明</w:t>
      </w:r>
    </w:p>
    <w:p>
      <w:pPr>
        <w:keepNext w:val="0"/>
        <w:keepLines w:val="0"/>
        <w:pageBreakBefore w:val="0"/>
        <w:kinsoku/>
        <w:wordWrap/>
        <w:overflowPunct/>
        <w:topLinePunct w:val="0"/>
        <w:autoSpaceDE/>
        <w:autoSpaceDN/>
        <w:bidi w:val="0"/>
        <w:adjustRightInd/>
        <w:snapToGrid/>
        <w:spacing w:line="520" w:lineRule="exact"/>
        <w:ind w:left="0" w:leftChars="0" w:right="0" w:rightChars="0" w:firstLine="640" w:firstLineChars="200"/>
        <w:textAlignment w:val="auto"/>
        <w:outlineLvl w:val="9"/>
        <w:rPr>
          <w:rFonts w:hint="eastAsia" w:ascii="宋体" w:hAnsi="宋体" w:eastAsia="宋体" w:cs="宋体"/>
          <w:sz w:val="32"/>
          <w:szCs w:val="32"/>
          <w:lang w:eastAsia="zh-CN"/>
        </w:rPr>
      </w:pPr>
      <w:r>
        <w:rPr>
          <w:rFonts w:hint="eastAsia" w:ascii="宋体" w:hAnsi="宋体" w:eastAsia="宋体" w:cs="宋体"/>
          <w:sz w:val="32"/>
          <w:szCs w:val="32"/>
          <w:lang w:eastAsia="zh-CN"/>
        </w:rPr>
        <w:t>2019年本单位无重点项目预算。</w:t>
      </w:r>
    </w:p>
    <w:p>
      <w:pPr>
        <w:keepNext w:val="0"/>
        <w:keepLines w:val="0"/>
        <w:pageBreakBefore w:val="0"/>
        <w:kinsoku/>
        <w:wordWrap/>
        <w:overflowPunct/>
        <w:topLinePunct w:val="0"/>
        <w:autoSpaceDE/>
        <w:autoSpaceDN/>
        <w:bidi w:val="0"/>
        <w:adjustRightInd/>
        <w:snapToGrid/>
        <w:spacing w:line="520" w:lineRule="exact"/>
        <w:ind w:left="0" w:leftChars="0" w:right="0" w:rightChars="0" w:firstLine="643" w:firstLineChars="200"/>
        <w:textAlignment w:val="auto"/>
        <w:outlineLvl w:val="9"/>
        <w:rPr>
          <w:rFonts w:hint="eastAsia" w:ascii="宋体" w:hAnsi="宋体" w:eastAsia="宋体" w:cs="宋体"/>
          <w:b/>
          <w:sz w:val="32"/>
          <w:szCs w:val="32"/>
          <w:lang w:val="en-US" w:eastAsia="zh-CN"/>
        </w:rPr>
      </w:pPr>
      <w:r>
        <w:rPr>
          <w:rFonts w:hint="eastAsia" w:ascii="宋体" w:hAnsi="宋体" w:eastAsia="宋体" w:cs="宋体"/>
          <w:b/>
          <w:sz w:val="32"/>
          <w:szCs w:val="32"/>
          <w:lang w:val="en-US" w:eastAsia="zh-CN"/>
        </w:rPr>
        <w:t>二、2019年“三公”经费预算情况说明</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2019年“三公”经费年初预算安排0万元。</w:t>
      </w:r>
    </w:p>
    <w:p>
      <w:pPr>
        <w:pStyle w:val="3"/>
        <w:keepNext w:val="0"/>
        <w:keepLines w:val="0"/>
        <w:pageBreakBefore w:val="0"/>
        <w:kinsoku/>
        <w:wordWrap/>
        <w:overflowPunct/>
        <w:topLinePunct w:val="0"/>
        <w:autoSpaceDE/>
        <w:autoSpaceDN/>
        <w:bidi w:val="0"/>
        <w:adjustRightInd/>
        <w:snapToGrid/>
        <w:spacing w:line="520" w:lineRule="exact"/>
        <w:ind w:firstLine="663" w:firstLineChars="200"/>
        <w:textAlignment w:val="auto"/>
        <w:rPr>
          <w:rFonts w:hint="eastAsia" w:ascii="宋体" w:hAnsi="宋体" w:eastAsia="宋体" w:cs="宋体"/>
          <w:b/>
          <w:color w:val="000000"/>
          <w:sz w:val="32"/>
          <w:szCs w:val="32"/>
        </w:rPr>
      </w:pPr>
      <w:r>
        <w:rPr>
          <w:rStyle w:val="6"/>
          <w:rFonts w:hint="eastAsia" w:ascii="宋体" w:hAnsi="宋体" w:eastAsia="宋体" w:cs="宋体"/>
          <w:sz w:val="32"/>
          <w:szCs w:val="32"/>
        </w:rPr>
        <w:t>第三部分</w:t>
      </w:r>
      <w:r>
        <w:rPr>
          <w:rFonts w:hint="eastAsia" w:ascii="宋体" w:hAnsi="宋体" w:eastAsia="宋体" w:cs="宋体"/>
          <w:color w:val="000000"/>
          <w:sz w:val="32"/>
          <w:szCs w:val="32"/>
        </w:rPr>
        <w:t xml:space="preserve">  </w:t>
      </w:r>
      <w:r>
        <w:rPr>
          <w:rStyle w:val="6"/>
          <w:rFonts w:hint="eastAsia" w:ascii="宋体" w:hAnsi="宋体" w:eastAsia="宋体" w:cs="宋体"/>
          <w:sz w:val="32"/>
          <w:szCs w:val="32"/>
          <w:lang w:eastAsia="zh-CN"/>
        </w:rPr>
        <w:t>兴国县侨联</w:t>
      </w:r>
      <w:r>
        <w:rPr>
          <w:rFonts w:hint="eastAsia" w:ascii="宋体" w:hAnsi="宋体" w:eastAsia="宋体" w:cs="宋体"/>
          <w:b/>
          <w:color w:val="000000"/>
          <w:sz w:val="32"/>
          <w:szCs w:val="32"/>
        </w:rPr>
        <w:t>2019年部门预算表</w:t>
      </w:r>
    </w:p>
    <w:p>
      <w:pPr>
        <w:pStyle w:val="3"/>
        <w:keepNext w:val="0"/>
        <w:keepLines w:val="0"/>
        <w:pageBreakBefore w:val="0"/>
        <w:kinsoku/>
        <w:wordWrap/>
        <w:overflowPunct/>
        <w:topLinePunct w:val="0"/>
        <w:autoSpaceDE/>
        <w:autoSpaceDN/>
        <w:bidi w:val="0"/>
        <w:adjustRightInd/>
        <w:snapToGrid/>
        <w:spacing w:line="520" w:lineRule="exact"/>
        <w:ind w:firstLine="560"/>
        <w:textAlignment w:val="auto"/>
        <w:rPr>
          <w:rFonts w:hint="eastAsia" w:ascii="宋体" w:hAnsi="宋体" w:eastAsia="宋体" w:cs="宋体"/>
          <w:kern w:val="2"/>
          <w:sz w:val="32"/>
          <w:szCs w:val="32"/>
          <w:lang w:val="en-US" w:eastAsia="zh-CN" w:bidi="ar-SA"/>
        </w:rPr>
      </w:pPr>
      <w:r>
        <w:rPr>
          <w:rFonts w:hint="eastAsia" w:ascii="宋体" w:hAnsi="宋体" w:eastAsia="宋体" w:cs="宋体"/>
          <w:kern w:val="2"/>
          <w:sz w:val="32"/>
          <w:szCs w:val="32"/>
          <w:lang w:val="en-US" w:eastAsia="zh-CN" w:bidi="ar-SA"/>
        </w:rPr>
        <w:t>兴国县侨联2019年部门预算公开表格（详见附表）</w:t>
      </w:r>
    </w:p>
    <w:p>
      <w:pPr>
        <w:ind w:firstLine="607" w:firstLineChars="189"/>
        <w:jc w:val="center"/>
        <w:rPr>
          <w:rFonts w:hint="eastAsia" w:ascii="宋体" w:hAnsi="宋体" w:eastAsia="宋体" w:cs="宋体"/>
          <w:b/>
          <w:bCs/>
          <w:sz w:val="32"/>
          <w:szCs w:val="32"/>
        </w:rPr>
      </w:pPr>
      <w:r>
        <w:rPr>
          <w:rFonts w:hint="eastAsia" w:ascii="宋体" w:hAnsi="宋体" w:eastAsia="宋体" w:cs="宋体"/>
          <w:b/>
          <w:bCs/>
          <w:sz w:val="32"/>
          <w:szCs w:val="32"/>
        </w:rPr>
        <w:t>第四部分名词解释</w:t>
      </w:r>
    </w:p>
    <w:p>
      <w:pPr>
        <w:ind w:firstLine="607" w:firstLineChars="189"/>
        <w:rPr>
          <w:rFonts w:hint="eastAsia" w:ascii="宋体" w:hAnsi="宋体" w:eastAsia="宋体" w:cs="宋体"/>
          <w:b/>
          <w:bCs/>
          <w:sz w:val="32"/>
          <w:szCs w:val="32"/>
        </w:rPr>
      </w:pPr>
      <w:r>
        <w:rPr>
          <w:rFonts w:hint="eastAsia" w:ascii="宋体" w:hAnsi="宋体" w:eastAsia="宋体" w:cs="宋体"/>
          <w:b/>
          <w:bCs/>
          <w:sz w:val="32"/>
          <w:szCs w:val="32"/>
        </w:rPr>
        <w:t>一、收入科目</w:t>
      </w:r>
    </w:p>
    <w:p>
      <w:pPr>
        <w:ind w:firstLine="604" w:firstLineChars="189"/>
        <w:rPr>
          <w:rFonts w:hint="eastAsia" w:ascii="宋体" w:hAnsi="宋体" w:eastAsia="宋体" w:cs="宋体"/>
          <w:sz w:val="32"/>
          <w:szCs w:val="32"/>
        </w:rPr>
      </w:pPr>
      <w:r>
        <w:rPr>
          <w:rFonts w:hint="eastAsia" w:ascii="宋体" w:hAnsi="宋体" w:eastAsia="宋体" w:cs="宋体"/>
          <w:sz w:val="32"/>
          <w:szCs w:val="32"/>
        </w:rPr>
        <w:t>各部门结合实际进行解释。</w:t>
      </w:r>
    </w:p>
    <w:p>
      <w:pPr>
        <w:ind w:firstLine="604" w:firstLineChars="189"/>
        <w:rPr>
          <w:rFonts w:hint="eastAsia" w:ascii="宋体" w:hAnsi="宋体" w:eastAsia="宋体" w:cs="宋体"/>
          <w:sz w:val="32"/>
          <w:szCs w:val="32"/>
        </w:rPr>
      </w:pPr>
      <w:r>
        <w:rPr>
          <w:rFonts w:hint="eastAsia" w:ascii="宋体" w:hAnsi="宋体" w:eastAsia="宋体" w:cs="宋体"/>
          <w:sz w:val="32"/>
          <w:szCs w:val="32"/>
        </w:rPr>
        <w:t>（一）财政拨款：指县本级财政当年拨付的资金。</w:t>
      </w:r>
    </w:p>
    <w:p>
      <w:pPr>
        <w:ind w:firstLine="604" w:firstLineChars="189"/>
        <w:rPr>
          <w:rFonts w:hint="eastAsia" w:ascii="宋体" w:hAnsi="宋体" w:eastAsia="宋体" w:cs="宋体"/>
          <w:sz w:val="32"/>
          <w:szCs w:val="32"/>
        </w:rPr>
      </w:pPr>
      <w:r>
        <w:rPr>
          <w:rFonts w:hint="eastAsia" w:ascii="宋体" w:hAnsi="宋体" w:eastAsia="宋体" w:cs="宋体"/>
          <w:sz w:val="32"/>
          <w:szCs w:val="32"/>
        </w:rPr>
        <w:t>（二）事业收入：指事业单位开展专业业务活动及辅助活动取得的收入。</w:t>
      </w:r>
    </w:p>
    <w:p>
      <w:pPr>
        <w:ind w:firstLine="604" w:firstLineChars="189"/>
        <w:rPr>
          <w:rFonts w:hint="eastAsia" w:ascii="宋体" w:hAnsi="宋体" w:eastAsia="宋体" w:cs="宋体"/>
          <w:sz w:val="32"/>
          <w:szCs w:val="32"/>
        </w:rPr>
      </w:pPr>
      <w:r>
        <w:rPr>
          <w:rFonts w:hint="eastAsia" w:ascii="宋体" w:hAnsi="宋体" w:eastAsia="宋体" w:cs="宋体"/>
          <w:sz w:val="32"/>
          <w:szCs w:val="32"/>
        </w:rPr>
        <w:t>（三）事业单位经营收入：指事业单位在专业业务活动及辅助活动之外开展非独立核算经营活动取得的收入。</w:t>
      </w:r>
    </w:p>
    <w:p>
      <w:pPr>
        <w:ind w:firstLine="604" w:firstLineChars="189"/>
        <w:rPr>
          <w:rFonts w:hint="eastAsia" w:ascii="宋体" w:hAnsi="宋体" w:eastAsia="宋体" w:cs="宋体"/>
          <w:sz w:val="32"/>
          <w:szCs w:val="32"/>
        </w:rPr>
      </w:pPr>
      <w:r>
        <w:rPr>
          <w:rFonts w:hint="eastAsia" w:ascii="宋体" w:hAnsi="宋体" w:eastAsia="宋体" w:cs="宋体"/>
          <w:sz w:val="32"/>
          <w:szCs w:val="32"/>
        </w:rPr>
        <w:t>（四）其他收入：指除财政拨款、事业收入、事业单位经营收入等以外的各项收入。</w:t>
      </w:r>
    </w:p>
    <w:p>
      <w:pPr>
        <w:ind w:firstLine="604" w:firstLineChars="189"/>
        <w:rPr>
          <w:rFonts w:hint="eastAsia" w:ascii="宋体" w:hAnsi="宋体" w:eastAsia="宋体" w:cs="宋体"/>
          <w:sz w:val="32"/>
          <w:szCs w:val="32"/>
        </w:rPr>
      </w:pPr>
      <w:r>
        <w:rPr>
          <w:rFonts w:hint="eastAsia" w:ascii="宋体" w:hAnsi="宋体" w:eastAsia="宋体" w:cs="宋体"/>
          <w:sz w:val="32"/>
          <w:szCs w:val="32"/>
        </w:rPr>
        <w:t>（五）附属单位上缴收入：反映事业单位附属的独立核算单位按规定标准或比例缴纳的各项收入。包括附属的事业单位上缴的收入和附属的企业上缴的利润等。</w:t>
      </w:r>
    </w:p>
    <w:p>
      <w:pPr>
        <w:ind w:firstLine="604" w:firstLineChars="189"/>
        <w:rPr>
          <w:rFonts w:hint="eastAsia" w:ascii="宋体" w:hAnsi="宋体" w:eastAsia="宋体" w:cs="宋体"/>
          <w:sz w:val="32"/>
          <w:szCs w:val="32"/>
        </w:rPr>
      </w:pPr>
      <w:r>
        <w:rPr>
          <w:rFonts w:hint="eastAsia" w:ascii="宋体" w:hAnsi="宋体" w:eastAsia="宋体" w:cs="宋体"/>
          <w:sz w:val="32"/>
          <w:szCs w:val="32"/>
        </w:rPr>
        <w:t>（六）上级补助收入：反映事业单位从主管部门和上级单位取得的非财政补助收入。</w:t>
      </w:r>
    </w:p>
    <w:p>
      <w:pPr>
        <w:ind w:firstLine="604" w:firstLineChars="189"/>
        <w:rPr>
          <w:rFonts w:hint="eastAsia" w:ascii="宋体" w:hAnsi="宋体" w:eastAsia="宋体" w:cs="宋体"/>
          <w:sz w:val="32"/>
          <w:szCs w:val="32"/>
        </w:rPr>
      </w:pPr>
      <w:r>
        <w:rPr>
          <w:rFonts w:hint="eastAsia" w:ascii="宋体" w:hAnsi="宋体" w:eastAsia="宋体" w:cs="宋体"/>
          <w:sz w:val="32"/>
          <w:szCs w:val="32"/>
        </w:rPr>
        <w:t>（七）使用非财政拨款结余：填列历年滚存的非限定用途的非统计财政拨款结余弥补</w:t>
      </w:r>
      <w:r>
        <w:rPr>
          <w:rFonts w:hint="eastAsia" w:ascii="宋体" w:hAnsi="宋体" w:eastAsia="宋体" w:cs="宋体"/>
          <w:sz w:val="32"/>
          <w:szCs w:val="32"/>
          <w:lang w:val="en-US" w:eastAsia="zh-CN"/>
        </w:rPr>
        <w:t>2020</w:t>
      </w:r>
      <w:r>
        <w:rPr>
          <w:rFonts w:hint="eastAsia" w:ascii="宋体" w:hAnsi="宋体" w:eastAsia="宋体" w:cs="宋体"/>
          <w:sz w:val="32"/>
          <w:szCs w:val="32"/>
        </w:rPr>
        <w:t>年收支差额的数额。</w:t>
      </w:r>
    </w:p>
    <w:p>
      <w:pPr>
        <w:ind w:firstLine="604" w:firstLineChars="189"/>
        <w:rPr>
          <w:rFonts w:hint="eastAsia" w:ascii="宋体" w:hAnsi="宋体" w:eastAsia="宋体" w:cs="宋体"/>
          <w:sz w:val="32"/>
          <w:szCs w:val="32"/>
        </w:rPr>
      </w:pPr>
      <w:r>
        <w:rPr>
          <w:rFonts w:hint="eastAsia" w:ascii="宋体" w:hAnsi="宋体" w:eastAsia="宋体" w:cs="宋体"/>
          <w:sz w:val="32"/>
          <w:szCs w:val="32"/>
        </w:rPr>
        <w:t>（八）上年结转和结余：填列</w:t>
      </w:r>
      <w:r>
        <w:rPr>
          <w:rFonts w:hint="eastAsia" w:ascii="宋体" w:hAnsi="宋体" w:eastAsia="宋体" w:cs="宋体"/>
          <w:sz w:val="32"/>
          <w:szCs w:val="32"/>
          <w:lang w:val="en-US" w:eastAsia="zh-CN"/>
        </w:rPr>
        <w:t>2020</w:t>
      </w:r>
      <w:r>
        <w:rPr>
          <w:rFonts w:hint="eastAsia" w:ascii="宋体" w:hAnsi="宋体" w:eastAsia="宋体" w:cs="宋体"/>
          <w:sz w:val="32"/>
          <w:szCs w:val="32"/>
        </w:rPr>
        <w:t>年全部结转和结余的资金数，包括当年结转结余资金和历年滚存结转结余资金。</w:t>
      </w:r>
    </w:p>
    <w:p>
      <w:pPr>
        <w:ind w:firstLine="607" w:firstLineChars="189"/>
        <w:rPr>
          <w:rFonts w:hint="eastAsia" w:ascii="宋体" w:hAnsi="宋体" w:eastAsia="宋体" w:cs="宋体"/>
          <w:b/>
          <w:bCs/>
          <w:sz w:val="32"/>
          <w:szCs w:val="32"/>
        </w:rPr>
      </w:pPr>
      <w:r>
        <w:rPr>
          <w:rFonts w:hint="eastAsia" w:ascii="宋体" w:hAnsi="宋体" w:eastAsia="宋体" w:cs="宋体"/>
          <w:b/>
          <w:bCs/>
          <w:sz w:val="32"/>
          <w:szCs w:val="32"/>
        </w:rPr>
        <w:t>二、支出科目</w:t>
      </w:r>
    </w:p>
    <w:p>
      <w:pPr>
        <w:ind w:firstLine="604" w:firstLineChars="189"/>
        <w:rPr>
          <w:rFonts w:hint="eastAsia" w:ascii="宋体" w:hAnsi="宋体" w:eastAsia="宋体" w:cs="宋体"/>
          <w:sz w:val="32"/>
          <w:szCs w:val="32"/>
          <w:lang w:eastAsia="zh-CN"/>
        </w:rPr>
      </w:pPr>
      <w:r>
        <w:rPr>
          <w:rFonts w:hint="eastAsia" w:ascii="宋体" w:hAnsi="宋体" w:eastAsia="宋体" w:cs="宋体"/>
          <w:sz w:val="32"/>
          <w:szCs w:val="32"/>
          <w:lang w:eastAsia="zh-CN"/>
        </w:rPr>
        <w:t>（一）行政运行：反映行政单位（事业单位）的基本支出。</w:t>
      </w:r>
    </w:p>
    <w:p>
      <w:pPr>
        <w:ind w:firstLine="604" w:firstLineChars="189"/>
        <w:rPr>
          <w:rFonts w:hint="eastAsia" w:ascii="宋体" w:hAnsi="宋体" w:eastAsia="宋体" w:cs="宋体"/>
          <w:sz w:val="32"/>
          <w:szCs w:val="32"/>
          <w:lang w:eastAsia="zh-CN"/>
        </w:rPr>
      </w:pPr>
      <w:r>
        <w:rPr>
          <w:rFonts w:hint="eastAsia" w:ascii="宋体" w:hAnsi="宋体" w:eastAsia="宋体" w:cs="宋体"/>
          <w:sz w:val="32"/>
          <w:szCs w:val="32"/>
          <w:lang w:eastAsia="zh-CN"/>
        </w:rPr>
        <w:t>（二）一般行政管理事务：反映行政单位（包括事业单位）未单独设置项级科目的其他项目支出。</w:t>
      </w:r>
    </w:p>
    <w:p>
      <w:pPr>
        <w:ind w:firstLine="604" w:firstLineChars="189"/>
        <w:rPr>
          <w:rFonts w:hint="eastAsia" w:ascii="宋体" w:hAnsi="宋体" w:eastAsia="宋体" w:cs="宋体"/>
          <w:sz w:val="32"/>
          <w:szCs w:val="32"/>
          <w:lang w:eastAsia="zh-CN"/>
        </w:rPr>
      </w:pPr>
      <w:r>
        <w:rPr>
          <w:rFonts w:hint="eastAsia" w:ascii="宋体" w:hAnsi="宋体" w:eastAsia="宋体" w:cs="宋体"/>
          <w:sz w:val="32"/>
          <w:szCs w:val="32"/>
          <w:lang w:eastAsia="zh-CN"/>
        </w:rPr>
        <w:t>（三）机关事业单位基本养老保险缴费支出：反映机关事业单位实施养老保险制度由单位缴纳的基本养老保险费的支出。</w:t>
      </w:r>
    </w:p>
    <w:p>
      <w:pPr>
        <w:ind w:firstLine="604" w:firstLineChars="189"/>
        <w:rPr>
          <w:rFonts w:hint="eastAsia" w:ascii="宋体" w:hAnsi="宋体" w:eastAsia="宋体" w:cs="宋体"/>
          <w:sz w:val="32"/>
          <w:szCs w:val="32"/>
          <w:lang w:eastAsia="zh-CN"/>
        </w:rPr>
      </w:pPr>
      <w:r>
        <w:rPr>
          <w:rFonts w:hint="eastAsia" w:ascii="宋体" w:hAnsi="宋体" w:eastAsia="宋体" w:cs="宋体"/>
          <w:sz w:val="32"/>
          <w:szCs w:val="32"/>
          <w:lang w:eastAsia="zh-CN"/>
        </w:rPr>
        <w:t>（四）行政单位医疗：反映行政事业单位基本医疗保险缴费经费。</w:t>
      </w:r>
    </w:p>
    <w:p>
      <w:pPr>
        <w:ind w:firstLine="604" w:firstLineChars="189"/>
        <w:rPr>
          <w:rFonts w:hint="eastAsia" w:ascii="宋体" w:hAnsi="宋体" w:eastAsia="宋体" w:cs="宋体"/>
          <w:sz w:val="32"/>
          <w:szCs w:val="32"/>
          <w:lang w:eastAsia="zh-CN"/>
        </w:rPr>
      </w:pPr>
      <w:r>
        <w:rPr>
          <w:rFonts w:hint="eastAsia" w:ascii="宋体" w:hAnsi="宋体" w:eastAsia="宋体" w:cs="宋体"/>
          <w:sz w:val="32"/>
          <w:szCs w:val="32"/>
          <w:lang w:eastAsia="zh-CN"/>
        </w:rPr>
        <w:t>（五）事业单位医疗：反映财政部门集中安排的事业单位基本医疗保险缴费经费。</w:t>
      </w:r>
    </w:p>
    <w:p>
      <w:pPr>
        <w:ind w:firstLine="604" w:firstLineChars="189"/>
        <w:rPr>
          <w:rFonts w:hint="eastAsia" w:ascii="宋体" w:hAnsi="宋体" w:eastAsia="宋体" w:cs="宋体"/>
          <w:sz w:val="32"/>
          <w:szCs w:val="32"/>
          <w:lang w:eastAsia="zh-CN"/>
        </w:rPr>
      </w:pPr>
      <w:r>
        <w:rPr>
          <w:rFonts w:hint="eastAsia" w:ascii="宋体" w:hAnsi="宋体" w:eastAsia="宋体" w:cs="宋体"/>
          <w:sz w:val="32"/>
          <w:szCs w:val="32"/>
          <w:lang w:eastAsia="zh-CN"/>
        </w:rPr>
        <w:t>（六）死亡抚恤：反映单位遗属人员生活补助。</w:t>
      </w:r>
    </w:p>
    <w:bookmarkEnd w:id="0"/>
    <w:p>
      <w:pPr>
        <w:ind w:firstLine="604" w:firstLineChars="189"/>
        <w:rPr>
          <w:rFonts w:hint="eastAsia" w:ascii="仿宋_GB2312" w:hAnsi="仿宋_GB2312" w:eastAsia="仿宋_GB2312" w:cs="仿宋_GB2312"/>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D59C9"/>
    <w:rsid w:val="005A70A2"/>
    <w:rsid w:val="009B11CA"/>
    <w:rsid w:val="00BC4E4B"/>
    <w:rsid w:val="00CD59C9"/>
    <w:rsid w:val="03884301"/>
    <w:rsid w:val="04330130"/>
    <w:rsid w:val="072849A9"/>
    <w:rsid w:val="0B7F2260"/>
    <w:rsid w:val="0CA61A03"/>
    <w:rsid w:val="0DD159D9"/>
    <w:rsid w:val="0F0B1060"/>
    <w:rsid w:val="0F626379"/>
    <w:rsid w:val="140159C3"/>
    <w:rsid w:val="172306EA"/>
    <w:rsid w:val="17DF3A1D"/>
    <w:rsid w:val="189126A6"/>
    <w:rsid w:val="19364DED"/>
    <w:rsid w:val="1B397D9C"/>
    <w:rsid w:val="1C8F57A1"/>
    <w:rsid w:val="1F72072D"/>
    <w:rsid w:val="1FA34252"/>
    <w:rsid w:val="2263654E"/>
    <w:rsid w:val="23DF30C2"/>
    <w:rsid w:val="26B156B9"/>
    <w:rsid w:val="2ABA269F"/>
    <w:rsid w:val="2C4A4E9C"/>
    <w:rsid w:val="2D5F7A17"/>
    <w:rsid w:val="2DB458AB"/>
    <w:rsid w:val="2FDF52CD"/>
    <w:rsid w:val="33A04421"/>
    <w:rsid w:val="34630D9F"/>
    <w:rsid w:val="34C74423"/>
    <w:rsid w:val="37945A51"/>
    <w:rsid w:val="381778E9"/>
    <w:rsid w:val="3A316D14"/>
    <w:rsid w:val="3ADF45D8"/>
    <w:rsid w:val="3AFB337B"/>
    <w:rsid w:val="3C3253F9"/>
    <w:rsid w:val="3C810BF8"/>
    <w:rsid w:val="3D274988"/>
    <w:rsid w:val="408B43AF"/>
    <w:rsid w:val="42F941EE"/>
    <w:rsid w:val="46E95FCC"/>
    <w:rsid w:val="49471090"/>
    <w:rsid w:val="4AE440CB"/>
    <w:rsid w:val="4AF34749"/>
    <w:rsid w:val="4CCF658C"/>
    <w:rsid w:val="4E2563B1"/>
    <w:rsid w:val="4F4A5230"/>
    <w:rsid w:val="511C1823"/>
    <w:rsid w:val="53400DB7"/>
    <w:rsid w:val="536C0E24"/>
    <w:rsid w:val="53804E6C"/>
    <w:rsid w:val="53850F3F"/>
    <w:rsid w:val="5B1A30A9"/>
    <w:rsid w:val="5CC153FC"/>
    <w:rsid w:val="5E9170E6"/>
    <w:rsid w:val="60882CC0"/>
    <w:rsid w:val="62B9677A"/>
    <w:rsid w:val="63410715"/>
    <w:rsid w:val="63D7425D"/>
    <w:rsid w:val="63D923DC"/>
    <w:rsid w:val="65147950"/>
    <w:rsid w:val="65AD7FBB"/>
    <w:rsid w:val="67061DEC"/>
    <w:rsid w:val="69DF58BC"/>
    <w:rsid w:val="69FC67E3"/>
    <w:rsid w:val="6A3E250A"/>
    <w:rsid w:val="6A994EAA"/>
    <w:rsid w:val="6CDA742B"/>
    <w:rsid w:val="6DBC29FC"/>
    <w:rsid w:val="6E283772"/>
    <w:rsid w:val="6F787A52"/>
    <w:rsid w:val="7040089F"/>
    <w:rsid w:val="72F0526C"/>
    <w:rsid w:val="741F11D7"/>
    <w:rsid w:val="750104CB"/>
    <w:rsid w:val="7AB72295"/>
    <w:rsid w:val="7B931524"/>
    <w:rsid w:val="7C664592"/>
    <w:rsid w:val="7D2A0A8F"/>
    <w:rsid w:val="7D5172A3"/>
    <w:rsid w:val="7EA916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unhideWhenUsed/>
    <w:qFormat/>
    <w:uiPriority w:val="1"/>
  </w:style>
  <w:style w:type="table" w:default="1" w:styleId="4">
    <w:name w:val="Normal Table"/>
    <w:unhideWhenUsed/>
    <w:qFormat/>
    <w:uiPriority w:val="99"/>
    <w:tblPr>
      <w:tblCellMar>
        <w:top w:w="0" w:type="dxa"/>
        <w:left w:w="108" w:type="dxa"/>
        <w:bottom w:w="0" w:type="dxa"/>
        <w:right w:w="108" w:type="dxa"/>
      </w:tblCellMar>
    </w:tblPr>
  </w:style>
  <w:style w:type="paragraph" w:styleId="2">
    <w:name w:val="footer"/>
    <w:basedOn w:val="1"/>
    <w:unhideWhenUsed/>
    <w:qFormat/>
    <w:uiPriority w:val="0"/>
    <w:pPr>
      <w:tabs>
        <w:tab w:val="center" w:pos="4153"/>
        <w:tab w:val="right" w:pos="8306"/>
      </w:tabs>
      <w:snapToGrid w:val="0"/>
      <w:jc w:val="left"/>
    </w:pPr>
    <w:rPr>
      <w:sz w:val="18"/>
      <w:szCs w:val="18"/>
    </w:rPr>
  </w:style>
  <w:style w:type="paragraph" w:styleId="3">
    <w:name w:val="Normal (Web)"/>
    <w:basedOn w:val="1"/>
    <w:qFormat/>
    <w:uiPriority w:val="0"/>
    <w:pPr>
      <w:widowControl/>
      <w:spacing w:before="100" w:beforeLines="0" w:beforeAutospacing="1" w:after="100" w:afterLines="0" w:afterAutospacing="1"/>
      <w:jc w:val="left"/>
    </w:pPr>
    <w:rPr>
      <w:rFonts w:ascii="宋体" w:hAnsi="宋体" w:cs="宋体"/>
      <w:kern w:val="0"/>
      <w:sz w:val="24"/>
    </w:rPr>
  </w:style>
  <w:style w:type="character" w:customStyle="1" w:styleId="6">
    <w:name w:val="_Style 3"/>
    <w:basedOn w:val="5"/>
    <w:qFormat/>
    <w:uiPriority w:val="33"/>
    <w:rPr>
      <w:b/>
      <w:bCs/>
      <w:smallCaps/>
      <w:spacing w:val="5"/>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E97185D-61D0-4AD5-BA69-37E25F27D154}">
  <ds:schemaRefs/>
</ds:datastoreItem>
</file>

<file path=docProps/app.xml><?xml version="1.0" encoding="utf-8"?>
<Properties xmlns="http://schemas.openxmlformats.org/officeDocument/2006/extended-properties" xmlns:vt="http://schemas.openxmlformats.org/officeDocument/2006/docPropsVTypes">
  <Template>Normal</Template>
  <Pages>10</Pages>
  <Words>703</Words>
  <Characters>4008</Characters>
  <Lines>33</Lines>
  <Paragraphs>9</Paragraphs>
  <TotalTime>3</TotalTime>
  <ScaleCrop>false</ScaleCrop>
  <LinksUpToDate>false</LinksUpToDate>
  <CharactersWithSpaces>4702</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2021-06-02T03:29:51Z</dcterms:modified>
  <dc:title>江西省公安厅2016年部门预算</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2E552553C303430D8A63E73C07E71ECA</vt:lpwstr>
  </property>
</Properties>
</file>