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兴国县文学艺术联合会2019年部门预算</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jc w:val="center"/>
        <w:textAlignment w:val="auto"/>
        <w:rPr>
          <w:rFonts w:hint="eastAsia"/>
          <w:sz w:val="30"/>
          <w:szCs w:val="30"/>
        </w:rPr>
      </w:pPr>
      <w:bookmarkStart w:id="0" w:name="_GoBack"/>
      <w:r>
        <w:rPr>
          <w:rFonts w:hint="eastAsia"/>
          <w:sz w:val="30"/>
          <w:szCs w:val="30"/>
        </w:rPr>
        <w:t>目    录</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第一部分  兴国县文学艺术界联合会概况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xml:space="preserve">    一、部门主要职责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xml:space="preserve">    二、部门基本情况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第二部分  兴国县文学艺术界联合会2019年部门预算情况说明</w:t>
      </w:r>
    </w:p>
    <w:p>
      <w:pPr>
        <w:keepNext w:val="0"/>
        <w:keepLines w:val="0"/>
        <w:pageBreakBefore w:val="0"/>
        <w:widowControl w:val="0"/>
        <w:kinsoku/>
        <w:wordWrap/>
        <w:overflowPunct/>
        <w:topLinePunct w:val="0"/>
        <w:autoSpaceDE/>
        <w:autoSpaceDN/>
        <w:bidi w:val="0"/>
        <w:adjustRightInd/>
        <w:snapToGrid/>
        <w:ind w:firstLine="1200" w:firstLineChars="400"/>
        <w:textAlignment w:val="auto"/>
        <w:rPr>
          <w:rFonts w:hint="eastAsia"/>
          <w:sz w:val="30"/>
          <w:szCs w:val="30"/>
        </w:rPr>
      </w:pPr>
      <w:r>
        <w:rPr>
          <w:rFonts w:hint="eastAsia"/>
          <w:sz w:val="30"/>
          <w:szCs w:val="30"/>
        </w:rPr>
        <w:t>一、2019年部门预算收支情况说明</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 xml:space="preserve">    二、2019年“三公”经费预算情况说明</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第三部分  兴国县文学艺术界联合会2019年部门预算表</w:t>
      </w:r>
    </w:p>
    <w:p>
      <w:pPr>
        <w:keepNext w:val="0"/>
        <w:keepLines w:val="0"/>
        <w:pageBreakBefore w:val="0"/>
        <w:widowControl w:val="0"/>
        <w:kinsoku/>
        <w:wordWrap/>
        <w:overflowPunct/>
        <w:topLinePunct w:val="0"/>
        <w:autoSpaceDE/>
        <w:autoSpaceDN/>
        <w:bidi w:val="0"/>
        <w:adjustRightInd/>
        <w:snapToGrid/>
        <w:ind w:left="638" w:leftChars="304" w:firstLine="600" w:firstLineChars="200"/>
        <w:textAlignment w:val="auto"/>
        <w:rPr>
          <w:rFonts w:hint="eastAsia"/>
          <w:sz w:val="30"/>
          <w:szCs w:val="30"/>
        </w:rPr>
      </w:pPr>
      <w:r>
        <w:rPr>
          <w:rFonts w:hint="eastAsia"/>
          <w:sz w:val="30"/>
          <w:szCs w:val="30"/>
        </w:rPr>
        <w:t>一、《收支预算总表》</w:t>
      </w:r>
    </w:p>
    <w:p>
      <w:pPr>
        <w:keepNext w:val="0"/>
        <w:keepLines w:val="0"/>
        <w:pageBreakBefore w:val="0"/>
        <w:widowControl w:val="0"/>
        <w:kinsoku/>
        <w:wordWrap/>
        <w:overflowPunct/>
        <w:topLinePunct w:val="0"/>
        <w:autoSpaceDE/>
        <w:autoSpaceDN/>
        <w:bidi w:val="0"/>
        <w:adjustRightInd/>
        <w:snapToGrid/>
        <w:ind w:left="638" w:leftChars="304" w:firstLine="600" w:firstLineChars="200"/>
        <w:textAlignment w:val="auto"/>
        <w:rPr>
          <w:rFonts w:hint="eastAsia"/>
          <w:sz w:val="30"/>
          <w:szCs w:val="30"/>
        </w:rPr>
      </w:pPr>
      <w:r>
        <w:rPr>
          <w:rFonts w:hint="eastAsia"/>
          <w:sz w:val="30"/>
          <w:szCs w:val="30"/>
        </w:rPr>
        <w:t>二、《部门收入总表》</w:t>
      </w:r>
    </w:p>
    <w:p>
      <w:pPr>
        <w:keepNext w:val="0"/>
        <w:keepLines w:val="0"/>
        <w:pageBreakBefore w:val="0"/>
        <w:widowControl w:val="0"/>
        <w:kinsoku/>
        <w:wordWrap/>
        <w:overflowPunct/>
        <w:topLinePunct w:val="0"/>
        <w:autoSpaceDE/>
        <w:autoSpaceDN/>
        <w:bidi w:val="0"/>
        <w:adjustRightInd/>
        <w:snapToGrid/>
        <w:ind w:left="638" w:leftChars="304" w:firstLine="600" w:firstLineChars="200"/>
        <w:textAlignment w:val="auto"/>
        <w:rPr>
          <w:rFonts w:hint="eastAsia"/>
          <w:sz w:val="30"/>
          <w:szCs w:val="30"/>
        </w:rPr>
      </w:pPr>
      <w:r>
        <w:rPr>
          <w:rFonts w:hint="eastAsia"/>
          <w:sz w:val="30"/>
          <w:szCs w:val="30"/>
        </w:rPr>
        <w:t>三、《部门支出总表》</w:t>
      </w:r>
    </w:p>
    <w:p>
      <w:pPr>
        <w:keepNext w:val="0"/>
        <w:keepLines w:val="0"/>
        <w:pageBreakBefore w:val="0"/>
        <w:widowControl w:val="0"/>
        <w:kinsoku/>
        <w:wordWrap/>
        <w:overflowPunct/>
        <w:topLinePunct w:val="0"/>
        <w:autoSpaceDE/>
        <w:autoSpaceDN/>
        <w:bidi w:val="0"/>
        <w:adjustRightInd/>
        <w:snapToGrid/>
        <w:ind w:left="638" w:leftChars="304" w:firstLine="600" w:firstLineChars="200"/>
        <w:textAlignment w:val="auto"/>
        <w:rPr>
          <w:rFonts w:hint="eastAsia"/>
          <w:sz w:val="30"/>
          <w:szCs w:val="30"/>
        </w:rPr>
      </w:pPr>
      <w:r>
        <w:rPr>
          <w:rFonts w:hint="eastAsia"/>
          <w:sz w:val="30"/>
          <w:szCs w:val="30"/>
        </w:rPr>
        <w:t>四、《财政拨款收支总表》</w:t>
      </w:r>
    </w:p>
    <w:p>
      <w:pPr>
        <w:keepNext w:val="0"/>
        <w:keepLines w:val="0"/>
        <w:pageBreakBefore w:val="0"/>
        <w:widowControl w:val="0"/>
        <w:kinsoku/>
        <w:wordWrap/>
        <w:overflowPunct/>
        <w:topLinePunct w:val="0"/>
        <w:autoSpaceDE/>
        <w:autoSpaceDN/>
        <w:bidi w:val="0"/>
        <w:adjustRightInd/>
        <w:snapToGrid/>
        <w:ind w:left="638" w:leftChars="304" w:firstLine="600" w:firstLineChars="200"/>
        <w:textAlignment w:val="auto"/>
        <w:rPr>
          <w:rFonts w:hint="eastAsia"/>
          <w:sz w:val="30"/>
          <w:szCs w:val="30"/>
        </w:rPr>
      </w:pPr>
      <w:r>
        <w:rPr>
          <w:rFonts w:hint="eastAsia"/>
          <w:sz w:val="30"/>
          <w:szCs w:val="30"/>
        </w:rPr>
        <w:t>五、《一般公共预算支出表》</w:t>
      </w:r>
    </w:p>
    <w:p>
      <w:pPr>
        <w:keepNext w:val="0"/>
        <w:keepLines w:val="0"/>
        <w:pageBreakBefore w:val="0"/>
        <w:widowControl w:val="0"/>
        <w:kinsoku/>
        <w:wordWrap/>
        <w:overflowPunct/>
        <w:topLinePunct w:val="0"/>
        <w:autoSpaceDE/>
        <w:autoSpaceDN/>
        <w:bidi w:val="0"/>
        <w:adjustRightInd/>
        <w:snapToGrid/>
        <w:ind w:left="638" w:leftChars="304" w:firstLine="600" w:firstLineChars="200"/>
        <w:textAlignment w:val="auto"/>
        <w:rPr>
          <w:rFonts w:hint="eastAsia"/>
          <w:sz w:val="30"/>
          <w:szCs w:val="30"/>
        </w:rPr>
      </w:pPr>
      <w:r>
        <w:rPr>
          <w:rFonts w:hint="eastAsia"/>
          <w:sz w:val="30"/>
          <w:szCs w:val="30"/>
        </w:rPr>
        <w:t>六、《一般公共预算基本支出表》</w:t>
      </w:r>
    </w:p>
    <w:p>
      <w:pPr>
        <w:keepNext w:val="0"/>
        <w:keepLines w:val="0"/>
        <w:pageBreakBefore w:val="0"/>
        <w:widowControl w:val="0"/>
        <w:kinsoku/>
        <w:wordWrap/>
        <w:overflowPunct/>
        <w:topLinePunct w:val="0"/>
        <w:autoSpaceDE/>
        <w:autoSpaceDN/>
        <w:bidi w:val="0"/>
        <w:adjustRightInd/>
        <w:snapToGrid/>
        <w:ind w:left="638" w:leftChars="304" w:firstLine="600" w:firstLineChars="200"/>
        <w:textAlignment w:val="auto"/>
        <w:rPr>
          <w:rFonts w:hint="eastAsia"/>
          <w:sz w:val="30"/>
          <w:szCs w:val="30"/>
        </w:rPr>
      </w:pPr>
      <w:r>
        <w:rPr>
          <w:rFonts w:hint="eastAsia"/>
          <w:sz w:val="30"/>
          <w:szCs w:val="30"/>
        </w:rPr>
        <w:t>七、《一般公共预算“三公”经费支出表》</w:t>
      </w:r>
    </w:p>
    <w:p>
      <w:pPr>
        <w:keepNext w:val="0"/>
        <w:keepLines w:val="0"/>
        <w:pageBreakBefore w:val="0"/>
        <w:widowControl w:val="0"/>
        <w:kinsoku/>
        <w:wordWrap/>
        <w:overflowPunct/>
        <w:topLinePunct w:val="0"/>
        <w:autoSpaceDE/>
        <w:autoSpaceDN/>
        <w:bidi w:val="0"/>
        <w:adjustRightInd/>
        <w:snapToGrid/>
        <w:ind w:left="638" w:leftChars="304" w:firstLine="600" w:firstLineChars="200"/>
        <w:textAlignment w:val="auto"/>
        <w:rPr>
          <w:rFonts w:hint="eastAsia"/>
          <w:sz w:val="30"/>
          <w:szCs w:val="30"/>
        </w:rPr>
      </w:pPr>
      <w:r>
        <w:rPr>
          <w:rFonts w:hint="eastAsia"/>
          <w:sz w:val="30"/>
          <w:szCs w:val="30"/>
        </w:rPr>
        <w:t>八、《政府性基金预算支出表》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第四部分  预算公开名词解释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第一部分  兴国县文学艺术界联合会概况</w:t>
      </w:r>
    </w:p>
    <w:bookmarkEnd w:id="0"/>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一、部门主要职责</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致力于繁荣和发展我县社会主义文学艺术事业，发展面向现代化、面向世界、面向未来的，民族的科学的大众的社会主义精神文明和为实现社会主义现代化而努力奋斗。</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二、部门基本情况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兴国县文学艺术界联合会属行政全额拨款单位，在职人数3人；退休人员1人。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b/>
          <w:bCs/>
          <w:sz w:val="30"/>
          <w:szCs w:val="30"/>
        </w:rPr>
      </w:pPr>
      <w:r>
        <w:rPr>
          <w:rFonts w:hint="eastAsia"/>
          <w:sz w:val="30"/>
          <w:szCs w:val="30"/>
        </w:rPr>
        <w:t xml:space="preserve">     </w:t>
      </w:r>
      <w:r>
        <w:rPr>
          <w:rFonts w:hint="eastAsia"/>
          <w:b/>
          <w:bCs/>
          <w:sz w:val="30"/>
          <w:szCs w:val="30"/>
        </w:rPr>
        <w:t>第二部分 兴国县文化艺术界联合会2019年部门预算情况说明</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一、2019年部门预算收支情况说明</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 收入预算情况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2019年兴国县文学艺术界联合会收入预算总额为50.53万元，其中：财政拨款收入50.53万元，占收入预算总额的100%。</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（二）支出预算情况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2019年兴国县文学艺术界联合会支出预算总额为50.53万元，其中：</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按支出项目类别划分：（1）、基本支出30.53万元。其中：工资福利支出27.17万元；商品和服务支出3.36万元；对个人和家庭的补助支出0万元。（2）、项目支出20万元。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（三）财政拨款（补助）支出情况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2019年兴国县文学艺术界联合会财政拨款（补助）支出预算50.53万元，其中：（1）、基本支出30.53万元。其中：工资福利支出27.17万元；商品和服务支出3.36万元；对个人和家庭的补助支出0万元。（2）、项目支出20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（四）政府性基金情况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无</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（五）政府采购情况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2019年兴国县文学艺术界联合会政府采购预算总额15万元，其中：政府采购货物预算5万元，购买服务预算10万元。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（六）机关运行经费安排情况说明</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2019年预算安排机关运行经费3.36万元，比上年增加4.67%。</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二、2019年“三公”经费预算情况说明</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2019年兴国县文化艺术界联合会“三公”经费一般公共预算安排0.20万元。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1.因公出国（境）费0万元。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2.公务接待费0.20万元。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3.公务用车运行维护费0万元。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第三部分  兴国县文化艺术界联合会2017年部门预算表</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八张表（详见附表）</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第四部分  国有资产占有情况说明</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2019年初兴国县文学艺术界联合会国有资产账面数为4.88万元，具体占用情况：</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通用设备4.30万元，专用设备0万元，家具、用具等1.58万元，土地、房屋及构筑物等0万元。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第五部分  重点项目预算的绩效目标等预算绩效情况说明</w:t>
      </w: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无</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ind w:firstLine="602" w:firstLineChars="200"/>
        <w:jc w:val="center"/>
        <w:textAlignment w:val="auto"/>
        <w:rPr>
          <w:rFonts w:hint="eastAsia"/>
          <w:b/>
          <w:bCs/>
          <w:sz w:val="30"/>
          <w:szCs w:val="30"/>
        </w:rPr>
      </w:pPr>
      <w:r>
        <w:rPr>
          <w:rFonts w:hint="eastAsia"/>
          <w:b/>
          <w:bCs/>
          <w:sz w:val="30"/>
          <w:szCs w:val="30"/>
        </w:rPr>
        <w:t>第六部分  预算公开名词解释</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 收入科目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  财政拨款：指市级财政当年拨付的资金。</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（二）上级补助收入：指单位从主管部门和上级单位取得的补助收入。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（三）事业收入：指事业单位开展专业业务活动及辅助活动所取得的收入。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（四）事业单位的经营收入：指事业单位在专业业务活动及辅助活动之外开展非独立核算经营活动取得的收入。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（五）其他收入：指除财政拨款、上级补助收入、事业收入、事业单位经营收入等以外的各项收入。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（六）上年结转和结余：填列2018年全部结转和结余的资金数，包括当年结转结余资金和历年滚存结转结余资金。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二、支出科目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（一）行政运行：反映行政单位（包括参公单位）的基本支出。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（二）一般行政管理事务：反映行政单位（包括参公单位）未单独设置项级科目的其他项目支出。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（三）事业运行：反映事业单位的基本支出。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（四）机关事业单位基本养老保险缴费支出：反映机关事业单位实施养老保险制度由单位缴纳的基本养老保险费的支出。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（五）行政单位医疗：反映行政事业单位基本医疗保险缴费经费。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（六）事业单位医疗：反映财政部门集中安排的事业单位基本医疗保险缴费经费。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（七）住房公积金：反映行政事业单位按人力资源和社会保障部、财政部规定的基本工资和津补贴以及规定比例为职工缴纳的住房公积金。</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（八）基本支出：指为保障机构正常运转、完成日常工作任务而发生的人员支出和公用支出。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（九）项目支出：指在基本支出之外为完成特定行政任务和事业发展目标所发生的支出。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（十）“三公”经费：纳入中央财政预决算管理的“三公”经费，是指中央部门用财政拨款安排的因公出国（境）费、公务用车购置及运行费和公务接待费。</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t>（十一）机关运行经费：为保障行政单位（包括参照公务员法管理的事业单位）运行用于购买货物和服务的各项资金。</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0B660E9"/>
    <w:rsid w:val="29105A6E"/>
    <w:rsid w:val="40B660E9"/>
    <w:rsid w:val="778C2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2024-02-22T07:41:00Z</dcterms:created>
  <dc:creator>WPS_1670148425</dc:creator>
  <cp:lastModifiedBy>WPS_1670148425</cp:lastModifiedBy>
  <dcterms:modified xsi:type="dcterms:W3CDTF">2024-02-22T07:47:47Z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EDE2E7EBD08D49B4BCAE640147B0A461_11</vt:lpwstr>
  </property>
</Properties>
</file>