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topLinePunct w:val="0"/>
        <w:autoSpaceDE/>
        <w:autoSpaceDN/>
        <w:bidi w:val="0"/>
        <w:spacing w:line="600" w:lineRule="exact"/>
        <w:jc w:val="center"/>
        <w:rPr>
          <w:rFonts w:ascii="黑体" w:hAnsi="黑体" w:eastAsia="黑体" w:cs="黑体"/>
          <w:b w:val="0"/>
          <w:bCs/>
          <w:color w:val="000000"/>
          <w:sz w:val="36"/>
          <w:szCs w:val="36"/>
        </w:rPr>
      </w:pPr>
      <w:r>
        <w:rPr>
          <w:rFonts w:ascii="黑体" w:hAnsi="黑体" w:eastAsia="黑体" w:cs="黑体"/>
          <w:b w:val="0"/>
          <w:bCs/>
          <w:color w:val="000000"/>
          <w:sz w:val="36"/>
          <w:szCs w:val="36"/>
          <w:lang w:val="en-US" w:eastAsia="zh-CN"/>
        </w:rPr>
        <w:t>兴国县金融工作</w:t>
      </w:r>
      <w:r>
        <w:rPr>
          <w:rFonts w:ascii="黑体" w:hAnsi="黑体" w:eastAsia="黑体" w:cs="黑体"/>
          <w:b w:val="0"/>
          <w:bCs/>
          <w:color w:val="000000"/>
          <w:sz w:val="36"/>
          <w:szCs w:val="36"/>
        </w:rPr>
        <w:t>局2020年部门预算编制说明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eastAsia="黑体"/>
          <w:b w:val="0"/>
          <w:bCs/>
          <w:sz w:val="32"/>
          <w:szCs w:val="32"/>
        </w:rPr>
      </w:pPr>
      <w:r>
        <w:rPr>
          <w:rFonts w:hint="eastAsia" w:ascii="黑体" w:eastAsia="黑体"/>
          <w:b w:val="0"/>
          <w:bCs/>
          <w:sz w:val="32"/>
          <w:szCs w:val="32"/>
        </w:rPr>
        <w:t>目    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eastAsia="黑体"/>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641" w:leftChars="0" w:hanging="641" w:hangingChars="213"/>
        <w:textAlignment w:val="auto"/>
        <w:rPr>
          <w:rFonts w:hint="eastAsia" w:ascii="宋体" w:hAnsi="宋体" w:eastAsia="宋体" w:cs="宋体"/>
          <w:b/>
          <w:bCs/>
          <w:sz w:val="30"/>
          <w:szCs w:val="30"/>
        </w:rPr>
      </w:pPr>
      <w:bookmarkStart w:id="0" w:name="_GoBack"/>
      <w:r>
        <w:rPr>
          <w:rFonts w:hint="eastAsia" w:ascii="宋体" w:hAnsi="宋体" w:eastAsia="宋体" w:cs="宋体"/>
          <w:b/>
          <w:bCs/>
          <w:sz w:val="30"/>
          <w:szCs w:val="30"/>
        </w:rPr>
        <w:t>第一部分 兴国县</w:t>
      </w:r>
      <w:r>
        <w:rPr>
          <w:rFonts w:hint="eastAsia" w:ascii="宋体" w:hAnsi="宋体" w:eastAsia="宋体" w:cs="宋体"/>
          <w:b/>
          <w:sz w:val="30"/>
          <w:szCs w:val="30"/>
          <w:lang w:eastAsia="zh-CN"/>
        </w:rPr>
        <w:t>金融工作局</w:t>
      </w:r>
      <w:r>
        <w:rPr>
          <w:rFonts w:hint="eastAsia" w:ascii="宋体" w:hAnsi="宋体" w:eastAsia="宋体" w:cs="宋体"/>
          <w:b/>
          <w:bCs/>
          <w:sz w:val="30"/>
          <w:szCs w:val="30"/>
        </w:rPr>
        <w:t>部门概况</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一、部门主要职责</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二、部门基本情况</w:t>
      </w:r>
    </w:p>
    <w:bookmarkEnd w:id="0"/>
    <w:p>
      <w:pPr>
        <w:keepNext w:val="0"/>
        <w:keepLines w:val="0"/>
        <w:pageBreakBefore w:val="0"/>
        <w:widowControl w:val="0"/>
        <w:kinsoku/>
        <w:wordWrap/>
        <w:overflowPunct/>
        <w:topLinePunct w:val="0"/>
        <w:autoSpaceDE/>
        <w:autoSpaceDN/>
        <w:bidi w:val="0"/>
        <w:adjustRightInd/>
        <w:snapToGrid/>
        <w:spacing w:line="600" w:lineRule="exact"/>
        <w:ind w:left="641" w:leftChars="0" w:hanging="641" w:hangingChars="213"/>
        <w:textAlignment w:val="auto"/>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金融工作局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一、20</w:t>
      </w:r>
      <w:r>
        <w:rPr>
          <w:rFonts w:hint="eastAsia" w:ascii="宋体" w:hAnsi="宋体" w:cs="宋体"/>
          <w:color w:val="000000"/>
          <w:kern w:val="0"/>
          <w:sz w:val="30"/>
          <w:szCs w:val="30"/>
          <w:lang w:val="en-US" w:eastAsia="zh-CN" w:bidi="ar-SA"/>
        </w:rPr>
        <w:t>20</w:t>
      </w:r>
      <w:r>
        <w:rPr>
          <w:rFonts w:hint="eastAsia" w:ascii="宋体" w:hAnsi="宋体" w:eastAsia="宋体" w:cs="宋体"/>
          <w:color w:val="000000"/>
          <w:kern w:val="0"/>
          <w:sz w:val="30"/>
          <w:szCs w:val="30"/>
          <w:lang w:val="en-US" w:eastAsia="zh-CN" w:bidi="ar-SA"/>
        </w:rPr>
        <w:t>年部门预算收支情况说明</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二、20</w:t>
      </w:r>
      <w:r>
        <w:rPr>
          <w:rFonts w:hint="eastAsia" w:ascii="宋体" w:hAnsi="宋体" w:cs="宋体"/>
          <w:color w:val="000000"/>
          <w:kern w:val="0"/>
          <w:sz w:val="30"/>
          <w:szCs w:val="30"/>
          <w:lang w:val="en-US" w:eastAsia="zh-CN" w:bidi="ar-SA"/>
        </w:rPr>
        <w:t>20</w:t>
      </w:r>
      <w:r>
        <w:rPr>
          <w:rFonts w:hint="eastAsia" w:ascii="宋体" w:hAnsi="宋体" w:eastAsia="宋体" w:cs="宋体"/>
          <w:color w:val="000000"/>
          <w:kern w:val="0"/>
          <w:sz w:val="30"/>
          <w:szCs w:val="30"/>
          <w:lang w:val="en-US" w:eastAsia="zh-CN" w:bidi="ar-SA"/>
        </w:rPr>
        <w:t>年“三公”经费预算情况说明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left="641" w:leftChars="0" w:hanging="641" w:hangingChars="213"/>
        <w:textAlignment w:val="auto"/>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金融工作局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二、《部门收入总表》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三、《部门支出总表》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七、《一般公共预算“三公”经费支出表》</w:t>
      </w:r>
    </w:p>
    <w:p>
      <w:pPr>
        <w:keepNext w:val="0"/>
        <w:keepLines w:val="0"/>
        <w:pageBreakBefore w:val="0"/>
        <w:widowControl w:val="0"/>
        <w:kinsoku/>
        <w:wordWrap/>
        <w:overflowPunct/>
        <w:topLinePunct w:val="0"/>
        <w:autoSpaceDE/>
        <w:autoSpaceDN/>
        <w:bidi w:val="0"/>
        <w:adjustRightInd/>
        <w:snapToGrid/>
        <w:spacing w:line="600" w:lineRule="exact"/>
        <w:ind w:left="604" w:leftChars="284" w:hanging="36" w:hangingChars="12"/>
        <w:textAlignment w:val="auto"/>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八、《政府性基金预算支出表》</w:t>
      </w:r>
    </w:p>
    <w:p>
      <w:pPr>
        <w:keepNext w:val="0"/>
        <w:keepLines w:val="0"/>
        <w:pageBreakBefore w:val="0"/>
        <w:widowControl w:val="0"/>
        <w:kinsoku/>
        <w:wordWrap/>
        <w:overflowPunct/>
        <w:topLinePunct w:val="0"/>
        <w:autoSpaceDE/>
        <w:autoSpaceDN/>
        <w:bidi w:val="0"/>
        <w:adjustRightInd/>
        <w:snapToGrid/>
        <w:spacing w:line="600" w:lineRule="exact"/>
        <w:ind w:left="641" w:leftChars="0" w:hanging="641" w:hangingChars="213"/>
        <w:textAlignment w:val="auto"/>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pStyle w:val="5"/>
        <w:keepNext w:val="0"/>
        <w:keepLines w:val="0"/>
        <w:pageBreakBefore w:val="0"/>
        <w:kinsoku/>
        <w:wordWrap/>
        <w:topLinePunct w:val="0"/>
        <w:autoSpaceDE/>
        <w:autoSpaceDN/>
        <w:bidi w:val="0"/>
        <w:spacing w:line="600" w:lineRule="exact"/>
        <w:ind w:right="449" w:firstLine="640"/>
        <w:rPr>
          <w:rFonts w:hint="eastAsia" w:ascii="宋体" w:hAnsi="宋体" w:eastAsia="宋体" w:cs="宋体"/>
          <w:color w:val="000000"/>
          <w:sz w:val="30"/>
          <w:szCs w:val="30"/>
        </w:rPr>
      </w:pPr>
    </w:p>
    <w:p>
      <w:pPr>
        <w:pStyle w:val="5"/>
        <w:keepNext w:val="0"/>
        <w:keepLines w:val="0"/>
        <w:pageBreakBefore w:val="0"/>
        <w:kinsoku/>
        <w:wordWrap/>
        <w:topLinePunct w:val="0"/>
        <w:autoSpaceDE/>
        <w:autoSpaceDN/>
        <w:bidi w:val="0"/>
        <w:spacing w:line="600" w:lineRule="exact"/>
        <w:ind w:right="449" w:firstLine="640"/>
        <w:rPr>
          <w:rFonts w:hint="eastAsia" w:ascii="宋体" w:hAnsi="宋体" w:eastAsia="宋体" w:cs="宋体"/>
          <w:color w:val="000000"/>
          <w:sz w:val="30"/>
          <w:szCs w:val="30"/>
        </w:rPr>
      </w:pPr>
    </w:p>
    <w:p>
      <w:pPr>
        <w:pStyle w:val="5"/>
        <w:keepNext w:val="0"/>
        <w:keepLines w:val="0"/>
        <w:pageBreakBefore w:val="0"/>
        <w:kinsoku/>
        <w:wordWrap/>
        <w:topLinePunct w:val="0"/>
        <w:autoSpaceDE/>
        <w:autoSpaceDN/>
        <w:bidi w:val="0"/>
        <w:spacing w:line="600" w:lineRule="exact"/>
        <w:ind w:right="449" w:firstLine="640"/>
        <w:rPr>
          <w:rFonts w:hint="eastAsia" w:ascii="宋体" w:hAnsi="宋体" w:eastAsia="宋体" w:cs="宋体"/>
          <w:color w:val="000000"/>
          <w:sz w:val="30"/>
          <w:szCs w:val="30"/>
        </w:rPr>
      </w:pPr>
    </w:p>
    <w:p>
      <w:pPr>
        <w:pStyle w:val="5"/>
        <w:keepNext w:val="0"/>
        <w:keepLines w:val="0"/>
        <w:pageBreakBefore w:val="0"/>
        <w:kinsoku/>
        <w:wordWrap/>
        <w:topLinePunct w:val="0"/>
        <w:autoSpaceDE/>
        <w:autoSpaceDN/>
        <w:bidi w:val="0"/>
        <w:spacing w:line="600" w:lineRule="exact"/>
        <w:ind w:right="449" w:firstLine="640"/>
        <w:rPr>
          <w:rFonts w:hint="eastAsia" w:ascii="宋体" w:hAnsi="宋体" w:eastAsia="宋体" w:cs="宋体"/>
          <w:color w:val="000000"/>
          <w:sz w:val="30"/>
          <w:szCs w:val="30"/>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sz w:val="30"/>
          <w:szCs w:val="30"/>
          <w:lang w:eastAsia="zh-CN"/>
        </w:rPr>
        <w:t>金融工作局</w:t>
      </w:r>
      <w:r>
        <w:rPr>
          <w:rFonts w:hint="eastAsia" w:ascii="宋体" w:hAnsi="宋体" w:eastAsia="宋体" w:cs="宋体"/>
          <w:b/>
          <w:bCs/>
          <w:sz w:val="30"/>
          <w:szCs w:val="30"/>
        </w:rPr>
        <w:t>部门概况</w:t>
      </w:r>
    </w:p>
    <w:p>
      <w:pPr>
        <w:pStyle w:val="5"/>
        <w:keepNext w:val="0"/>
        <w:keepLines w:val="0"/>
        <w:pageBreakBefore w:val="0"/>
        <w:kinsoku/>
        <w:wordWrap/>
        <w:topLinePunct w:val="0"/>
        <w:autoSpaceDE/>
        <w:autoSpaceDN/>
        <w:bidi w:val="0"/>
        <w:spacing w:line="600" w:lineRule="exact"/>
        <w:ind w:right="449" w:firstLine="640"/>
        <w:rPr>
          <w:rFonts w:hint="eastAsia" w:ascii="宋体" w:hAnsi="宋体" w:eastAsia="宋体" w:cs="宋体"/>
          <w:color w:val="000000"/>
          <w:sz w:val="30"/>
          <w:szCs w:val="30"/>
        </w:rPr>
      </w:pPr>
    </w:p>
    <w:p>
      <w:pPr>
        <w:pStyle w:val="5"/>
        <w:keepNext w:val="0"/>
        <w:keepLines w:val="0"/>
        <w:pageBreakBefore w:val="0"/>
        <w:kinsoku/>
        <w:wordWrap/>
        <w:topLinePunct w:val="0"/>
        <w:autoSpaceDE/>
        <w:autoSpaceDN/>
        <w:bidi w:val="0"/>
        <w:spacing w:line="600" w:lineRule="exact"/>
        <w:ind w:firstLine="640"/>
        <w:rPr>
          <w:rFonts w:hint="eastAsia" w:ascii="宋体" w:hAnsi="宋体" w:eastAsia="宋体" w:cs="宋体"/>
          <w:b/>
          <w:sz w:val="30"/>
          <w:szCs w:val="30"/>
        </w:rPr>
      </w:pPr>
      <w:r>
        <w:rPr>
          <w:rFonts w:hint="eastAsia" w:ascii="宋体" w:hAnsi="宋体" w:eastAsia="宋体" w:cs="宋体"/>
          <w:b/>
          <w:sz w:val="30"/>
          <w:szCs w:val="30"/>
        </w:rPr>
        <w:t>一、部门主要职责</w:t>
      </w:r>
    </w:p>
    <w:p>
      <w:pPr>
        <w:pStyle w:val="2"/>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left="0" w:right="0" w:firstLine="641"/>
        <w:jc w:val="both"/>
        <w:textAlignment w:val="auto"/>
        <w:rPr>
          <w:rFonts w:hint="eastAsia" w:ascii="宋体" w:hAnsi="宋体" w:eastAsia="宋体" w:cs="宋体"/>
          <w:sz w:val="30"/>
          <w:szCs w:val="30"/>
        </w:rPr>
      </w:pPr>
      <w:r>
        <w:rPr>
          <w:rFonts w:hint="eastAsia" w:ascii="宋体" w:hAnsi="宋体" w:eastAsia="宋体" w:cs="宋体"/>
          <w:i w:val="0"/>
          <w:color w:val="000000"/>
          <w:kern w:val="0"/>
          <w:sz w:val="30"/>
          <w:szCs w:val="30"/>
          <w:u w:val="none"/>
        </w:rPr>
        <w:t>兴国县金融工作局，为县人民政府直属正科级全额拨款事业单位。主要职责是：</w:t>
      </w:r>
      <w:r>
        <w:rPr>
          <w:rFonts w:hint="eastAsia" w:ascii="宋体" w:hAnsi="宋体" w:eastAsia="宋体" w:cs="宋体"/>
          <w:i w:val="0"/>
          <w:color w:val="000000"/>
          <w:kern w:val="0"/>
          <w:sz w:val="30"/>
          <w:szCs w:val="30"/>
          <w:u w:val="none"/>
          <w:shd w:val="clear" w:fill="FFFFFF"/>
          <w:lang w:val="en-US" w:eastAsia="zh-CN"/>
        </w:rPr>
        <w:t>1、</w:t>
      </w:r>
      <w:r>
        <w:rPr>
          <w:rFonts w:hint="eastAsia" w:ascii="宋体" w:hAnsi="宋体" w:eastAsia="宋体" w:cs="宋体"/>
          <w:i w:val="0"/>
          <w:color w:val="000000"/>
          <w:kern w:val="0"/>
          <w:sz w:val="30"/>
          <w:szCs w:val="30"/>
          <w:u w:val="none"/>
          <w:shd w:val="clear" w:fill="FFFFFF"/>
        </w:rPr>
        <w:t>拟定我县落实国家金融政策的实施意见，督促驻县金融机构落实好国家、省、市和县委、县政府的决策部署，协调和支持各金融机构创新业务，加大对地方经济和社会发展的支持</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2、</w:t>
      </w:r>
      <w:r>
        <w:rPr>
          <w:rFonts w:hint="eastAsia" w:ascii="宋体" w:hAnsi="宋体" w:eastAsia="宋体" w:cs="宋体"/>
          <w:i w:val="0"/>
          <w:color w:val="000000"/>
          <w:kern w:val="0"/>
          <w:sz w:val="30"/>
          <w:szCs w:val="30"/>
          <w:u w:val="none"/>
          <w:shd w:val="clear" w:fill="FFFFFF"/>
        </w:rPr>
        <w:t>研究拟订全县金融发展中长期规划和工作计划；研究分析经济金融形势，提出优化金融环境、改善金融服务、促进我县金融业发展的政策建议</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3、</w:t>
      </w:r>
      <w:r>
        <w:rPr>
          <w:rFonts w:hint="eastAsia" w:ascii="宋体" w:hAnsi="宋体" w:eastAsia="宋体" w:cs="宋体"/>
          <w:i w:val="0"/>
          <w:color w:val="000000"/>
          <w:kern w:val="0"/>
          <w:sz w:val="30"/>
          <w:szCs w:val="30"/>
          <w:u w:val="none"/>
          <w:shd w:val="clear" w:fill="FFFFFF"/>
        </w:rPr>
        <w:t>负责全县企业上市工作，指导和推动拟上市公司资产重组及融资；协助做好证券期货机构和上市公司规范发展工作</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4、</w:t>
      </w:r>
      <w:r>
        <w:rPr>
          <w:rFonts w:hint="eastAsia" w:ascii="宋体" w:hAnsi="宋体" w:eastAsia="宋体" w:cs="宋体"/>
          <w:i w:val="0"/>
          <w:color w:val="000000"/>
          <w:kern w:val="0"/>
          <w:sz w:val="30"/>
          <w:szCs w:val="30"/>
          <w:u w:val="none"/>
          <w:shd w:val="clear" w:fill="FFFFFF"/>
        </w:rPr>
        <w:t>承担对地方金融机构的相关业务管理工作，参与对地方金融机构及其高管人员的业绩考核。对县属金融企业高管人员的提名、任免提出意见</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5、</w:t>
      </w:r>
      <w:r>
        <w:rPr>
          <w:rFonts w:hint="eastAsia" w:ascii="宋体" w:hAnsi="宋体" w:eastAsia="宋体" w:cs="宋体"/>
          <w:i w:val="0"/>
          <w:color w:val="000000"/>
          <w:kern w:val="0"/>
          <w:sz w:val="30"/>
          <w:szCs w:val="30"/>
          <w:u w:val="none"/>
          <w:shd w:val="clear" w:fill="FFFFFF"/>
        </w:rPr>
        <w:t>指导负责辖区内小额贷款</w:t>
      </w:r>
      <w:r>
        <w:rPr>
          <w:rFonts w:hint="eastAsia" w:ascii="宋体" w:hAnsi="宋体" w:eastAsia="宋体" w:cs="宋体"/>
          <w:i w:val="0"/>
          <w:color w:val="000000"/>
          <w:kern w:val="0"/>
          <w:sz w:val="30"/>
          <w:szCs w:val="30"/>
          <w:u w:val="none"/>
          <w:shd w:val="clear" w:fill="FFFFFF"/>
          <w:lang w:eastAsia="zh-CN"/>
        </w:rPr>
        <w:t>、担保公司</w:t>
      </w:r>
      <w:r>
        <w:rPr>
          <w:rFonts w:hint="eastAsia" w:ascii="宋体" w:hAnsi="宋体" w:eastAsia="宋体" w:cs="宋体"/>
          <w:i w:val="0"/>
          <w:color w:val="000000"/>
          <w:kern w:val="0"/>
          <w:sz w:val="30"/>
          <w:szCs w:val="30"/>
          <w:u w:val="none"/>
          <w:shd w:val="clear" w:fill="FFFFFF"/>
        </w:rPr>
        <w:t>日常监管工作</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6、</w:t>
      </w:r>
      <w:r>
        <w:rPr>
          <w:rFonts w:hint="eastAsia" w:ascii="宋体" w:hAnsi="宋体" w:eastAsia="宋体" w:cs="宋体"/>
          <w:i w:val="0"/>
          <w:color w:val="000000"/>
          <w:kern w:val="0"/>
          <w:sz w:val="30"/>
          <w:szCs w:val="30"/>
          <w:u w:val="none"/>
          <w:shd w:val="clear" w:fill="FFFFFF"/>
        </w:rPr>
        <w:t>助金融监管机构对地方金融机构及金融行业自律组织的监管；负责组织实施县政府对地方金融机构和地方金融中介组织的管理；负责与驻县金融机构的联系</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7、</w:t>
      </w:r>
      <w:r>
        <w:rPr>
          <w:rFonts w:hint="eastAsia" w:ascii="宋体" w:hAnsi="宋体" w:eastAsia="宋体" w:cs="宋体"/>
          <w:i w:val="0"/>
          <w:color w:val="000000"/>
          <w:kern w:val="0"/>
          <w:sz w:val="30"/>
          <w:szCs w:val="30"/>
          <w:u w:val="none"/>
          <w:shd w:val="clear" w:fill="FFFFFF"/>
        </w:rPr>
        <w:t>协助推进地方金融机构的政策重组；指导和推进金融市场体系建设；指导和推进农村金融政策和发展</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8、</w:t>
      </w:r>
      <w:r>
        <w:rPr>
          <w:rFonts w:hint="eastAsia" w:ascii="宋体" w:hAnsi="宋体" w:eastAsia="宋体" w:cs="宋体"/>
          <w:i w:val="0"/>
          <w:color w:val="000000"/>
          <w:kern w:val="0"/>
          <w:sz w:val="30"/>
          <w:szCs w:val="30"/>
          <w:u w:val="none"/>
          <w:shd w:val="clear" w:fill="FFFFFF"/>
        </w:rPr>
        <w:t>配合协助省、市政府金融办对驻县省、市属金融企业进行监管</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9、</w:t>
      </w:r>
      <w:r>
        <w:rPr>
          <w:rFonts w:hint="eastAsia" w:ascii="宋体" w:hAnsi="宋体" w:eastAsia="宋体" w:cs="宋体"/>
          <w:i w:val="0"/>
          <w:color w:val="000000"/>
          <w:kern w:val="0"/>
          <w:sz w:val="30"/>
          <w:szCs w:val="30"/>
          <w:u w:val="none"/>
          <w:shd w:val="clear" w:fill="FFFFFF"/>
        </w:rPr>
        <w:t>合有关部门整顿和规范金融秩序、查处非法金融机构和非法金融活动，防范和化解金融风险</w:t>
      </w:r>
      <w:r>
        <w:rPr>
          <w:rFonts w:hint="eastAsia" w:ascii="宋体" w:hAnsi="宋体" w:eastAsia="宋体" w:cs="宋体"/>
          <w:i w:val="0"/>
          <w:color w:val="000000"/>
          <w:kern w:val="0"/>
          <w:sz w:val="30"/>
          <w:szCs w:val="30"/>
          <w:u w:val="none"/>
          <w:shd w:val="clear" w:fill="FFFFFF"/>
          <w:lang w:eastAsia="zh-CN"/>
        </w:rPr>
        <w:t>；</w:t>
      </w:r>
      <w:r>
        <w:rPr>
          <w:rFonts w:hint="eastAsia" w:ascii="宋体" w:hAnsi="宋体" w:eastAsia="宋体" w:cs="宋体"/>
          <w:i w:val="0"/>
          <w:color w:val="000000"/>
          <w:kern w:val="0"/>
          <w:sz w:val="30"/>
          <w:szCs w:val="30"/>
          <w:u w:val="none"/>
          <w:shd w:val="clear" w:fill="FFFFFF"/>
          <w:lang w:val="en-US" w:eastAsia="zh-CN"/>
        </w:rPr>
        <w:t>10、</w:t>
      </w:r>
      <w:r>
        <w:rPr>
          <w:rFonts w:hint="eastAsia" w:ascii="宋体" w:hAnsi="宋体" w:eastAsia="宋体" w:cs="宋体"/>
          <w:i w:val="0"/>
          <w:color w:val="000000"/>
          <w:kern w:val="0"/>
          <w:sz w:val="30"/>
          <w:szCs w:val="30"/>
          <w:u w:val="none"/>
          <w:shd w:val="clear" w:fill="FFFFFF"/>
        </w:rPr>
        <w:t>承办县委、县政府交办的其它事项。</w:t>
      </w:r>
    </w:p>
    <w:p>
      <w:pPr>
        <w:pStyle w:val="5"/>
        <w:keepNext w:val="0"/>
        <w:keepLines w:val="0"/>
        <w:pageBreakBefore w:val="0"/>
        <w:kinsoku/>
        <w:wordWrap/>
        <w:topLinePunct w:val="0"/>
        <w:autoSpaceDE/>
        <w:autoSpaceDN/>
        <w:bidi w:val="0"/>
        <w:spacing w:line="600" w:lineRule="exact"/>
        <w:ind w:firstLine="640"/>
        <w:rPr>
          <w:rFonts w:hint="eastAsia" w:ascii="宋体" w:hAnsi="宋体" w:eastAsia="宋体" w:cs="宋体"/>
          <w:b/>
          <w:sz w:val="30"/>
          <w:szCs w:val="30"/>
        </w:rPr>
      </w:pPr>
      <w:r>
        <w:rPr>
          <w:rFonts w:hint="eastAsia" w:ascii="宋体" w:hAnsi="宋体" w:eastAsia="宋体" w:cs="宋体"/>
          <w:b/>
          <w:sz w:val="30"/>
          <w:szCs w:val="30"/>
        </w:rPr>
        <w:t>二、部门基本情况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金融工作局编制数共有5人，均属于财政全额事业编制其中：在职人数5人，包括全部补助事业人员5人。本单位分三个股室，一个办公室负责单位日常事务；一个资本市场股负责负责全县企业上市工作，指导和推动拟上市公司资产重组及融资；协助做好证券期货机构和上市公司规范发展工作；一个地方金融股负责督促驻县金融机构落实好国家、省、市和县委、县政府的决策部署，协调和支持各金融机构创新业务，加大对地方经济和社会发展的支持，承担对地方金融机构的相关业务管理工作，参与对地方金融机构及其高管人员的业绩考核。</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宋体" w:hAnsi="宋体" w:eastAsia="宋体" w:cs="宋体"/>
          <w:i w:val="0"/>
          <w:color w:val="000000"/>
          <w:kern w:val="0"/>
          <w:sz w:val="30"/>
          <w:szCs w:val="30"/>
          <w:u w:val="none"/>
          <w:shd w:val="clear" w:fill="FFFFFF"/>
          <w:lang w:val="en-US" w:eastAsia="zh-CN" w:bidi="ar"/>
        </w:rPr>
      </w:pPr>
    </w:p>
    <w:p>
      <w:pPr>
        <w:keepNext w:val="0"/>
        <w:keepLines w:val="0"/>
        <w:pageBreakBefore w:val="0"/>
        <w:kinsoku/>
        <w:wordWrap/>
        <w:topLinePunct w:val="0"/>
        <w:autoSpaceDE/>
        <w:autoSpaceDN/>
        <w:bidi w:val="0"/>
        <w:spacing w:line="600" w:lineRule="exact"/>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eastAsia="zh-CN"/>
        </w:rPr>
        <w:t>金融工作局</w:t>
      </w:r>
      <w:r>
        <w:rPr>
          <w:rFonts w:hint="eastAsia" w:ascii="宋体" w:hAnsi="宋体" w:eastAsia="宋体" w:cs="宋体"/>
          <w:b/>
          <w:bCs/>
          <w:sz w:val="30"/>
          <w:szCs w:val="30"/>
          <w:lang w:val="en-US" w:eastAsia="zh-CN"/>
        </w:rPr>
        <w:t>2020</w:t>
      </w:r>
      <w:r>
        <w:rPr>
          <w:rFonts w:hint="eastAsia" w:ascii="宋体" w:hAnsi="宋体" w:eastAsia="宋体" w:cs="宋体"/>
          <w:b/>
          <w:bCs/>
          <w:sz w:val="30"/>
          <w:szCs w:val="30"/>
        </w:rPr>
        <w:t>年部门预算情况说明</w:t>
      </w:r>
    </w:p>
    <w:p>
      <w:pPr>
        <w:pStyle w:val="5"/>
        <w:keepNext w:val="0"/>
        <w:keepLines w:val="0"/>
        <w:pageBreakBefore w:val="0"/>
        <w:kinsoku/>
        <w:wordWrap/>
        <w:topLinePunct w:val="0"/>
        <w:autoSpaceDE/>
        <w:autoSpaceDN/>
        <w:bidi w:val="0"/>
        <w:spacing w:line="600" w:lineRule="exact"/>
        <w:ind w:firstLine="643"/>
        <w:rPr>
          <w:rFonts w:hint="eastAsia" w:ascii="宋体" w:hAnsi="宋体" w:eastAsia="宋体" w:cs="宋体"/>
          <w:b/>
          <w:color w:val="auto"/>
          <w:kern w:val="0"/>
          <w:sz w:val="30"/>
          <w:szCs w:val="30"/>
          <w:lang w:val="en-US" w:eastAsia="zh-CN" w:bidi="hi-IN"/>
        </w:rPr>
      </w:pPr>
      <w:r>
        <w:rPr>
          <w:rFonts w:hint="eastAsia" w:ascii="宋体" w:hAnsi="宋体" w:eastAsia="宋体" w:cs="宋体"/>
          <w:b/>
          <w:color w:val="auto"/>
          <w:kern w:val="0"/>
          <w:sz w:val="30"/>
          <w:szCs w:val="30"/>
          <w:lang w:val="en-US" w:eastAsia="zh-CN" w:bidi="hi-IN"/>
        </w:rPr>
        <w:t>（一）收入预算情况</w:t>
      </w:r>
    </w:p>
    <w:p>
      <w:pPr>
        <w:pStyle w:val="5"/>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2020年金融工作局收入预算总额为676.42万元,</w:t>
      </w:r>
      <w:r>
        <w:rPr>
          <w:rFonts w:hint="eastAsia" w:ascii="宋体" w:hAnsi="宋体" w:eastAsia="宋体" w:cs="宋体"/>
          <w:color w:val="000000"/>
          <w:kern w:val="0"/>
          <w:sz w:val="30"/>
          <w:szCs w:val="30"/>
          <w:lang w:val="en-US" w:eastAsia="zh-CN" w:bidi="ar-SA"/>
        </w:rPr>
        <w:t>较上年预算安排增加</w:t>
      </w:r>
      <w:r>
        <w:rPr>
          <w:rFonts w:hint="eastAsia" w:ascii="宋体" w:hAnsi="宋体" w:cs="宋体"/>
          <w:color w:val="000000"/>
          <w:kern w:val="0"/>
          <w:sz w:val="30"/>
          <w:szCs w:val="30"/>
          <w:lang w:val="en-US" w:eastAsia="zh-CN" w:bidi="ar-SA"/>
        </w:rPr>
        <w:t>118.48</w:t>
      </w:r>
      <w:r>
        <w:rPr>
          <w:rFonts w:hint="eastAsia" w:ascii="宋体" w:hAnsi="宋体" w:eastAsia="宋体" w:cs="宋体"/>
          <w:color w:val="000000"/>
          <w:kern w:val="0"/>
          <w:sz w:val="30"/>
          <w:szCs w:val="30"/>
          <w:lang w:val="en-US" w:eastAsia="zh-CN" w:bidi="ar-SA"/>
        </w:rPr>
        <w:t>万元，增幅</w:t>
      </w:r>
      <w:r>
        <w:rPr>
          <w:rFonts w:hint="eastAsia" w:ascii="宋体" w:hAnsi="宋体" w:cs="宋体"/>
          <w:color w:val="000000"/>
          <w:kern w:val="0"/>
          <w:sz w:val="30"/>
          <w:szCs w:val="30"/>
          <w:lang w:val="en-US" w:eastAsia="zh-CN" w:bidi="ar-SA"/>
        </w:rPr>
        <w:t>21.23</w:t>
      </w:r>
      <w:r>
        <w:rPr>
          <w:rFonts w:hint="eastAsia" w:ascii="宋体" w:hAnsi="宋体" w:eastAsia="宋体" w:cs="宋体"/>
          <w:color w:val="000000"/>
          <w:kern w:val="0"/>
          <w:sz w:val="30"/>
          <w:szCs w:val="30"/>
          <w:lang w:val="en-US" w:eastAsia="zh-CN" w:bidi="ar-SA"/>
        </w:rPr>
        <w:t>%</w:t>
      </w:r>
      <w:r>
        <w:rPr>
          <w:rFonts w:hint="eastAsia" w:ascii="宋体" w:hAnsi="宋体" w:cs="宋体"/>
          <w:color w:val="000000"/>
          <w:kern w:val="0"/>
          <w:sz w:val="30"/>
          <w:szCs w:val="30"/>
          <w:lang w:val="en-US" w:eastAsia="zh-CN" w:bidi="ar-SA"/>
        </w:rPr>
        <w:t>。</w:t>
      </w:r>
      <w:r>
        <w:rPr>
          <w:rFonts w:hint="eastAsia" w:ascii="宋体" w:hAnsi="宋体" w:eastAsia="宋体" w:cs="宋体"/>
          <w:i w:val="0"/>
          <w:color w:val="000000"/>
          <w:kern w:val="0"/>
          <w:sz w:val="30"/>
          <w:szCs w:val="30"/>
          <w:u w:val="none"/>
          <w:shd w:val="clear" w:fill="FFFFFF"/>
          <w:lang w:val="en-US" w:eastAsia="zh-CN" w:bidi="ar"/>
        </w:rPr>
        <w:t>其中：财政拨款收入676.42万元,占收入预算总额的100%，包括财政拨款（补助）收入676.42万元。</w:t>
      </w:r>
      <w:r>
        <w:rPr>
          <w:rFonts w:hint="eastAsia" w:ascii="宋体" w:hAnsi="宋体" w:eastAsia="宋体" w:cs="宋体"/>
          <w:color w:val="000000"/>
          <w:kern w:val="0"/>
          <w:sz w:val="30"/>
          <w:szCs w:val="30"/>
          <w:lang w:val="en-US" w:eastAsia="zh-CN" w:bidi="ar-SA"/>
        </w:rPr>
        <w:t>无事业收入、事业单位经营收入，上年结转（结余）</w:t>
      </w:r>
      <w:r>
        <w:rPr>
          <w:rFonts w:hint="eastAsia" w:ascii="宋体" w:hAnsi="宋体" w:cs="宋体"/>
          <w:color w:val="000000"/>
          <w:kern w:val="0"/>
          <w:sz w:val="30"/>
          <w:szCs w:val="30"/>
          <w:lang w:val="en-US" w:eastAsia="zh-CN" w:bidi="ar-SA"/>
        </w:rPr>
        <w:t>26.842742</w:t>
      </w:r>
      <w:r>
        <w:rPr>
          <w:rFonts w:hint="eastAsia" w:ascii="宋体" w:hAnsi="宋体" w:eastAsia="宋体" w:cs="宋体"/>
          <w:color w:val="000000"/>
          <w:kern w:val="0"/>
          <w:sz w:val="30"/>
          <w:szCs w:val="30"/>
          <w:lang w:val="en-US" w:eastAsia="zh-CN" w:bidi="ar-SA"/>
        </w:rPr>
        <w:t>万元，较上年增加了</w:t>
      </w:r>
      <w:r>
        <w:rPr>
          <w:rFonts w:hint="eastAsia" w:ascii="宋体" w:hAnsi="宋体" w:cs="宋体"/>
          <w:color w:val="000000"/>
          <w:kern w:val="0"/>
          <w:sz w:val="30"/>
          <w:szCs w:val="30"/>
          <w:lang w:val="en-US" w:eastAsia="zh-CN" w:bidi="ar-SA"/>
        </w:rPr>
        <w:t>16.63</w:t>
      </w:r>
      <w:r>
        <w:rPr>
          <w:rFonts w:hint="eastAsia" w:ascii="宋体" w:hAnsi="宋体" w:eastAsia="宋体" w:cs="宋体"/>
          <w:color w:val="000000"/>
          <w:kern w:val="0"/>
          <w:sz w:val="30"/>
          <w:szCs w:val="30"/>
          <w:lang w:val="en-US" w:eastAsia="zh-CN" w:bidi="ar-SA"/>
        </w:rPr>
        <w:t>%。</w:t>
      </w:r>
    </w:p>
    <w:p>
      <w:pPr>
        <w:pStyle w:val="5"/>
        <w:keepNext w:val="0"/>
        <w:keepLines w:val="0"/>
        <w:pageBreakBefore w:val="0"/>
        <w:kinsoku/>
        <w:wordWrap/>
        <w:topLinePunct w:val="0"/>
        <w:autoSpaceDE/>
        <w:autoSpaceDN/>
        <w:bidi w:val="0"/>
        <w:spacing w:line="600" w:lineRule="exact"/>
        <w:ind w:firstLine="643"/>
        <w:rPr>
          <w:rFonts w:hint="eastAsia" w:ascii="宋体" w:hAnsi="宋体" w:eastAsia="宋体" w:cs="宋体"/>
          <w:b/>
          <w:color w:val="auto"/>
          <w:kern w:val="0"/>
          <w:sz w:val="30"/>
          <w:szCs w:val="30"/>
          <w:lang w:val="en-US" w:eastAsia="zh-CN" w:bidi="hi-IN"/>
        </w:rPr>
      </w:pPr>
      <w:r>
        <w:rPr>
          <w:rFonts w:hint="eastAsia" w:ascii="宋体" w:hAnsi="宋体" w:eastAsia="宋体" w:cs="宋体"/>
          <w:b/>
          <w:color w:val="auto"/>
          <w:kern w:val="0"/>
          <w:sz w:val="30"/>
          <w:szCs w:val="30"/>
          <w:lang w:val="en-US" w:eastAsia="zh-CN" w:bidi="hi-IN"/>
        </w:rPr>
        <w:t>（二）支出预算情况</w:t>
      </w:r>
    </w:p>
    <w:p>
      <w:pPr>
        <w:pStyle w:val="5"/>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2020金融工作局支出预算总额为676.42万元，其中：</w:t>
      </w:r>
    </w:p>
    <w:p>
      <w:pPr>
        <w:pStyle w:val="5"/>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按支出项目类别划分：基本支出46.42万元，占支出总额的6.86%，包括工资福利支出31.42万元、商品和服务支出15万元。</w:t>
      </w:r>
    </w:p>
    <w:p>
      <w:pPr>
        <w:pStyle w:val="5"/>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按支出功能科目划分：政策性农业保险县配套支出395万元，占支出预算总额的58.40%；2019年县域经济金融发展考核奖励支出200万元，占支出预算总额的29.57%;“金信保”保险费支出20万元，占支出预算总额的3%；医疗卫生和计划生育支出2.88万元，占支出预算总额的0.42%；住房保障支出3.22万元，占支出预算总额的0.048%;社会保障和就业支出7.75万元，占支出预算总额的1.15%。</w:t>
      </w:r>
    </w:p>
    <w:p>
      <w:pPr>
        <w:pStyle w:val="5"/>
        <w:keepNext w:val="0"/>
        <w:keepLines w:val="0"/>
        <w:pageBreakBefore w:val="0"/>
        <w:kinsoku/>
        <w:wordWrap/>
        <w:topLinePunct w:val="0"/>
        <w:autoSpaceDE/>
        <w:autoSpaceDN/>
        <w:bidi w:val="0"/>
        <w:spacing w:line="600" w:lineRule="exact"/>
        <w:ind w:firstLine="643"/>
        <w:rPr>
          <w:rFonts w:hint="eastAsia" w:ascii="宋体" w:hAnsi="宋体" w:eastAsia="宋体" w:cs="宋体"/>
          <w:b/>
          <w:color w:val="auto"/>
          <w:kern w:val="0"/>
          <w:sz w:val="30"/>
          <w:szCs w:val="30"/>
          <w:lang w:val="en-US" w:eastAsia="zh-CN" w:bidi="hi-IN"/>
        </w:rPr>
      </w:pPr>
      <w:r>
        <w:rPr>
          <w:rFonts w:hint="eastAsia" w:ascii="宋体" w:hAnsi="宋体" w:eastAsia="宋体" w:cs="宋体"/>
          <w:b/>
          <w:color w:val="auto"/>
          <w:kern w:val="0"/>
          <w:sz w:val="30"/>
          <w:szCs w:val="30"/>
          <w:lang w:val="en-US" w:eastAsia="zh-CN" w:bidi="hi-IN"/>
        </w:rPr>
        <w:t>（三）财政拨款（补助）支出情况</w:t>
      </w:r>
    </w:p>
    <w:p>
      <w:pPr>
        <w:pStyle w:val="5"/>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2020年金融工作局拨款支出预算676.42万元，占支出总额的100%，具体为：政策性农业保险县配套支出395万元，占支出预算总额的58.40%；2019年县域经济金融发展考核奖励在2020预算支出需200万元，占支出预算总额的29.57%;“金信保”保险费支出20万元，占支出预算总额的3%；医疗卫生和计划生育支出2.88万元，占支出预算总额的0.42%；住房保障支出3.22万元，占支出预算总额的0.048%;社会保障和就业支出7.75万元，占支出预算总额的1.15%。</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lang w:eastAsia="zh-CN"/>
        </w:rPr>
        <w:t>（</w:t>
      </w:r>
      <w:r>
        <w:rPr>
          <w:rFonts w:hint="eastAsia" w:ascii="宋体" w:hAnsi="宋体" w:eastAsia="宋体" w:cs="宋体"/>
          <w:b/>
          <w:sz w:val="30"/>
          <w:szCs w:val="30"/>
        </w:rPr>
        <w:t>四）政府性基金情况</w:t>
      </w:r>
    </w:p>
    <w:p>
      <w:pPr>
        <w:keepNext w:val="0"/>
        <w:keepLines w:val="0"/>
        <w:pageBreakBefore w:val="0"/>
        <w:kinsoku/>
        <w:wordWrap/>
        <w:topLinePunct w:val="0"/>
        <w:autoSpaceDE/>
        <w:autoSpaceDN/>
        <w:bidi w:val="0"/>
        <w:spacing w:line="600" w:lineRule="exact"/>
        <w:ind w:left="142" w:leftChars="71" w:firstLine="600" w:firstLineChars="200"/>
        <w:rPr>
          <w:rFonts w:hint="eastAsia" w:ascii="宋体" w:hAnsi="宋体" w:eastAsia="宋体" w:cs="宋体"/>
          <w:sz w:val="30"/>
          <w:szCs w:val="30"/>
        </w:rPr>
      </w:pPr>
      <w:r>
        <w:rPr>
          <w:rFonts w:hint="eastAsia" w:ascii="宋体" w:hAnsi="宋体" w:eastAsia="宋体" w:cs="宋体"/>
          <w:sz w:val="30"/>
          <w:szCs w:val="30"/>
        </w:rPr>
        <w:t>无政府性基金</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（五）</w:t>
      </w:r>
      <w:r>
        <w:rPr>
          <w:rFonts w:hint="eastAsia" w:ascii="宋体" w:hAnsi="宋体" w:eastAsia="宋体" w:cs="宋体"/>
          <w:b/>
          <w:sz w:val="30"/>
          <w:szCs w:val="30"/>
          <w:lang w:eastAsia="zh-CN"/>
        </w:rPr>
        <w:t>单位</w:t>
      </w:r>
      <w:r>
        <w:rPr>
          <w:rFonts w:hint="eastAsia" w:ascii="宋体" w:hAnsi="宋体" w:eastAsia="宋体" w:cs="宋体"/>
          <w:b/>
          <w:sz w:val="30"/>
          <w:szCs w:val="30"/>
        </w:rPr>
        <w:t>运行经费等重要事项的说明</w:t>
      </w:r>
    </w:p>
    <w:p>
      <w:pPr>
        <w:keepNext w:val="0"/>
        <w:keepLines w:val="0"/>
        <w:pageBreakBefore w:val="0"/>
        <w:widowControl/>
        <w:kinsoku/>
        <w:wordWrap/>
        <w:topLinePunct w:val="0"/>
        <w:autoSpaceDE/>
        <w:autoSpaceDN/>
        <w:bidi w:val="0"/>
        <w:spacing w:line="600" w:lineRule="exact"/>
        <w:ind w:firstLine="636"/>
        <w:jc w:val="left"/>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2020年部门运行经费预算15万元，与上年度持平。2019年局本级无下属单位。</w:t>
      </w:r>
    </w:p>
    <w:p>
      <w:pPr>
        <w:keepNext w:val="0"/>
        <w:keepLines w:val="0"/>
        <w:pageBreakBefore w:val="0"/>
        <w:kinsoku/>
        <w:wordWrap/>
        <w:topLinePunct w:val="0"/>
        <w:autoSpaceDE/>
        <w:autoSpaceDN/>
        <w:bidi w:val="0"/>
        <w:spacing w:line="600" w:lineRule="exact"/>
        <w:ind w:firstLine="567" w:firstLineChars="189"/>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（六）政府采购情况</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00" w:firstLineChars="200"/>
        <w:textAlignment w:val="auto"/>
        <w:outlineLvl w:val="9"/>
        <w:rPr>
          <w:rFonts w:hint="eastAsia" w:ascii="宋体" w:hAnsi="宋体" w:eastAsia="宋体" w:cs="宋体"/>
          <w:i w:val="0"/>
          <w:color w:val="000000"/>
          <w:kern w:val="0"/>
          <w:sz w:val="30"/>
          <w:szCs w:val="30"/>
          <w:u w:val="none"/>
          <w:shd w:val="clear" w:fill="FFFFFF"/>
          <w:lang w:val="en-US" w:eastAsia="zh-CN" w:bidi="ar"/>
        </w:rPr>
      </w:pPr>
      <w:r>
        <w:rPr>
          <w:rFonts w:hint="eastAsia" w:ascii="宋体" w:hAnsi="宋体" w:eastAsia="宋体" w:cs="宋体"/>
          <w:i w:val="0"/>
          <w:color w:val="000000"/>
          <w:kern w:val="0"/>
          <w:sz w:val="30"/>
          <w:szCs w:val="30"/>
          <w:u w:val="none"/>
          <w:shd w:val="clear" w:fill="FFFFFF"/>
          <w:lang w:val="en-US" w:eastAsia="zh-CN" w:bidi="ar"/>
        </w:rPr>
        <w:t>2020年金融工作局需要采购一批办公设备，财政拨款支出预算2.8万元，占支出预算总额的0.35%。</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left="0" w:leftChars="0" w:right="0" w:rightChars="0" w:firstLine="602" w:firstLineChars="200"/>
        <w:textAlignment w:val="auto"/>
        <w:outlineLvl w:val="9"/>
        <w:rPr>
          <w:rFonts w:hint="eastAsia" w:ascii="宋体" w:hAnsi="宋体" w:eastAsia="宋体" w:cs="宋体"/>
          <w:b/>
          <w:sz w:val="30"/>
          <w:szCs w:val="30"/>
        </w:rPr>
      </w:pPr>
      <w:r>
        <w:rPr>
          <w:rFonts w:hint="eastAsia" w:ascii="宋体" w:hAnsi="宋体" w:eastAsia="宋体" w:cs="宋体"/>
          <w:b/>
          <w:sz w:val="30"/>
          <w:szCs w:val="30"/>
        </w:rPr>
        <w:t>国有资产占有使用情况</w:t>
      </w:r>
    </w:p>
    <w:p>
      <w:pPr>
        <w:keepNext w:val="0"/>
        <w:keepLines w:val="0"/>
        <w:pageBreakBefore w:val="0"/>
        <w:widowControl/>
        <w:kinsoku/>
        <w:wordWrap/>
        <w:topLinePunct w:val="0"/>
        <w:autoSpaceDE/>
        <w:autoSpaceDN/>
        <w:bidi w:val="0"/>
        <w:spacing w:line="600" w:lineRule="exact"/>
        <w:ind w:firstLine="750" w:firstLineChars="250"/>
        <w:jc w:val="left"/>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年部门</w:t>
      </w:r>
      <w:r>
        <w:rPr>
          <w:rFonts w:hint="eastAsia" w:ascii="宋体" w:hAnsi="宋体" w:eastAsia="宋体" w:cs="宋体"/>
          <w:sz w:val="30"/>
          <w:szCs w:val="30"/>
          <w:lang w:eastAsia="zh-CN"/>
        </w:rPr>
        <w:t>无公车，</w:t>
      </w:r>
      <w:r>
        <w:rPr>
          <w:rFonts w:hint="eastAsia" w:ascii="宋体" w:hAnsi="宋体" w:eastAsia="宋体" w:cs="宋体"/>
          <w:sz w:val="30"/>
          <w:szCs w:val="30"/>
        </w:rPr>
        <w:t>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辆，无安排购置单位价值200万元以上大型设备。</w:t>
      </w:r>
    </w:p>
    <w:p>
      <w:pPr>
        <w:keepNext w:val="0"/>
        <w:keepLines w:val="0"/>
        <w:pageBreakBefore w:val="0"/>
        <w:widowControl/>
        <w:numPr>
          <w:ilvl w:val="0"/>
          <w:numId w:val="2"/>
        </w:numPr>
        <w:kinsoku/>
        <w:wordWrap/>
        <w:topLinePunct w:val="0"/>
        <w:autoSpaceDE/>
        <w:autoSpaceDN/>
        <w:bidi w:val="0"/>
        <w:spacing w:line="600" w:lineRule="exact"/>
        <w:ind w:firstLine="753" w:firstLineChars="250"/>
        <w:jc w:val="left"/>
        <w:rPr>
          <w:rFonts w:hint="eastAsia" w:ascii="宋体" w:hAnsi="宋体" w:eastAsia="宋体" w:cs="宋体"/>
          <w:b/>
          <w:sz w:val="30"/>
          <w:szCs w:val="30"/>
        </w:rPr>
      </w:pPr>
      <w:r>
        <w:rPr>
          <w:rFonts w:hint="eastAsia" w:ascii="宋体" w:hAnsi="宋体" w:eastAsia="宋体" w:cs="宋体"/>
          <w:b/>
          <w:sz w:val="30"/>
          <w:szCs w:val="30"/>
        </w:rPr>
        <w:t>重点项目预算的绩效目标等预算绩效情况说明</w:t>
      </w:r>
    </w:p>
    <w:p>
      <w:pPr>
        <w:keepNext w:val="0"/>
        <w:keepLines w:val="0"/>
        <w:pageBreakBefore w:val="0"/>
        <w:widowControl/>
        <w:numPr>
          <w:ilvl w:val="0"/>
          <w:numId w:val="0"/>
        </w:numPr>
        <w:kinsoku/>
        <w:wordWrap/>
        <w:topLinePunct w:val="0"/>
        <w:autoSpaceDE/>
        <w:autoSpaceDN/>
        <w:bidi w:val="0"/>
        <w:spacing w:line="600" w:lineRule="exact"/>
        <w:jc w:val="left"/>
        <w:rPr>
          <w:rFonts w:hint="eastAsia" w:ascii="宋体" w:hAnsi="宋体" w:eastAsia="宋体" w:cs="宋体"/>
          <w:b w:val="0"/>
          <w:bCs/>
          <w:sz w:val="30"/>
          <w:szCs w:val="30"/>
          <w:lang w:val="en-US" w:eastAsia="zh-CN"/>
        </w:rPr>
      </w:pPr>
      <w:r>
        <w:rPr>
          <w:rFonts w:hint="eastAsia" w:ascii="宋体" w:hAnsi="宋体" w:eastAsia="宋体" w:cs="宋体"/>
          <w:b/>
          <w:sz w:val="30"/>
          <w:szCs w:val="30"/>
          <w:lang w:val="en-US" w:eastAsia="zh-CN"/>
        </w:rPr>
        <w:t xml:space="preserve">       </w:t>
      </w:r>
      <w:r>
        <w:rPr>
          <w:rFonts w:hint="eastAsia" w:ascii="宋体" w:hAnsi="宋体" w:eastAsia="宋体" w:cs="宋体"/>
          <w:b w:val="0"/>
          <w:bCs/>
          <w:sz w:val="30"/>
          <w:szCs w:val="30"/>
          <w:lang w:val="en-US" w:eastAsia="zh-CN"/>
        </w:rPr>
        <w:t xml:space="preserve">    无</w:t>
      </w:r>
    </w:p>
    <w:p>
      <w:pPr>
        <w:keepNext w:val="0"/>
        <w:keepLines w:val="0"/>
        <w:pageBreakBefore w:val="0"/>
        <w:kinsoku/>
        <w:wordWrap/>
        <w:topLinePunct w:val="0"/>
        <w:autoSpaceDE/>
        <w:autoSpaceDN/>
        <w:bidi w:val="0"/>
        <w:spacing w:line="600" w:lineRule="exact"/>
        <w:ind w:firstLine="569" w:firstLineChars="189"/>
        <w:rPr>
          <w:rFonts w:hint="eastAsia" w:ascii="宋体" w:hAnsi="宋体" w:eastAsia="宋体" w:cs="宋体"/>
          <w:b/>
          <w:sz w:val="30"/>
          <w:szCs w:val="30"/>
        </w:rPr>
      </w:pPr>
      <w:r>
        <w:rPr>
          <w:rFonts w:hint="eastAsia" w:ascii="宋体" w:hAnsi="宋体" w:eastAsia="宋体" w:cs="宋体"/>
          <w:b/>
          <w:kern w:val="0"/>
          <w:sz w:val="30"/>
          <w:szCs w:val="30"/>
        </w:rPr>
        <w:t>二、</w:t>
      </w:r>
      <w:r>
        <w:rPr>
          <w:rFonts w:hint="eastAsia" w:ascii="宋体" w:hAnsi="宋体" w:eastAsia="宋体" w:cs="宋体"/>
          <w:b/>
          <w:sz w:val="30"/>
          <w:szCs w:val="30"/>
        </w:rPr>
        <w:t>20</w:t>
      </w:r>
      <w:r>
        <w:rPr>
          <w:rFonts w:hint="eastAsia" w:ascii="宋体" w:hAnsi="宋体" w:eastAsia="宋体" w:cs="宋体"/>
          <w:b/>
          <w:sz w:val="30"/>
          <w:szCs w:val="30"/>
          <w:lang w:val="en-US" w:eastAsia="zh-CN"/>
        </w:rPr>
        <w:t>20</w:t>
      </w:r>
      <w:r>
        <w:rPr>
          <w:rFonts w:hint="eastAsia" w:ascii="宋体" w:hAnsi="宋体" w:eastAsia="宋体" w:cs="宋体"/>
          <w:b/>
          <w:sz w:val="30"/>
          <w:szCs w:val="30"/>
        </w:rPr>
        <w:t>年“三公”经费预算情况说明</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“三公”经费一般公共预算安</w:t>
      </w:r>
      <w:r>
        <w:rPr>
          <w:rFonts w:hint="eastAsia" w:ascii="宋体" w:hAnsi="宋体" w:eastAsia="宋体" w:cs="宋体"/>
          <w:sz w:val="30"/>
          <w:szCs w:val="30"/>
          <w:lang w:val="en-US" w:eastAsia="zh-CN"/>
        </w:rPr>
        <w:t>2.8</w:t>
      </w:r>
      <w:r>
        <w:rPr>
          <w:rFonts w:hint="eastAsia" w:ascii="宋体" w:hAnsi="宋体" w:eastAsia="宋体" w:cs="宋体"/>
          <w:sz w:val="30"/>
          <w:szCs w:val="30"/>
        </w:rPr>
        <w:t>万元。</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1.因公出国（境）费0万元。</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2.公务接待费</w:t>
      </w:r>
      <w:r>
        <w:rPr>
          <w:rFonts w:hint="eastAsia" w:ascii="宋体" w:hAnsi="宋体" w:eastAsia="宋体" w:cs="宋体"/>
          <w:sz w:val="30"/>
          <w:szCs w:val="30"/>
          <w:lang w:val="en-US" w:eastAsia="zh-CN"/>
        </w:rPr>
        <w:t>2.8</w:t>
      </w:r>
      <w:r>
        <w:rPr>
          <w:rFonts w:hint="eastAsia" w:ascii="宋体" w:hAnsi="宋体" w:eastAsia="宋体" w:cs="宋体"/>
          <w:sz w:val="30"/>
          <w:szCs w:val="30"/>
        </w:rPr>
        <w:t>万元</w:t>
      </w:r>
      <w:r>
        <w:rPr>
          <w:rFonts w:hint="eastAsia" w:ascii="宋体" w:hAnsi="宋体" w:eastAsia="宋体" w:cs="宋体"/>
          <w:sz w:val="30"/>
          <w:szCs w:val="30"/>
          <w:lang w:eastAsia="zh-CN"/>
        </w:rPr>
        <w:t>，与上年度持平</w:t>
      </w:r>
      <w:r>
        <w:rPr>
          <w:rFonts w:hint="eastAsia" w:ascii="宋体" w:hAnsi="宋体" w:eastAsia="宋体" w:cs="宋体"/>
          <w:sz w:val="30"/>
          <w:szCs w:val="30"/>
        </w:rPr>
        <w:t>。</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3.公务用车运行维护费0万元。</w:t>
      </w:r>
    </w:p>
    <w:p>
      <w:pPr>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p>
    <w:p>
      <w:pPr>
        <w:keepNext w:val="0"/>
        <w:keepLines w:val="0"/>
        <w:pageBreakBefore w:val="0"/>
        <w:kinsoku/>
        <w:wordWrap/>
        <w:topLinePunct w:val="0"/>
        <w:autoSpaceDE/>
        <w:autoSpaceDN/>
        <w:bidi w:val="0"/>
        <w:spacing w:line="600" w:lineRule="exact"/>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金融工作局2020</w:t>
      </w:r>
      <w:r>
        <w:rPr>
          <w:rFonts w:hint="eastAsia" w:ascii="宋体" w:hAnsi="宋体" w:eastAsia="宋体" w:cs="宋体"/>
          <w:b/>
          <w:bCs/>
          <w:sz w:val="30"/>
          <w:szCs w:val="30"/>
        </w:rPr>
        <w:t>年部门预算表</w:t>
      </w:r>
    </w:p>
    <w:p>
      <w:pPr>
        <w:keepNext w:val="0"/>
        <w:keepLines w:val="0"/>
        <w:pageBreakBefore w:val="0"/>
        <w:widowControl/>
        <w:kinsoku/>
        <w:wordWrap/>
        <w:topLinePunct w:val="0"/>
        <w:autoSpaceDE/>
        <w:autoSpaceDN/>
        <w:bidi w:val="0"/>
        <w:spacing w:line="60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八张表（详见附表）</w:t>
      </w:r>
    </w:p>
    <w:p>
      <w:pPr>
        <w:keepNext w:val="0"/>
        <w:keepLines w:val="0"/>
        <w:pageBreakBefore w:val="0"/>
        <w:widowControl/>
        <w:kinsoku/>
        <w:wordWrap/>
        <w:topLinePunct w:val="0"/>
        <w:autoSpaceDE/>
        <w:autoSpaceDN/>
        <w:bidi w:val="0"/>
        <w:spacing w:line="600" w:lineRule="exact"/>
        <w:ind w:firstLine="600" w:firstLineChars="200"/>
        <w:jc w:val="left"/>
        <w:rPr>
          <w:rFonts w:hint="eastAsia" w:ascii="宋体" w:hAnsi="宋体" w:eastAsia="宋体" w:cs="宋体"/>
          <w:sz w:val="30"/>
          <w:szCs w:val="30"/>
        </w:rPr>
      </w:pPr>
    </w:p>
    <w:p>
      <w:pPr>
        <w:keepNext w:val="0"/>
        <w:keepLines w:val="0"/>
        <w:pageBreakBefore w:val="0"/>
        <w:kinsoku/>
        <w:wordWrap/>
        <w:topLinePunct w:val="0"/>
        <w:autoSpaceDE/>
        <w:autoSpaceDN/>
        <w:bidi w:val="0"/>
        <w:spacing w:line="600" w:lineRule="exact"/>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bCs/>
          <w:sz w:val="30"/>
          <w:szCs w:val="30"/>
        </w:rPr>
      </w:pPr>
      <w:r>
        <w:rPr>
          <w:rFonts w:hint="eastAsia" w:ascii="宋体" w:hAnsi="宋体" w:eastAsia="宋体" w:cs="宋体"/>
          <w:b/>
          <w:bCs/>
          <w:sz w:val="30"/>
          <w:szCs w:val="30"/>
        </w:rPr>
        <w:t>一、收入科目</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（一）财政拨款：指省级财政当年拨付的资金。</w:t>
      </w:r>
    </w:p>
    <w:p>
      <w:pPr>
        <w:pStyle w:val="5"/>
        <w:keepNext w:val="0"/>
        <w:keepLines w:val="0"/>
        <w:pageBreakBefore w:val="0"/>
        <w:widowControl/>
        <w:kinsoku/>
        <w:wordWrap/>
        <w:topLinePunct w:val="0"/>
        <w:autoSpaceDE/>
        <w:autoSpaceDN/>
        <w:bidi w:val="0"/>
        <w:spacing w:line="600" w:lineRule="exact"/>
        <w:ind w:firstLine="636"/>
        <w:jc w:val="left"/>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（二）事业收入：指事业单位开展专业业务活动及辅助活动取得的收入。</w:t>
      </w:r>
    </w:p>
    <w:p>
      <w:pPr>
        <w:pStyle w:val="5"/>
        <w:keepNext w:val="0"/>
        <w:keepLines w:val="0"/>
        <w:pageBreakBefore w:val="0"/>
        <w:widowControl/>
        <w:kinsoku/>
        <w:wordWrap/>
        <w:topLinePunct w:val="0"/>
        <w:autoSpaceDE/>
        <w:autoSpaceDN/>
        <w:bidi w:val="0"/>
        <w:spacing w:line="600" w:lineRule="exact"/>
        <w:ind w:firstLine="636"/>
        <w:jc w:val="left"/>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（三）事业单位经营收入：指事业单位在专业业务活动及辅助活动之外开展非独立核算经营活动取得的收入。</w:t>
      </w:r>
    </w:p>
    <w:p>
      <w:pPr>
        <w:pStyle w:val="5"/>
        <w:keepNext w:val="0"/>
        <w:keepLines w:val="0"/>
        <w:pageBreakBefore w:val="0"/>
        <w:kinsoku/>
        <w:wordWrap/>
        <w:topLinePunct w:val="0"/>
        <w:autoSpaceDE/>
        <w:autoSpaceDN/>
        <w:bidi w:val="0"/>
        <w:spacing w:line="600" w:lineRule="exact"/>
        <w:ind w:firstLine="770"/>
        <w:rPr>
          <w:rFonts w:hint="eastAsia" w:ascii="宋体" w:hAnsi="宋体" w:eastAsia="宋体" w:cs="宋体"/>
          <w:sz w:val="30"/>
          <w:szCs w:val="30"/>
        </w:rPr>
      </w:pPr>
      <w:r>
        <w:rPr>
          <w:rFonts w:hint="eastAsia" w:ascii="宋体" w:hAnsi="宋体" w:eastAsia="宋体" w:cs="宋体"/>
          <w:sz w:val="30"/>
          <w:szCs w:val="30"/>
        </w:rPr>
        <w:t>（四）上年结转和结余：填列2017年全部结转和结余的资金数，包括当年结转结余资金和历年滚存结转结余资金。</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b/>
          <w:bCs/>
          <w:sz w:val="30"/>
          <w:szCs w:val="30"/>
        </w:rPr>
      </w:pPr>
      <w:r>
        <w:rPr>
          <w:rFonts w:hint="eastAsia" w:ascii="宋体" w:hAnsi="宋体" w:eastAsia="宋体" w:cs="宋体"/>
          <w:b/>
          <w:bCs/>
          <w:sz w:val="30"/>
          <w:szCs w:val="30"/>
        </w:rPr>
        <w:t>二、支出科目</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（一）行政运行：反映行政单位（包括参公单位）的基本支出。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（二）一般行政管理事务：反映行政单位（包括参公单位）未单独设置项级科目的其他项目支出。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（三）机关服务：反映为行政单位（包括参公单位）提供后勤服务的各类后勤服务中心的支出。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（四）预算改革业务：反映财政部门用于预算改革方面的支出。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（五）财政国库业务：反映财政部门用于财政国库集中支出收付业务方面的支出。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（六）财政监察：反映财政监察派出机构的专项业务支出。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（七）信息化建设：反映财政部门用于“金财工程”等信息化建设方面的支出。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（八）事业运行：反映事业单位的基本支出。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（九）其他财政事务支出：反映除上述项目以外的其他财政事务方面的支出。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（十）高等职业教育：反映经国家批准设立的高等职业大学、专科职业教育等方面的支出。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（十一）培训支出：反映各部门安排的用于培训的支出。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（十二）机关事业单位基本养老保险缴费支出：反映机关事业单位实施养老保险制度由单位缴纳的基本养老保险费的支出。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（十三）行政单位医疗：反映行政事业单位基本医疗保险缴费经费。</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（十四）事业单位医疗：反映财政部门集中安排的事业单位基本医疗保险缴费经费。</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（十五）农业综合开发机构运行：反映农业综合开发部门的基本支出。</w:t>
      </w:r>
    </w:p>
    <w:p>
      <w:pPr>
        <w:pStyle w:val="5"/>
        <w:keepNext w:val="0"/>
        <w:keepLines w:val="0"/>
        <w:pageBreakBefore w:val="0"/>
        <w:widowControl/>
        <w:kinsoku/>
        <w:wordWrap/>
        <w:topLinePunct w:val="0"/>
        <w:autoSpaceDE/>
        <w:autoSpaceDN/>
        <w:bidi w:val="0"/>
        <w:spacing w:line="600" w:lineRule="exact"/>
        <w:ind w:firstLine="640"/>
        <w:jc w:val="left"/>
        <w:rPr>
          <w:rFonts w:hint="eastAsia" w:ascii="宋体" w:hAnsi="宋体" w:eastAsia="宋体" w:cs="宋体"/>
          <w:sz w:val="30"/>
          <w:szCs w:val="30"/>
        </w:rPr>
      </w:pPr>
      <w:r>
        <w:rPr>
          <w:rFonts w:hint="eastAsia" w:ascii="宋体" w:hAnsi="宋体" w:eastAsia="宋体" w:cs="宋体"/>
          <w:sz w:val="30"/>
          <w:szCs w:val="30"/>
        </w:rPr>
        <w:t>（十六）购房补贴：反映按房改政策规定，行政事业单位向符合条件职工发放的用于购买住房的补贴。</w:t>
      </w:r>
    </w:p>
    <w:p>
      <w:pPr>
        <w:keepNext w:val="0"/>
        <w:keepLines w:val="0"/>
        <w:pageBreakBefore w:val="0"/>
        <w:kinsoku/>
        <w:wordWrap/>
        <w:topLinePunct w:val="0"/>
        <w:autoSpaceDE/>
        <w:autoSpaceDN/>
        <w:bidi w:val="0"/>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kinsoku/>
        <w:wordWrap/>
        <w:topLinePunct w:val="0"/>
        <w:autoSpaceDE/>
        <w:autoSpaceDN/>
        <w:bidi w:val="0"/>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对部门</w:t>
      </w:r>
      <w:r>
        <w:rPr>
          <w:rFonts w:hint="eastAsia" w:ascii="宋体" w:hAnsi="宋体" w:eastAsia="宋体" w:cs="宋体"/>
          <w:sz w:val="30"/>
          <w:szCs w:val="30"/>
          <w:lang w:eastAsia="zh-CN"/>
        </w:rPr>
        <w:t>或单位</w:t>
      </w:r>
      <w:r>
        <w:rPr>
          <w:rFonts w:hint="eastAsia" w:ascii="宋体" w:hAnsi="宋体" w:eastAsia="宋体" w:cs="宋体"/>
          <w:sz w:val="30"/>
          <w:szCs w:val="30"/>
        </w:rPr>
        <w:t>预算中涉及的支出功能分类科目（明细到项级），结合部门实际，参照《</w:t>
      </w:r>
      <w:r>
        <w:rPr>
          <w:rFonts w:hint="eastAsia" w:ascii="宋体" w:hAnsi="宋体" w:eastAsia="宋体" w:cs="宋体"/>
          <w:sz w:val="30"/>
          <w:szCs w:val="30"/>
          <w:lang w:val="en-US" w:eastAsia="zh-CN"/>
        </w:rPr>
        <w:t>2020</w:t>
      </w:r>
      <w:r>
        <w:rPr>
          <w:rFonts w:hint="eastAsia" w:ascii="宋体" w:hAnsi="宋体" w:eastAsia="宋体" w:cs="宋体"/>
          <w:sz w:val="30"/>
          <w:szCs w:val="30"/>
        </w:rPr>
        <w:t>年政府收支分类科目》的规范说明行解释。</w:t>
      </w:r>
    </w:p>
    <w:p>
      <w:pPr>
        <w:pStyle w:val="5"/>
        <w:keepNext w:val="0"/>
        <w:keepLines w:val="0"/>
        <w:pageBreakBefore w:val="0"/>
        <w:widowControl/>
        <w:kinsoku/>
        <w:wordWrap/>
        <w:topLinePunct w:val="0"/>
        <w:autoSpaceDE/>
        <w:autoSpaceDN/>
        <w:bidi w:val="0"/>
        <w:spacing w:line="600" w:lineRule="exact"/>
        <w:ind w:firstLine="640"/>
        <w:jc w:val="left"/>
        <w:rPr>
          <w:rFonts w:ascii="仿宋_GB2312" w:hAnsi="仿宋_GB2312" w:eastAsia="仿宋_GB2312"/>
          <w:sz w:val="32"/>
          <w:szCs w:val="30"/>
        </w:rPr>
      </w:pPr>
    </w:p>
    <w:p>
      <w:pPr>
        <w:pStyle w:val="5"/>
        <w:keepNext w:val="0"/>
        <w:keepLines w:val="0"/>
        <w:pageBreakBefore w:val="0"/>
        <w:widowControl w:val="0"/>
        <w:kinsoku/>
        <w:wordWrap/>
        <w:overflowPunct/>
        <w:topLinePunct w:val="0"/>
        <w:autoSpaceDE/>
        <w:autoSpaceDN/>
        <w:bidi w:val="0"/>
        <w:snapToGrid w:val="0"/>
        <w:spacing w:line="600" w:lineRule="exact"/>
        <w:ind w:left="0" w:right="0" w:firstLine="770"/>
        <w:jc w:val="left"/>
        <w:textAlignment w:val="auto"/>
        <w:rPr>
          <w:rFonts w:ascii="仿宋_GB2312" w:hAnsi="仿宋_GB2312" w:eastAsia="仿宋_GB2312" w:cs="仿宋_GB2312"/>
          <w:color w:val="000000"/>
          <w:kern w:val="0"/>
          <w:sz w:val="32"/>
          <w:szCs w:val="32"/>
          <w:lang w:val="en-US" w:eastAsia="zh-CN" w:bidi="ar-SA"/>
        </w:rPr>
      </w:pPr>
    </w:p>
    <w:sectPr>
      <w:footerReference r:id="rId3" w:type="default"/>
      <w:pgSz w:w="11906" w:h="16838"/>
      <w:pgMar w:top="1440" w:right="1800" w:bottom="1440" w:left="1800" w:header="0" w:footer="992" w:gutter="0"/>
      <w:pgNumType w:fmt="decimal"/>
      <w:cols w:space="720" w:num="1"/>
      <w:formProt w:val="0"/>
      <w:docGrid w:type="lines" w:linePitch="312" w:charSpace="430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snapToGrid w:val="0"/>
      <w:jc w:val="left"/>
    </w:pPr>
    <w:r>
      <mc:AlternateContent>
        <mc:Choice Requires="wps">
          <w:drawing>
            <wp:anchor distT="0" distB="0" distL="0" distR="0" simplePos="0" relativeHeight="251659264" behindDoc="1" locked="0" layoutInCell="0" allowOverlap="1">
              <wp:simplePos x="0" y="0"/>
              <wp:positionH relativeFrom="margin">
                <wp:align>center</wp:align>
              </wp:positionH>
              <wp:positionV relativeFrom="paragraph">
                <wp:posOffset>635</wp:posOffset>
              </wp:positionV>
              <wp:extent cx="1829435" cy="13081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30320"/>
                      </a:xfrm>
                      <a:prstGeom prst="rect">
                        <a:avLst/>
                      </a:prstGeom>
                      <a:noFill/>
                      <a:ln w="9525">
                        <a:noFill/>
                      </a:ln>
                    </wps:spPr>
                    <wps:style>
                      <a:lnRef idx="0">
                        <a:srgbClr val="FFFFFF"/>
                      </a:lnRef>
                      <a:fillRef idx="0">
                        <a:srgbClr val="FFFFFF"/>
                      </a:fillRef>
                      <a:effectRef idx="0">
                        <a:srgbClr val="FFFFFF"/>
                      </a:effectRef>
                      <a:fontRef idx="minor"/>
                    </wps:style>
                    <wps:txbx>
                      <w:txbxContent>
                        <w:p>
                          <w:pPr>
                            <w:pStyle w:val="6"/>
                            <w:bidi w:val="0"/>
                            <w:snapToGrid w:val="0"/>
                            <w:jc w:val="left"/>
                          </w:pPr>
                        </w:p>
                      </w:txbxContent>
                    </wps:txbx>
                    <wps:bodyPr lIns="0" tIns="0" rIns="0" bIns="0">
                      <a:spAutoFit/>
                    </wps:bodyPr>
                  </wps:wsp>
                </a:graphicData>
              </a:graphic>
            </wp:anchor>
          </w:drawing>
        </mc:Choice>
        <mc:Fallback>
          <w:pict>
            <v:rect id="文本框 1" o:spid="_x0000_s1026" o:spt="1" style="position:absolute;left:0pt;margin-top:0.05pt;height:10.3pt;width:144.05pt;mso-position-horizontal:center;mso-position-horizontal-relative:margin;z-index:-251657216;mso-width-relative:page;mso-height-relative:page;" filled="f" stroked="f" coordsize="21600,21600" o:allowincell="f" o:gfxdata="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AmMndMAAAAEAQAADwAAAAAAAAABACAAAAAiAAAAZHJzL2Rvd25yZXYueG1sUEsB&#10;AhQAFAAAAAgAh07iQCm36KXBAQAAfwMAAA4AAAAAAAAAAQAgAAAAIgEAAGRycy9lMm9Eb2MueG1s&#10;UEsFBgAAAAAGAAYAWQEAAFUFAAAAAA==&#10;">
              <v:fill on="f" focussize="0,0"/>
              <v:stroke on="f"/>
              <v:imagedata o:title=""/>
              <o:lock v:ext="edit" aspectratio="f"/>
              <v:textbox inset="0mm,0mm,0mm,0mm" style="mso-fit-shape-to-text:t;">
                <w:txbxContent>
                  <w:p>
                    <w:pPr>
                      <w:pStyle w:val="6"/>
                      <w:bidi w:val="0"/>
                      <w:snapToGrid w:val="0"/>
                      <w:jc w:val="left"/>
                    </w:pPr>
                  </w:p>
                </w:txbxContent>
              </v:textbox>
            </v:rect>
          </w:pict>
        </mc:Fallback>
      </mc:AlternateContent>
    </w:r>
    <w:r>
      <mc:AlternateContent>
        <mc:Choice Requires="wps">
          <w:drawing>
            <wp:anchor distT="0" distB="0" distL="0" distR="0" simplePos="0" relativeHeight="251659264" behindDoc="1" locked="0" layoutInCell="0" allowOverlap="1">
              <wp:simplePos x="0" y="0"/>
              <wp:positionH relativeFrom="margin">
                <wp:align>center</wp:align>
              </wp:positionH>
              <wp:positionV relativeFrom="paragraph">
                <wp:posOffset>635</wp:posOffset>
              </wp:positionV>
              <wp:extent cx="1829435" cy="130810"/>
              <wp:effectExtent l="0" t="0" r="0" b="0"/>
              <wp:wrapNone/>
              <wp:docPr id="3" name="文本框 2"/>
              <wp:cNvGraphicFramePr/>
              <a:graphic xmlns:a="http://schemas.openxmlformats.org/drawingml/2006/main">
                <a:graphicData uri="http://schemas.microsoft.com/office/word/2010/wordprocessingShape">
                  <wps:wsp>
                    <wps:cNvSpPr/>
                    <wps:spPr>
                      <a:xfrm>
                        <a:off x="0" y="0"/>
                        <a:ext cx="1828800" cy="130320"/>
                      </a:xfrm>
                      <a:prstGeom prst="rect">
                        <a:avLst/>
                      </a:prstGeom>
                      <a:noFill/>
                      <a:ln w="6350">
                        <a:noFill/>
                      </a:ln>
                    </wps:spPr>
                    <wps:style>
                      <a:lnRef idx="0">
                        <a:srgbClr val="FFFFFF"/>
                      </a:lnRef>
                      <a:fillRef idx="0">
                        <a:srgbClr val="FFFFFF"/>
                      </a:fillRef>
                      <a:effectRef idx="0">
                        <a:srgbClr val="FFFFFF"/>
                      </a:effectRef>
                      <a:fontRef idx="minor"/>
                    </wps:style>
                    <wps:txbx>
                      <w:txbxContent>
                        <w:p>
                          <w:pPr>
                            <w:pStyle w:val="6"/>
                            <w:bidi w:val="0"/>
                            <w:snapToGrid w:val="0"/>
                            <w:jc w:val="left"/>
                          </w:pPr>
                          <w:r>
                            <w:fldChar w:fldCharType="begin"/>
                          </w:r>
                          <w:r>
                            <w:instrText xml:space="preserve">PAGE</w:instrText>
                          </w:r>
                          <w:r>
                            <w:fldChar w:fldCharType="separate"/>
                          </w:r>
                          <w:r>
                            <w:t>3</w:t>
                          </w:r>
                          <w:r>
                            <w:fldChar w:fldCharType="end"/>
                          </w:r>
                        </w:p>
                      </w:txbxContent>
                    </wps:txbx>
                    <wps:bodyPr lIns="0" tIns="0" rIns="0" bIns="0">
                      <a:spAutoFit/>
                    </wps:bodyPr>
                  </wps:wsp>
                </a:graphicData>
              </a:graphic>
            </wp:anchor>
          </w:drawing>
        </mc:Choice>
        <mc:Fallback>
          <w:pict>
            <v:rect id="文本框 2" o:spid="_x0000_s1026" o:spt="1" style="position:absolute;left:0pt;margin-top:0.05pt;height:10.3pt;width:144.05pt;mso-position-horizontal:center;mso-position-horizontal-relative:margin;z-index:-251657216;mso-width-relative:page;mso-height-relative:page;" filled="f" stroked="f" coordsize="21600,21600" o:allowincell="f" o:gfxdata="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MPZxp9MAAAAEAQAADwAAAAAAAAABACAAAAAiAAAAZHJzL2Rvd25yZXYueG1sUEsB&#10;AhQAFAAAAAgAh07iQD0cl4zBAQAAfwMAAA4AAAAAAAAAAQAgAAAAIgEAAGRycy9lMm9Eb2MueG1s&#10;UEsFBgAAAAAGAAYAWQEAAFUFAAAAAA==&#10;">
              <v:fill on="f" focussize="0,0"/>
              <v:stroke on="f" weight="0.5pt"/>
              <v:imagedata o:title=""/>
              <o:lock v:ext="edit" aspectratio="f"/>
              <v:textbox inset="0mm,0mm,0mm,0mm" style="mso-fit-shape-to-text:t;">
                <w:txbxContent>
                  <w:p>
                    <w:pPr>
                      <w:pStyle w:val="6"/>
                      <w:bidi w:val="0"/>
                      <w:snapToGrid w:val="0"/>
                      <w:jc w:val="left"/>
                    </w:pPr>
                    <w:r>
                      <w:fldChar w:fldCharType="begin"/>
                    </w:r>
                    <w:r>
                      <w:instrText xml:space="preserve">PAGE</w:instrText>
                    </w:r>
                    <w:r>
                      <w:fldChar w:fldCharType="separate"/>
                    </w:r>
                    <w:r>
                      <w:t>3</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021F3F"/>
    <w:multiLevelType w:val="singleLevel"/>
    <w:tmpl w:val="99021F3F"/>
    <w:lvl w:ilvl="0" w:tentative="0">
      <w:start w:val="8"/>
      <w:numFmt w:val="chineseCounting"/>
      <w:lvlText w:val="(%1)"/>
      <w:lvlJc w:val="left"/>
      <w:pPr>
        <w:tabs>
          <w:tab w:val="left" w:pos="312"/>
        </w:tabs>
      </w:pPr>
      <w:rPr>
        <w:rFonts w:hint="eastAsia"/>
      </w:rPr>
    </w:lvl>
  </w:abstractNum>
  <w:abstractNum w:abstractNumId="1">
    <w:nsid w:val="6CD3C239"/>
    <w:multiLevelType w:val="singleLevel"/>
    <w:tmpl w:val="6CD3C239"/>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autoHyphenation/>
  <w:displayHorizontalDrawingGridEvery w:val="1"/>
  <w:displayVerticalDrawingGridEvery w:val="1"/>
  <w:noPunctuationKerning w:val="1"/>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05EBD"/>
    <w:rsid w:val="0ADD326B"/>
    <w:rsid w:val="0C0C798A"/>
    <w:rsid w:val="2AB007BF"/>
    <w:rsid w:val="2DC253FD"/>
    <w:rsid w:val="351F6D7C"/>
    <w:rsid w:val="3F164DB8"/>
    <w:rsid w:val="3F581AD2"/>
    <w:rsid w:val="433A43DF"/>
    <w:rsid w:val="43561938"/>
    <w:rsid w:val="456E7026"/>
    <w:rsid w:val="491F0216"/>
    <w:rsid w:val="546E1B18"/>
    <w:rsid w:val="54FF2AB7"/>
    <w:rsid w:val="5DA24B1F"/>
    <w:rsid w:val="5E906E04"/>
    <w:rsid w:val="642F2875"/>
    <w:rsid w:val="691A126F"/>
    <w:rsid w:val="69CB503E"/>
    <w:rsid w:val="71DC5F3B"/>
    <w:rsid w:val="74BD4CCE"/>
    <w:rsid w:val="77CF6198"/>
    <w:rsid w:val="7A1C3003"/>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hi-I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ind w:left="0" w:right="0" w:firstLine="0"/>
      <w:jc w:val="left"/>
    </w:pPr>
    <w:rPr>
      <w:kern w:val="0"/>
      <w:sz w:val="24"/>
      <w:lang w:val="en-US" w:eastAsia="zh-CN" w:bidi="ar"/>
    </w:rPr>
  </w:style>
  <w:style w:type="paragraph" w:customStyle="1" w:styleId="5">
    <w:name w:val="正文1"/>
    <w:qFormat/>
    <w:uiPriority w:val="0"/>
    <w:pPr>
      <w:widowControl w:val="0"/>
      <w:suppressAutoHyphens w:val="0"/>
      <w:bidi w:val="0"/>
      <w:jc w:val="both"/>
    </w:pPr>
    <w:rPr>
      <w:rFonts w:ascii="Times New Roman" w:hAnsi="Times New Roman" w:eastAsia="宋体" w:cs="Times New Roman"/>
      <w:color w:val="auto"/>
      <w:kern w:val="2"/>
      <w:sz w:val="21"/>
      <w:szCs w:val="20"/>
      <w:lang w:val="en-US" w:eastAsia="zh-CN" w:bidi="ar-SA"/>
    </w:rPr>
  </w:style>
  <w:style w:type="paragraph" w:customStyle="1" w:styleId="6">
    <w:name w:val="页脚1"/>
    <w:basedOn w:val="5"/>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2624</Words>
  <Characters>2829</Characters>
  <Paragraphs>176</Paragraphs>
  <TotalTime>4</TotalTime>
  <ScaleCrop>false</ScaleCrop>
  <LinksUpToDate>false</LinksUpToDate>
  <CharactersWithSpaces>2894</CharactersWithSpaces>
  <Application>WPS Office_11.1.0.10495_F1E327BC-269C-435d-A152-05C5408002CA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2021-06-01T07:06:47Z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B4CD5709C8094DAFA79A5BF918A46853</vt:lpwstr>
  </property>
</Properties>
</file>