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kinsoku/>
        <w:wordWrap/>
        <w:overflowPunct w:val="0"/>
        <w:topLinePunct w:val="0"/>
        <w:autoSpaceDE/>
        <w:autoSpaceDN/>
        <w:bidi w:val="0"/>
        <w:snapToGrid/>
        <w:spacing w:line="600" w:lineRule="exact"/>
        <w:ind w:left="0" w:right="0" w:firstLine="0"/>
        <w:jc w:val="center"/>
        <w:textAlignment w:val="auto"/>
        <w:rPr>
          <w:rFonts w:ascii="黑体" w:hAnsi="黑体" w:eastAsia="黑体" w:cs="黑体"/>
          <w:bCs/>
          <w:color w:val="000000" w:themeColor="text1"/>
          <w:sz w:val="36"/>
          <w:szCs w:val="36"/>
          <w14:textFill>
            <w14:solidFill>
              <w14:schemeClr w14:val="tx1"/>
            </w14:solidFill>
          </w14:textFill>
        </w:rPr>
      </w:pPr>
      <w:r>
        <w:rPr>
          <w:rFonts w:ascii="黑体" w:hAnsi="黑体" w:eastAsia="黑体" w:cs="黑体"/>
          <w:bCs/>
          <w:color w:val="000000" w:themeColor="text1"/>
          <w:sz w:val="36"/>
          <w:szCs w:val="36"/>
          <w:lang w:val="en-US" w:eastAsia="zh-CN"/>
          <w14:textFill>
            <w14:solidFill>
              <w14:schemeClr w14:val="tx1"/>
            </w14:solidFill>
          </w14:textFill>
        </w:rPr>
        <w:t>兴国县</w:t>
      </w:r>
      <w:r>
        <w:rPr>
          <w:rFonts w:hint="eastAsia" w:ascii="黑体" w:hAnsi="黑体" w:eastAsia="黑体" w:cs="黑体"/>
          <w:bCs/>
          <w:color w:val="000000" w:themeColor="text1"/>
          <w:sz w:val="36"/>
          <w:szCs w:val="36"/>
          <w:lang w:val="en-US" w:eastAsia="zh-CN"/>
          <w14:textFill>
            <w14:solidFill>
              <w14:schemeClr w14:val="tx1"/>
            </w14:solidFill>
          </w14:textFill>
        </w:rPr>
        <w:t>委党史办</w:t>
      </w:r>
      <w:r>
        <w:rPr>
          <w:rFonts w:ascii="黑体" w:hAnsi="黑体" w:eastAsia="黑体" w:cs="黑体"/>
          <w:bCs/>
          <w:color w:val="000000" w:themeColor="text1"/>
          <w:sz w:val="36"/>
          <w:szCs w:val="36"/>
          <w:lang w:val="en-US" w:eastAsia="zh-CN"/>
          <w14:textFill>
            <w14:solidFill>
              <w14:schemeClr w14:val="tx1"/>
            </w14:solidFill>
          </w14:textFill>
        </w:rPr>
        <w:t>202</w:t>
      </w:r>
      <w:r>
        <w:rPr>
          <w:rFonts w:hint="eastAsia" w:ascii="黑体" w:hAnsi="黑体" w:eastAsia="黑体" w:cs="黑体"/>
          <w:bCs/>
          <w:color w:val="000000" w:themeColor="text1"/>
          <w:sz w:val="36"/>
          <w:szCs w:val="36"/>
          <w:lang w:val="en-US" w:eastAsia="zh-CN"/>
          <w14:textFill>
            <w14:solidFill>
              <w14:schemeClr w14:val="tx1"/>
            </w14:solidFill>
          </w14:textFill>
        </w:rPr>
        <w:t>0</w:t>
      </w:r>
      <w:r>
        <w:rPr>
          <w:rFonts w:ascii="黑体" w:hAnsi="黑体" w:eastAsia="黑体" w:cs="黑体"/>
          <w:bCs/>
          <w:color w:val="000000" w:themeColor="text1"/>
          <w:sz w:val="36"/>
          <w:szCs w:val="36"/>
          <w:lang w:val="en-US" w:eastAsia="zh-CN"/>
          <w14:textFill>
            <w14:solidFill>
              <w14:schemeClr w14:val="tx1"/>
            </w14:solidFill>
          </w14:textFill>
        </w:rPr>
        <w:t>年部</w:t>
      </w:r>
      <w:r>
        <w:rPr>
          <w:rFonts w:ascii="黑体" w:hAnsi="黑体" w:eastAsia="黑体" w:cs="黑体"/>
          <w:bCs/>
          <w:color w:val="000000" w:themeColor="text1"/>
          <w:sz w:val="36"/>
          <w:szCs w:val="36"/>
          <w14:textFill>
            <w14:solidFill>
              <w14:schemeClr w14:val="tx1"/>
            </w14:solidFill>
          </w14:textFill>
        </w:rPr>
        <w:t>门预算</w:t>
      </w:r>
    </w:p>
    <w:p>
      <w:pPr>
        <w:keepNext w:val="0"/>
        <w:keepLines w:val="0"/>
        <w:pageBreakBefore w:val="0"/>
        <w:kinsoku/>
        <w:wordWrap/>
        <w:topLinePunct w:val="0"/>
        <w:autoSpaceDE/>
        <w:autoSpaceDN/>
        <w:bidi w:val="0"/>
        <w:spacing w:line="600" w:lineRule="exact"/>
        <w:jc w:val="left"/>
        <w:rPr>
          <w:rFonts w:hint="eastAsia" w:ascii="仿宋_GB2312" w:hAnsi="仿宋_GB2312" w:eastAsia="仿宋_GB2312" w:cs="仿宋_GB2312"/>
          <w:b/>
          <w:bCs/>
          <w:sz w:val="32"/>
          <w:szCs w:val="32"/>
        </w:rPr>
      </w:pPr>
    </w:p>
    <w:p>
      <w:pPr>
        <w:keepNext w:val="0"/>
        <w:keepLines w:val="0"/>
        <w:pageBreakBefore w:val="0"/>
        <w:kinsoku/>
        <w:wordWrap/>
        <w:topLinePunct w:val="0"/>
        <w:autoSpaceDE/>
        <w:autoSpaceDN/>
        <w:bidi w:val="0"/>
        <w:spacing w:line="600" w:lineRule="exact"/>
        <w:jc w:val="left"/>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委党史办</w:t>
      </w:r>
      <w:r>
        <w:rPr>
          <w:rFonts w:hint="eastAsia" w:ascii="宋体" w:hAnsi="宋体" w:eastAsia="宋体" w:cs="宋体"/>
          <w:b/>
          <w:bCs/>
          <w:sz w:val="30"/>
          <w:szCs w:val="30"/>
        </w:rPr>
        <w:t>部门概况</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一、部门主要职责</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二、部门基本情况</w:t>
      </w:r>
    </w:p>
    <w:p>
      <w:pPr>
        <w:keepNext w:val="0"/>
        <w:keepLines w:val="0"/>
        <w:pageBreakBefore w:val="0"/>
        <w:kinsoku/>
        <w:wordWrap/>
        <w:topLinePunct w:val="0"/>
        <w:autoSpaceDE/>
        <w:autoSpaceDN/>
        <w:bidi w:val="0"/>
        <w:spacing w:line="600" w:lineRule="exact"/>
        <w:jc w:val="left"/>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eastAsia="zh-CN"/>
        </w:rPr>
        <w:t>委党史办</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年部门预算情况说明</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2020</w:t>
      </w:r>
      <w:r>
        <w:rPr>
          <w:rFonts w:hint="eastAsia" w:ascii="宋体" w:hAnsi="宋体" w:eastAsia="宋体" w:cs="宋体"/>
          <w:sz w:val="30"/>
          <w:szCs w:val="30"/>
        </w:rPr>
        <w:t>年部门预算收支情况说明</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val="en-US" w:eastAsia="zh-CN"/>
        </w:rPr>
        <w:t>2020</w:t>
      </w:r>
      <w:r>
        <w:rPr>
          <w:rFonts w:hint="eastAsia" w:ascii="宋体" w:hAnsi="宋体" w:eastAsia="宋体" w:cs="宋体"/>
          <w:sz w:val="30"/>
          <w:szCs w:val="30"/>
        </w:rPr>
        <w:t>年“三公”经费预算情况说明</w:t>
      </w:r>
    </w:p>
    <w:p>
      <w:pPr>
        <w:keepNext w:val="0"/>
        <w:keepLines w:val="0"/>
        <w:pageBreakBefore w:val="0"/>
        <w:kinsoku/>
        <w:wordWrap/>
        <w:topLinePunct w:val="0"/>
        <w:autoSpaceDE/>
        <w:autoSpaceDN/>
        <w:bidi w:val="0"/>
        <w:spacing w:line="600" w:lineRule="exact"/>
        <w:jc w:val="left"/>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eastAsia="zh-CN"/>
        </w:rPr>
        <w:t>委党史办</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一、《收支预算总表》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二、《部门收入总表》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三、《部门支出总表》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四、《财政拨款收支总表》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五、《一般公共预算支出表》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sz w:val="30"/>
          <w:szCs w:val="30"/>
        </w:rPr>
      </w:pPr>
      <w:r>
        <w:rPr>
          <w:rFonts w:hint="eastAsia" w:ascii="宋体" w:hAnsi="宋体" w:eastAsia="宋体" w:cs="宋体"/>
          <w:sz w:val="30"/>
          <w:szCs w:val="30"/>
        </w:rPr>
        <w:t>八、《政府性基金预算支出表》</w:t>
      </w:r>
    </w:p>
    <w:p>
      <w:pPr>
        <w:keepNext w:val="0"/>
        <w:keepLines w:val="0"/>
        <w:pageBreakBefore w:val="0"/>
        <w:kinsoku/>
        <w:wordWrap/>
        <w:topLinePunct w:val="0"/>
        <w:autoSpaceDE/>
        <w:autoSpaceDN/>
        <w:bidi w:val="0"/>
        <w:spacing w:line="600" w:lineRule="exact"/>
        <w:jc w:val="left"/>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sz w:val="30"/>
          <w:szCs w:val="30"/>
          <w:lang w:eastAsia="zh-CN"/>
        </w:rPr>
        <w:t>委党史办</w:t>
      </w:r>
      <w:r>
        <w:rPr>
          <w:rFonts w:hint="eastAsia" w:ascii="宋体" w:hAnsi="宋体" w:eastAsia="宋体" w:cs="宋体"/>
          <w:b/>
          <w:bCs/>
          <w:sz w:val="30"/>
          <w:szCs w:val="30"/>
        </w:rPr>
        <w:t>概况</w:t>
      </w:r>
    </w:p>
    <w:p>
      <w:pPr>
        <w:pStyle w:val="3"/>
        <w:keepNext w:val="0"/>
        <w:keepLines w:val="0"/>
        <w:pageBreakBefore w:val="0"/>
        <w:kinsoku/>
        <w:wordWrap/>
        <w:overflowPunct w:val="0"/>
        <w:topLinePunct w:val="0"/>
        <w:autoSpaceDE/>
        <w:autoSpaceDN/>
        <w:bidi w:val="0"/>
        <w:snapToGrid/>
        <w:spacing w:line="600" w:lineRule="exact"/>
        <w:ind w:left="0" w:right="0" w:firstLine="640"/>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一、部门主要职责</w:t>
      </w:r>
    </w:p>
    <w:p>
      <w:pPr>
        <w:pStyle w:val="3"/>
        <w:keepNext w:val="0"/>
        <w:keepLines w:val="0"/>
        <w:pageBreakBefore w:val="0"/>
        <w:kinsoku/>
        <w:wordWrap/>
        <w:overflowPunct w:val="0"/>
        <w:topLinePunct w:val="0"/>
        <w:autoSpaceDE/>
        <w:autoSpaceDN/>
        <w:bidi w:val="0"/>
        <w:snapToGrid/>
        <w:spacing w:line="600" w:lineRule="exact"/>
        <w:ind w:left="0" w:right="0" w:firstLine="640"/>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color w:val="000000"/>
          <w:sz w:val="30"/>
          <w:szCs w:val="30"/>
        </w:rPr>
        <w:t>兴国县委党史办是主管</w:t>
      </w:r>
      <w:r>
        <w:rPr>
          <w:rFonts w:hint="eastAsia" w:ascii="宋体" w:hAnsi="宋体" w:eastAsia="宋体" w:cs="宋体"/>
          <w:color w:val="000000"/>
          <w:sz w:val="30"/>
          <w:szCs w:val="30"/>
          <w:lang w:eastAsia="zh-CN"/>
        </w:rPr>
        <w:t>党史研究</w:t>
      </w:r>
      <w:r>
        <w:rPr>
          <w:rFonts w:hint="eastAsia" w:ascii="宋体" w:hAnsi="宋体" w:eastAsia="宋体" w:cs="宋体"/>
          <w:color w:val="000000"/>
          <w:sz w:val="30"/>
          <w:szCs w:val="30"/>
        </w:rPr>
        <w:t>工作的县委组成部门，主要职责是：征集本县党史资料，编辑出版地方党史、革命史书刊，撰写党史、革命史、地方发展史的论文和文章，结合党的中心工作，广泛深入进行党史宣传教育。</w:t>
      </w:r>
    </w:p>
    <w:p>
      <w:pPr>
        <w:pStyle w:val="3"/>
        <w:keepNext w:val="0"/>
        <w:keepLines w:val="0"/>
        <w:pageBreakBefore w:val="0"/>
        <w:kinsoku/>
        <w:wordWrap/>
        <w:overflowPunct w:val="0"/>
        <w:topLinePunct w:val="0"/>
        <w:autoSpaceDE/>
        <w:autoSpaceDN/>
        <w:bidi w:val="0"/>
        <w:snapToGrid/>
        <w:spacing w:line="600" w:lineRule="exact"/>
        <w:ind w:left="0" w:right="0" w:firstLine="640"/>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二、部门基本情况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sz w:val="30"/>
          <w:szCs w:val="30"/>
        </w:rPr>
      </w:pPr>
      <w:r>
        <w:rPr>
          <w:rFonts w:hint="eastAsia" w:ascii="宋体" w:hAnsi="宋体" w:eastAsia="宋体" w:cs="宋体"/>
          <w:color w:val="000000"/>
          <w:sz w:val="30"/>
          <w:szCs w:val="30"/>
        </w:rPr>
        <w:t>兴国县委党史办,是一个全额拨款参照公务员管理的事业单位，编制数4人，实有人数4人</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退休人员2人。下属股级单位——苏区干部好作风研究中心,编制数5人,实有人数2人。</w:t>
      </w: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eastAsia="zh-CN"/>
        </w:rPr>
        <w:t>委党史办</w:t>
      </w:r>
      <w:r>
        <w:rPr>
          <w:rFonts w:hint="eastAsia" w:ascii="宋体" w:hAnsi="宋体" w:eastAsia="宋体" w:cs="宋体"/>
          <w:b/>
          <w:bCs/>
          <w:sz w:val="30"/>
          <w:szCs w:val="30"/>
          <w:lang w:val="en-US" w:eastAsia="zh-CN"/>
        </w:rPr>
        <w:t>2021</w:t>
      </w:r>
      <w:r>
        <w:rPr>
          <w:rFonts w:hint="eastAsia" w:ascii="宋体" w:hAnsi="宋体" w:eastAsia="宋体" w:cs="宋体"/>
          <w:b/>
          <w:bCs/>
          <w:sz w:val="30"/>
          <w:szCs w:val="30"/>
        </w:rPr>
        <w:t>年部门预算情况说明</w:t>
      </w:r>
    </w:p>
    <w:p>
      <w:pPr>
        <w:pStyle w:val="3"/>
        <w:keepNext w:val="0"/>
        <w:keepLines w:val="0"/>
        <w:pageBreakBefore w:val="0"/>
        <w:kinsoku/>
        <w:wordWrap/>
        <w:overflowPunct w:val="0"/>
        <w:topLinePunct w:val="0"/>
        <w:autoSpaceDE/>
        <w:autoSpaceDN/>
        <w:bidi w:val="0"/>
        <w:spacing w:line="600" w:lineRule="exact"/>
        <w:ind w:firstLine="640"/>
        <w:textAlignment w:val="auto"/>
        <w:rPr>
          <w:rFonts w:hint="eastAsia" w:ascii="宋体" w:hAnsi="宋体" w:eastAsia="宋体" w:cs="宋体"/>
          <w:color w:val="000000"/>
          <w:sz w:val="30"/>
          <w:szCs w:val="30"/>
        </w:rPr>
      </w:pPr>
    </w:p>
    <w:p>
      <w:pPr>
        <w:pStyle w:val="3"/>
        <w:keepNext w:val="0"/>
        <w:keepLines w:val="0"/>
        <w:pageBreakBefore w:val="0"/>
        <w:kinsoku/>
        <w:wordWrap/>
        <w:overflowPunct w:val="0"/>
        <w:topLinePunct w:val="0"/>
        <w:autoSpaceDE/>
        <w:autoSpaceDN/>
        <w:bidi w:val="0"/>
        <w:snapToGrid/>
        <w:spacing w:line="600" w:lineRule="exact"/>
        <w:ind w:left="0" w:right="0" w:firstLine="643"/>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（一）收入预算情况</w:t>
      </w:r>
    </w:p>
    <w:p>
      <w:pPr>
        <w:pStyle w:val="3"/>
        <w:keepNext w:val="0"/>
        <w:keepLines w:val="0"/>
        <w:pageBreakBefore w:val="0"/>
        <w:kinsoku/>
        <w:wordWrap/>
        <w:overflowPunct w:val="0"/>
        <w:topLinePunct w:val="0"/>
        <w:autoSpaceDE/>
        <w:autoSpaceDN/>
        <w:bidi w:val="0"/>
        <w:snapToGrid/>
        <w:spacing w:line="600" w:lineRule="exact"/>
        <w:ind w:left="0" w:right="0" w:firstLine="643"/>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rPr>
        <w:t>2020年兴国县委党史办收入预算总额为</w:t>
      </w:r>
      <w:r>
        <w:rPr>
          <w:rFonts w:hint="eastAsia" w:ascii="宋体" w:hAnsi="宋体" w:eastAsia="宋体" w:cs="宋体"/>
          <w:color w:val="000000"/>
          <w:sz w:val="30"/>
          <w:szCs w:val="30"/>
          <w:lang w:val="en-US" w:eastAsia="zh-CN"/>
        </w:rPr>
        <w:t>110.28</w:t>
      </w:r>
      <w:r>
        <w:rPr>
          <w:rFonts w:hint="eastAsia" w:ascii="宋体" w:hAnsi="宋体" w:eastAsia="宋体" w:cs="宋体"/>
          <w:color w:val="000000"/>
          <w:sz w:val="30"/>
          <w:szCs w:val="30"/>
        </w:rPr>
        <w:t>万元，其中：财政拨款收入</w:t>
      </w:r>
      <w:r>
        <w:rPr>
          <w:rFonts w:hint="eastAsia" w:ascii="宋体" w:hAnsi="宋体" w:eastAsia="宋体" w:cs="宋体"/>
          <w:color w:val="000000"/>
          <w:sz w:val="30"/>
          <w:szCs w:val="30"/>
          <w:lang w:val="en-US" w:eastAsia="zh-CN"/>
        </w:rPr>
        <w:t>110.28</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eastAsia="zh-CN"/>
        </w:rPr>
        <w:t>100</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r>
        <w:rPr>
          <w:rFonts w:hint="eastAsia" w:ascii="宋体" w:hAnsi="宋体" w:eastAsia="宋体" w:cs="宋体"/>
          <w:b w:val="0"/>
          <w:bCs/>
          <w:sz w:val="30"/>
          <w:szCs w:val="30"/>
          <w:shd w:val="clear" w:color="auto" w:fill="FFFFFF"/>
        </w:rPr>
        <w:t>较上年预算安排</w:t>
      </w:r>
      <w:r>
        <w:rPr>
          <w:rFonts w:hint="eastAsia" w:ascii="宋体" w:hAnsi="宋体" w:cs="宋体"/>
          <w:b w:val="0"/>
          <w:bCs/>
          <w:sz w:val="30"/>
          <w:szCs w:val="30"/>
          <w:shd w:val="clear" w:color="auto" w:fill="FFFFFF"/>
          <w:lang w:eastAsia="zh-CN"/>
        </w:rPr>
        <w:t>增加</w:t>
      </w:r>
      <w:r>
        <w:rPr>
          <w:rFonts w:hint="eastAsia" w:ascii="宋体" w:hAnsi="宋体" w:cs="宋体"/>
          <w:b w:val="0"/>
          <w:bCs/>
          <w:sz w:val="30"/>
          <w:szCs w:val="30"/>
          <w:shd w:val="clear" w:color="auto" w:fill="FFFFFF"/>
          <w:lang w:val="en-US" w:eastAsia="zh-CN"/>
        </w:rPr>
        <w:t>9.76万元，原因：正常调资、项目经费增加</w:t>
      </w:r>
      <w:r>
        <w:rPr>
          <w:rFonts w:hint="eastAsia" w:ascii="宋体" w:hAnsi="宋体" w:eastAsia="宋体" w:cs="宋体"/>
          <w:b w:val="0"/>
          <w:bCs/>
          <w:sz w:val="30"/>
          <w:szCs w:val="30"/>
          <w:shd w:val="clear" w:color="auto" w:fill="FFFFFF"/>
          <w:lang w:val="en-US" w:eastAsia="zh-CN"/>
        </w:rPr>
        <w:t>。</w:t>
      </w:r>
    </w:p>
    <w:p>
      <w:pPr>
        <w:pStyle w:val="3"/>
        <w:keepNext w:val="0"/>
        <w:keepLines w:val="0"/>
        <w:pageBreakBefore w:val="0"/>
        <w:kinsoku/>
        <w:wordWrap/>
        <w:overflowPunct w:val="0"/>
        <w:topLinePunct w:val="0"/>
        <w:autoSpaceDE/>
        <w:autoSpaceDN/>
        <w:bidi w:val="0"/>
        <w:snapToGrid/>
        <w:spacing w:line="600" w:lineRule="exact"/>
        <w:ind w:left="0" w:right="0" w:firstLine="643"/>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（二）支出预算情况</w:t>
      </w:r>
    </w:p>
    <w:p>
      <w:pPr>
        <w:pStyle w:val="3"/>
        <w:keepNext w:val="0"/>
        <w:keepLines w:val="0"/>
        <w:pageBreakBefore w:val="0"/>
        <w:kinsoku/>
        <w:wordWrap/>
        <w:overflowPunct w:val="0"/>
        <w:topLinePunct w:val="0"/>
        <w:autoSpaceDE/>
        <w:autoSpaceDN/>
        <w:bidi w:val="0"/>
        <w:snapToGrid/>
        <w:spacing w:line="600" w:lineRule="exact"/>
        <w:ind w:left="0" w:right="0" w:firstLine="643"/>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rPr>
        <w:t>2020年</w:t>
      </w:r>
      <w:r>
        <w:rPr>
          <w:rFonts w:hint="eastAsia" w:ascii="宋体" w:hAnsi="宋体" w:eastAsia="宋体" w:cs="宋体"/>
          <w:color w:val="000000"/>
          <w:sz w:val="30"/>
          <w:szCs w:val="30"/>
          <w:lang w:eastAsia="zh-CN"/>
        </w:rPr>
        <w:t>兴国县委党史办</w:t>
      </w:r>
      <w:r>
        <w:rPr>
          <w:rFonts w:hint="eastAsia" w:ascii="宋体" w:hAnsi="宋体" w:eastAsia="宋体" w:cs="宋体"/>
          <w:color w:val="000000"/>
          <w:sz w:val="30"/>
          <w:szCs w:val="30"/>
        </w:rPr>
        <w:t>支出预算总额为</w:t>
      </w:r>
      <w:r>
        <w:rPr>
          <w:rFonts w:hint="eastAsia" w:ascii="宋体" w:hAnsi="宋体" w:eastAsia="宋体" w:cs="宋体"/>
          <w:color w:val="000000"/>
          <w:sz w:val="30"/>
          <w:szCs w:val="30"/>
          <w:lang w:val="en-US" w:eastAsia="zh-CN"/>
        </w:rPr>
        <w:t>110.28</w:t>
      </w:r>
      <w:r>
        <w:rPr>
          <w:rFonts w:hint="eastAsia" w:ascii="宋体" w:hAnsi="宋体" w:eastAsia="宋体" w:cs="宋体"/>
          <w:color w:val="000000"/>
          <w:sz w:val="30"/>
          <w:szCs w:val="30"/>
        </w:rPr>
        <w:t>万元，</w:t>
      </w:r>
      <w:r>
        <w:rPr>
          <w:rFonts w:hint="eastAsia" w:ascii="宋体" w:hAnsi="宋体" w:eastAsia="宋体" w:cs="宋体"/>
          <w:b w:val="0"/>
          <w:bCs/>
          <w:sz w:val="30"/>
          <w:szCs w:val="30"/>
          <w:shd w:val="clear" w:color="auto" w:fill="FFFFFF"/>
        </w:rPr>
        <w:t>较上年预算安排</w:t>
      </w:r>
      <w:r>
        <w:rPr>
          <w:rFonts w:hint="eastAsia" w:ascii="宋体" w:hAnsi="宋体" w:cs="宋体"/>
          <w:b w:val="0"/>
          <w:bCs/>
          <w:sz w:val="30"/>
          <w:szCs w:val="30"/>
          <w:shd w:val="clear" w:color="auto" w:fill="FFFFFF"/>
          <w:lang w:eastAsia="zh-CN"/>
        </w:rPr>
        <w:t>增加</w:t>
      </w:r>
      <w:r>
        <w:rPr>
          <w:rFonts w:hint="eastAsia" w:ascii="宋体" w:hAnsi="宋体" w:cs="宋体"/>
          <w:b w:val="0"/>
          <w:bCs/>
          <w:sz w:val="30"/>
          <w:szCs w:val="30"/>
          <w:shd w:val="clear" w:color="auto" w:fill="FFFFFF"/>
          <w:lang w:val="en-US" w:eastAsia="zh-CN"/>
        </w:rPr>
        <w:t>9.76万元，原因：正常调资、项目经费增加</w:t>
      </w:r>
      <w:r>
        <w:rPr>
          <w:rFonts w:hint="eastAsia" w:ascii="宋体" w:hAnsi="宋体" w:eastAsia="宋体" w:cs="宋体"/>
          <w:b w:val="0"/>
          <w:bCs/>
          <w:sz w:val="30"/>
          <w:szCs w:val="30"/>
          <w:shd w:val="clear" w:color="auto" w:fill="FFFFFF"/>
          <w:lang w:val="en-US" w:eastAsia="zh-CN"/>
        </w:rPr>
        <w:t>。</w:t>
      </w:r>
      <w:r>
        <w:rPr>
          <w:rFonts w:hint="eastAsia" w:ascii="宋体" w:hAnsi="宋体" w:eastAsia="宋体" w:cs="宋体"/>
          <w:color w:val="000000"/>
          <w:sz w:val="30"/>
          <w:szCs w:val="30"/>
        </w:rPr>
        <w:t>其中：</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w:t>
      </w:r>
      <w:r>
        <w:rPr>
          <w:rFonts w:hint="eastAsia" w:ascii="宋体" w:hAnsi="宋体" w:eastAsia="宋体" w:cs="宋体"/>
          <w:color w:val="000000"/>
          <w:sz w:val="30"/>
          <w:szCs w:val="30"/>
          <w:lang w:val="en-US" w:eastAsia="zh-CN"/>
        </w:rPr>
        <w:t>59.28</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53.75</w:t>
      </w:r>
      <w:r>
        <w:rPr>
          <w:rFonts w:hint="eastAsia" w:ascii="宋体" w:hAnsi="宋体" w:eastAsia="宋体" w:cs="宋体"/>
          <w:color w:val="000000"/>
          <w:sz w:val="30"/>
          <w:szCs w:val="30"/>
        </w:rPr>
        <w:t>%，包括工资福利支出</w:t>
      </w:r>
      <w:r>
        <w:rPr>
          <w:rFonts w:hint="eastAsia" w:ascii="宋体" w:hAnsi="宋体" w:eastAsia="宋体" w:cs="宋体"/>
          <w:color w:val="000000"/>
          <w:sz w:val="30"/>
          <w:szCs w:val="30"/>
          <w:lang w:val="en-US" w:eastAsia="zh-CN"/>
        </w:rPr>
        <w:t>53.16</w:t>
      </w:r>
      <w:r>
        <w:rPr>
          <w:rFonts w:hint="eastAsia" w:ascii="宋体" w:hAnsi="宋体" w:eastAsia="宋体" w:cs="宋体"/>
          <w:color w:val="000000"/>
          <w:sz w:val="30"/>
          <w:szCs w:val="30"/>
        </w:rPr>
        <w:t>万元、商品和服务支出</w:t>
      </w:r>
      <w:r>
        <w:rPr>
          <w:rFonts w:hint="eastAsia" w:ascii="宋体" w:hAnsi="宋体" w:eastAsia="宋体" w:cs="宋体"/>
          <w:color w:val="000000"/>
          <w:sz w:val="30"/>
          <w:szCs w:val="30"/>
          <w:lang w:val="en-US" w:eastAsia="zh-CN"/>
        </w:rPr>
        <w:t>6.12</w:t>
      </w:r>
      <w:r>
        <w:rPr>
          <w:rFonts w:hint="eastAsia" w:ascii="宋体" w:hAnsi="宋体" w:eastAsia="宋体" w:cs="宋体"/>
          <w:color w:val="000000"/>
          <w:sz w:val="30"/>
          <w:szCs w:val="30"/>
        </w:rPr>
        <w:t>万元；项目支出</w:t>
      </w:r>
      <w:r>
        <w:rPr>
          <w:rFonts w:hint="eastAsia" w:ascii="宋体" w:hAnsi="宋体" w:eastAsia="宋体" w:cs="宋体"/>
          <w:color w:val="000000"/>
          <w:sz w:val="30"/>
          <w:szCs w:val="30"/>
          <w:lang w:val="en-US" w:eastAsia="zh-CN"/>
        </w:rPr>
        <w:t>51</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46.25</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全部为</w:t>
      </w:r>
      <w:r>
        <w:rPr>
          <w:rFonts w:hint="eastAsia" w:ascii="宋体" w:hAnsi="宋体" w:eastAsia="宋体" w:cs="宋体"/>
          <w:color w:val="000000"/>
          <w:sz w:val="30"/>
          <w:szCs w:val="30"/>
        </w:rPr>
        <w:t>行政事业性项目支出。</w:t>
      </w:r>
    </w:p>
    <w:p>
      <w:pPr>
        <w:pStyle w:val="3"/>
        <w:keepNext w:val="0"/>
        <w:keepLines w:val="0"/>
        <w:pageBreakBefore w:val="0"/>
        <w:kinsoku/>
        <w:wordWrap/>
        <w:overflowPunct w:val="0"/>
        <w:topLinePunct w:val="0"/>
        <w:autoSpaceDE/>
        <w:autoSpaceDN/>
        <w:bidi w:val="0"/>
        <w:spacing w:line="600" w:lineRule="exact"/>
        <w:ind w:left="150" w:firstLine="643"/>
        <w:textAlignment w:val="auto"/>
        <w:rPr>
          <w:rFonts w:hint="eastAsia" w:ascii="宋体" w:hAnsi="宋体" w:eastAsia="宋体" w:cs="宋体"/>
          <w:color w:val="auto"/>
          <w:kern w:val="0"/>
          <w:sz w:val="30"/>
          <w:szCs w:val="30"/>
          <w:lang w:val="en-US" w:eastAsia="zh-CN" w:bidi="hi-IN"/>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w:t>
      </w:r>
      <w:r>
        <w:rPr>
          <w:rFonts w:hint="eastAsia" w:ascii="宋体" w:hAnsi="宋体" w:eastAsia="宋体" w:cs="宋体"/>
          <w:color w:val="000000"/>
          <w:sz w:val="30"/>
          <w:szCs w:val="30"/>
          <w:lang w:val="en-US" w:eastAsia="zh-CN"/>
        </w:rPr>
        <w:t>95.58</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86.67</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val="en-US" w:eastAsia="zh-CN"/>
        </w:rPr>
        <w:t>5.89</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5.34</w:t>
      </w:r>
      <w:r>
        <w:rPr>
          <w:rFonts w:hint="eastAsia" w:ascii="宋体" w:hAnsi="宋体" w:eastAsia="宋体" w:cs="宋体"/>
          <w:color w:val="000000"/>
          <w:sz w:val="30"/>
          <w:szCs w:val="30"/>
        </w:rPr>
        <w:t>%；医疗卫生支出</w:t>
      </w:r>
      <w:r>
        <w:rPr>
          <w:rFonts w:hint="eastAsia" w:ascii="宋体" w:hAnsi="宋体" w:eastAsia="宋体" w:cs="宋体"/>
          <w:color w:val="000000"/>
          <w:sz w:val="30"/>
          <w:szCs w:val="30"/>
          <w:lang w:val="en-US" w:eastAsia="zh-CN"/>
        </w:rPr>
        <w:t>4.35</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3.94</w:t>
      </w:r>
      <w:r>
        <w:rPr>
          <w:rFonts w:hint="eastAsia" w:ascii="宋体" w:hAnsi="宋体" w:eastAsia="宋体" w:cs="宋体"/>
          <w:color w:val="000000"/>
          <w:sz w:val="30"/>
          <w:szCs w:val="30"/>
        </w:rPr>
        <w:t>%；住房保障支出</w:t>
      </w:r>
      <w:r>
        <w:rPr>
          <w:rFonts w:hint="eastAsia" w:ascii="宋体" w:hAnsi="宋体" w:eastAsia="宋体" w:cs="宋体"/>
          <w:color w:val="000000"/>
          <w:sz w:val="30"/>
          <w:szCs w:val="30"/>
          <w:lang w:val="en-US" w:eastAsia="zh-CN"/>
        </w:rPr>
        <w:t>4.89</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4.05</w:t>
      </w:r>
      <w:r>
        <w:rPr>
          <w:rFonts w:hint="eastAsia" w:ascii="宋体" w:hAnsi="宋体" w:eastAsia="宋体" w:cs="宋体"/>
          <w:color w:val="000000"/>
          <w:sz w:val="30"/>
          <w:szCs w:val="30"/>
        </w:rPr>
        <w:t>%。</w:t>
      </w:r>
    </w:p>
    <w:p>
      <w:pPr>
        <w:pStyle w:val="3"/>
        <w:keepNext w:val="0"/>
        <w:keepLines w:val="0"/>
        <w:pageBreakBefore w:val="0"/>
        <w:kinsoku/>
        <w:wordWrap/>
        <w:overflowPunct w:val="0"/>
        <w:topLinePunct w:val="0"/>
        <w:autoSpaceDE/>
        <w:autoSpaceDN/>
        <w:bidi w:val="0"/>
        <w:spacing w:line="600" w:lineRule="exact"/>
        <w:ind w:firstLine="643"/>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（三）财政拨款（补助）支出情况</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000000"/>
          <w:sz w:val="30"/>
          <w:szCs w:val="30"/>
        </w:rPr>
      </w:pPr>
      <w:r>
        <w:rPr>
          <w:rFonts w:hint="eastAsia" w:ascii="宋体" w:hAnsi="宋体" w:eastAsia="宋体" w:cs="宋体"/>
          <w:color w:val="000000"/>
          <w:sz w:val="30"/>
          <w:szCs w:val="30"/>
        </w:rPr>
        <w:t>2020年</w:t>
      </w:r>
      <w:r>
        <w:rPr>
          <w:rFonts w:hint="eastAsia" w:ascii="宋体" w:hAnsi="宋体" w:eastAsia="宋体" w:cs="宋体"/>
          <w:color w:val="000000"/>
          <w:sz w:val="30"/>
          <w:szCs w:val="30"/>
          <w:lang w:eastAsia="zh-CN"/>
        </w:rPr>
        <w:t>兴国县委党史办</w:t>
      </w:r>
      <w:r>
        <w:rPr>
          <w:rFonts w:hint="eastAsia" w:ascii="宋体" w:hAnsi="宋体" w:eastAsia="宋体" w:cs="宋体"/>
          <w:color w:val="000000"/>
          <w:sz w:val="30"/>
          <w:szCs w:val="30"/>
        </w:rPr>
        <w:t>财政拨款（补助）支出预算</w:t>
      </w:r>
      <w:r>
        <w:rPr>
          <w:rFonts w:hint="eastAsia" w:ascii="宋体" w:hAnsi="宋体" w:eastAsia="宋体" w:cs="宋体"/>
          <w:color w:val="000000"/>
          <w:sz w:val="30"/>
          <w:szCs w:val="30"/>
          <w:lang w:val="en-US" w:eastAsia="zh-CN"/>
        </w:rPr>
        <w:t>110.28</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100</w:t>
      </w:r>
      <w:r>
        <w:rPr>
          <w:rFonts w:hint="eastAsia" w:ascii="宋体" w:hAnsi="宋体" w:eastAsia="宋体" w:cs="宋体"/>
          <w:color w:val="000000"/>
          <w:sz w:val="30"/>
          <w:szCs w:val="30"/>
        </w:rPr>
        <w:t>%，具体为：一般公共服务支出</w:t>
      </w:r>
      <w:r>
        <w:rPr>
          <w:rFonts w:hint="eastAsia" w:ascii="宋体" w:hAnsi="宋体" w:eastAsia="宋体" w:cs="宋体"/>
          <w:color w:val="000000"/>
          <w:sz w:val="30"/>
          <w:szCs w:val="30"/>
          <w:lang w:val="en-US" w:eastAsia="zh-CN"/>
        </w:rPr>
        <w:t>95.58</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86.67</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val="en-US" w:eastAsia="zh-CN"/>
        </w:rPr>
        <w:t>5.89</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5.34</w:t>
      </w:r>
      <w:r>
        <w:rPr>
          <w:rFonts w:hint="eastAsia" w:ascii="宋体" w:hAnsi="宋体" w:eastAsia="宋体" w:cs="宋体"/>
          <w:color w:val="000000"/>
          <w:sz w:val="30"/>
          <w:szCs w:val="30"/>
        </w:rPr>
        <w:t>%；医疗卫生支出</w:t>
      </w:r>
      <w:r>
        <w:rPr>
          <w:rFonts w:hint="eastAsia" w:ascii="宋体" w:hAnsi="宋体" w:eastAsia="宋体" w:cs="宋体"/>
          <w:color w:val="000000"/>
          <w:sz w:val="30"/>
          <w:szCs w:val="30"/>
          <w:lang w:val="en-US" w:eastAsia="zh-CN"/>
        </w:rPr>
        <w:t>4.35</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3.94</w:t>
      </w:r>
      <w:r>
        <w:rPr>
          <w:rFonts w:hint="eastAsia" w:ascii="宋体" w:hAnsi="宋体" w:eastAsia="宋体" w:cs="宋体"/>
          <w:color w:val="000000"/>
          <w:sz w:val="30"/>
          <w:szCs w:val="30"/>
        </w:rPr>
        <w:t>%；住房保障支出</w:t>
      </w:r>
      <w:r>
        <w:rPr>
          <w:rFonts w:hint="eastAsia" w:ascii="宋体" w:hAnsi="宋体" w:eastAsia="宋体" w:cs="宋体"/>
          <w:color w:val="000000"/>
          <w:sz w:val="30"/>
          <w:szCs w:val="30"/>
          <w:lang w:val="en-US" w:eastAsia="zh-CN"/>
        </w:rPr>
        <w:t>4.89</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4.05</w:t>
      </w:r>
      <w:r>
        <w:rPr>
          <w:rFonts w:hint="eastAsia" w:ascii="宋体" w:hAnsi="宋体" w:eastAsia="宋体" w:cs="宋体"/>
          <w:color w:val="000000"/>
          <w:sz w:val="30"/>
          <w:szCs w:val="30"/>
        </w:rPr>
        <w:t>%。</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lang w:eastAsia="zh-CN"/>
        </w:rPr>
        <w:t>（</w:t>
      </w:r>
      <w:r>
        <w:rPr>
          <w:rFonts w:hint="eastAsia" w:ascii="宋体" w:hAnsi="宋体" w:eastAsia="宋体" w:cs="宋体"/>
          <w:b/>
          <w:sz w:val="30"/>
          <w:szCs w:val="30"/>
        </w:rPr>
        <w:t>四）政府性基金情况</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sz w:val="30"/>
          <w:szCs w:val="30"/>
          <w:lang w:eastAsia="zh-CN"/>
        </w:rPr>
      </w:pPr>
      <w:r>
        <w:rPr>
          <w:rFonts w:hint="eastAsia" w:ascii="宋体" w:hAnsi="宋体" w:eastAsia="宋体" w:cs="宋体"/>
          <w:b/>
          <w:sz w:val="30"/>
          <w:szCs w:val="30"/>
          <w:lang w:eastAsia="zh-CN"/>
        </w:rPr>
        <w:t>无</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（五）</w:t>
      </w:r>
      <w:r>
        <w:rPr>
          <w:rFonts w:hint="eastAsia" w:ascii="宋体" w:hAnsi="宋体" w:eastAsia="宋体" w:cs="宋体"/>
          <w:b/>
          <w:sz w:val="30"/>
          <w:szCs w:val="30"/>
          <w:lang w:eastAsia="zh-CN"/>
        </w:rPr>
        <w:t>单位</w:t>
      </w:r>
      <w:r>
        <w:rPr>
          <w:rFonts w:hint="eastAsia" w:ascii="宋体" w:hAnsi="宋体" w:eastAsia="宋体" w:cs="宋体"/>
          <w:b/>
          <w:sz w:val="30"/>
          <w:szCs w:val="30"/>
        </w:rPr>
        <w:t>运行经费等重要事项的说明</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sz w:val="30"/>
          <w:szCs w:val="30"/>
        </w:rPr>
      </w:pP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（六）政府采购情况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无</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国有资产占有使用情况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年部门</w:t>
      </w:r>
      <w:r>
        <w:rPr>
          <w:rFonts w:hint="eastAsia" w:ascii="宋体" w:hAnsi="宋体" w:eastAsia="宋体" w:cs="宋体"/>
          <w:sz w:val="30"/>
          <w:szCs w:val="30"/>
          <w:lang w:eastAsia="zh-CN"/>
        </w:rPr>
        <w:t>无公车，</w:t>
      </w:r>
      <w:r>
        <w:rPr>
          <w:rFonts w:hint="eastAsia" w:ascii="宋体" w:hAnsi="宋体" w:eastAsia="宋体" w:cs="宋体"/>
          <w:sz w:val="30"/>
          <w:szCs w:val="30"/>
        </w:rPr>
        <w:t>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辆，无安排购置单位价值200万元以上大型设备。</w:t>
      </w:r>
    </w:p>
    <w:p>
      <w:pPr>
        <w:keepNext w:val="0"/>
        <w:keepLines w:val="0"/>
        <w:pageBreakBefore w:val="0"/>
        <w:widowControl/>
        <w:numPr>
          <w:ilvl w:val="0"/>
          <w:numId w:val="2"/>
        </w:numPr>
        <w:kinsoku/>
        <w:wordWrap/>
        <w:topLinePunct w:val="0"/>
        <w:autoSpaceDE/>
        <w:autoSpaceDN/>
        <w:bidi w:val="0"/>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重点项目预算的绩效目标等预算绩效情况说明</w:t>
      </w:r>
    </w:p>
    <w:p>
      <w:pPr>
        <w:keepNext w:val="0"/>
        <w:keepLines w:val="0"/>
        <w:pageBreakBefore w:val="0"/>
        <w:widowControl/>
        <w:numPr>
          <w:ilvl w:val="0"/>
          <w:numId w:val="0"/>
        </w:numPr>
        <w:kinsoku/>
        <w:wordWrap/>
        <w:topLinePunct w:val="0"/>
        <w:autoSpaceDE/>
        <w:autoSpaceDN/>
        <w:bidi w:val="0"/>
        <w:spacing w:line="600" w:lineRule="exact"/>
        <w:jc w:val="left"/>
        <w:rPr>
          <w:rFonts w:hint="eastAsia" w:ascii="宋体" w:hAnsi="宋体" w:eastAsia="宋体" w:cs="宋体"/>
          <w:b w:val="0"/>
          <w:bCs/>
          <w:sz w:val="30"/>
          <w:szCs w:val="30"/>
          <w:lang w:val="en-US" w:eastAsia="zh-CN"/>
        </w:rPr>
      </w:pPr>
      <w:r>
        <w:rPr>
          <w:rFonts w:hint="eastAsia" w:ascii="宋体" w:hAnsi="宋体" w:eastAsia="宋体" w:cs="宋体"/>
          <w:b/>
          <w:sz w:val="30"/>
          <w:szCs w:val="30"/>
          <w:lang w:val="en-US" w:eastAsia="zh-CN"/>
        </w:rPr>
        <w:t xml:space="preserve">        无</w:t>
      </w:r>
    </w:p>
    <w:p>
      <w:pPr>
        <w:keepNext w:val="0"/>
        <w:keepLines w:val="0"/>
        <w:pageBreakBefore w:val="0"/>
        <w:widowControl/>
        <w:numPr>
          <w:ilvl w:val="0"/>
          <w:numId w:val="0"/>
        </w:numPr>
        <w:kinsoku/>
        <w:wordWrap/>
        <w:topLinePunct w:val="0"/>
        <w:autoSpaceDE/>
        <w:autoSpaceDN/>
        <w:bidi w:val="0"/>
        <w:spacing w:line="600" w:lineRule="exact"/>
        <w:ind w:firstLine="602" w:firstLineChars="200"/>
        <w:jc w:val="left"/>
        <w:rPr>
          <w:rFonts w:hint="eastAsia" w:ascii="宋体" w:hAnsi="宋体" w:eastAsia="宋体" w:cs="宋体"/>
          <w:b/>
          <w:sz w:val="30"/>
          <w:szCs w:val="30"/>
        </w:rPr>
      </w:pPr>
      <w:r>
        <w:rPr>
          <w:rFonts w:hint="eastAsia" w:ascii="宋体" w:hAnsi="宋体" w:eastAsia="宋体" w:cs="宋体"/>
          <w:b/>
          <w:kern w:val="0"/>
          <w:sz w:val="30"/>
          <w:szCs w:val="30"/>
        </w:rPr>
        <w:t>二、</w:t>
      </w:r>
      <w:r>
        <w:rPr>
          <w:rFonts w:hint="eastAsia" w:ascii="宋体" w:hAnsi="宋体" w:eastAsia="宋体" w:cs="宋体"/>
          <w:b/>
          <w:sz w:val="30"/>
          <w:szCs w:val="30"/>
        </w:rPr>
        <w:t>20</w:t>
      </w:r>
      <w:r>
        <w:rPr>
          <w:rFonts w:hint="eastAsia" w:ascii="宋体" w:hAnsi="宋体" w:eastAsia="宋体" w:cs="宋体"/>
          <w:b/>
          <w:sz w:val="30"/>
          <w:szCs w:val="30"/>
          <w:lang w:val="en-US" w:eastAsia="zh-CN"/>
        </w:rPr>
        <w:t>20</w:t>
      </w:r>
      <w:r>
        <w:rPr>
          <w:rFonts w:hint="eastAsia" w:ascii="宋体" w:hAnsi="宋体" w:eastAsia="宋体" w:cs="宋体"/>
          <w:b/>
          <w:sz w:val="30"/>
          <w:szCs w:val="30"/>
        </w:rPr>
        <w:t>年“三公”经费预算情况说明</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“三公”经费一般公共预算</w:t>
      </w:r>
      <w:r>
        <w:rPr>
          <w:rFonts w:hint="eastAsia" w:ascii="宋体" w:hAnsi="宋体" w:eastAsia="宋体" w:cs="宋体"/>
          <w:sz w:val="30"/>
          <w:szCs w:val="30"/>
          <w:lang w:val="en-US" w:eastAsia="zh-CN"/>
        </w:rPr>
        <w:t>3</w:t>
      </w:r>
      <w:r>
        <w:rPr>
          <w:rFonts w:hint="eastAsia" w:ascii="宋体" w:hAnsi="宋体" w:eastAsia="宋体" w:cs="宋体"/>
          <w:sz w:val="30"/>
          <w:szCs w:val="30"/>
        </w:rPr>
        <w:t>万元。</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1.因公出国（境）费0万元。</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2.公务接待费</w:t>
      </w:r>
      <w:r>
        <w:rPr>
          <w:rFonts w:hint="eastAsia" w:ascii="宋体" w:hAnsi="宋体" w:eastAsia="宋体" w:cs="宋体"/>
          <w:sz w:val="30"/>
          <w:szCs w:val="30"/>
          <w:lang w:val="en-US" w:eastAsia="zh-CN"/>
        </w:rPr>
        <w:t>3</w:t>
      </w:r>
      <w:r>
        <w:rPr>
          <w:rFonts w:hint="eastAsia" w:ascii="宋体" w:hAnsi="宋体" w:eastAsia="宋体" w:cs="宋体"/>
          <w:sz w:val="30"/>
          <w:szCs w:val="30"/>
        </w:rPr>
        <w:t>万元</w:t>
      </w:r>
      <w:r>
        <w:rPr>
          <w:rFonts w:hint="eastAsia" w:ascii="宋体" w:hAnsi="宋体" w:cs="宋体"/>
          <w:sz w:val="30"/>
          <w:szCs w:val="30"/>
          <w:lang w:eastAsia="zh-CN"/>
        </w:rPr>
        <w:t>，</w:t>
      </w:r>
      <w:r>
        <w:rPr>
          <w:rFonts w:hint="eastAsia" w:ascii="宋体" w:hAnsi="宋体" w:eastAsia="宋体" w:cs="宋体"/>
          <w:b w:val="0"/>
          <w:bCs/>
          <w:sz w:val="30"/>
          <w:szCs w:val="30"/>
        </w:rPr>
        <w:t>比上年</w:t>
      </w:r>
      <w:r>
        <w:rPr>
          <w:rFonts w:hint="eastAsia" w:ascii="宋体" w:hAnsi="宋体" w:eastAsia="宋体" w:cs="宋体"/>
          <w:b w:val="0"/>
          <w:bCs/>
          <w:sz w:val="30"/>
          <w:szCs w:val="30"/>
          <w:lang w:eastAsia="zh-CN"/>
        </w:rPr>
        <w:t>增加</w:t>
      </w:r>
      <w:r>
        <w:rPr>
          <w:rFonts w:hint="eastAsia" w:ascii="宋体" w:hAnsi="宋体" w:cs="宋体"/>
          <w:b w:val="0"/>
          <w:bCs/>
          <w:sz w:val="30"/>
          <w:szCs w:val="30"/>
          <w:lang w:val="en-US" w:eastAsia="zh-CN"/>
        </w:rPr>
        <w:t>0.2</w:t>
      </w:r>
      <w:r>
        <w:rPr>
          <w:rFonts w:hint="eastAsia" w:ascii="宋体" w:hAnsi="宋体" w:eastAsia="宋体" w:cs="宋体"/>
          <w:b w:val="0"/>
          <w:bCs/>
          <w:sz w:val="30"/>
          <w:szCs w:val="30"/>
        </w:rPr>
        <w:t>万元</w:t>
      </w:r>
      <w:r>
        <w:rPr>
          <w:rFonts w:hint="eastAsia" w:ascii="宋体" w:hAnsi="宋体" w:cs="宋体"/>
          <w:b w:val="0"/>
          <w:bCs/>
          <w:sz w:val="30"/>
          <w:szCs w:val="30"/>
          <w:lang w:eastAsia="zh-CN"/>
        </w:rPr>
        <w:t>，项目调研稍</w:t>
      </w:r>
      <w:bookmarkStart w:id="0" w:name="_GoBack"/>
      <w:bookmarkEnd w:id="0"/>
      <w:r>
        <w:rPr>
          <w:rFonts w:hint="eastAsia" w:ascii="宋体" w:hAnsi="宋体" w:cs="宋体"/>
          <w:b w:val="0"/>
          <w:bCs/>
          <w:sz w:val="30"/>
          <w:szCs w:val="30"/>
          <w:lang w:eastAsia="zh-CN"/>
        </w:rPr>
        <w:t>有增加</w:t>
      </w:r>
      <w:r>
        <w:rPr>
          <w:rFonts w:hint="eastAsia" w:ascii="宋体" w:hAnsi="宋体" w:eastAsia="宋体" w:cs="宋体"/>
          <w:sz w:val="30"/>
          <w:szCs w:val="30"/>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3.公务用车运行维护费0万元。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sz w:val="30"/>
          <w:szCs w:val="30"/>
        </w:rPr>
      </w:pPr>
    </w:p>
    <w:p>
      <w:pPr>
        <w:keepNext w:val="0"/>
        <w:keepLines w:val="0"/>
        <w:pageBreakBefore w:val="0"/>
        <w:kinsoku/>
        <w:wordWrap/>
        <w:topLinePunct w:val="0"/>
        <w:autoSpaceDE/>
        <w:autoSpaceDN/>
        <w:bidi w:val="0"/>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委党史办2020</w:t>
      </w:r>
      <w:r>
        <w:rPr>
          <w:rFonts w:hint="eastAsia" w:ascii="宋体" w:hAnsi="宋体" w:eastAsia="宋体" w:cs="宋体"/>
          <w:b/>
          <w:bCs/>
          <w:sz w:val="30"/>
          <w:szCs w:val="30"/>
        </w:rPr>
        <w:t>年部门预算表</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八张表（详见附表）</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p>
    <w:p>
      <w:pPr>
        <w:pStyle w:val="3"/>
        <w:keepNext w:val="0"/>
        <w:keepLines w:val="0"/>
        <w:pageBreakBefore w:val="0"/>
        <w:widowControl/>
        <w:kinsoku/>
        <w:wordWrap/>
        <w:topLinePunct w:val="0"/>
        <w:autoSpaceDE/>
        <w:autoSpaceDN/>
        <w:bidi w:val="0"/>
        <w:spacing w:line="600" w:lineRule="exact"/>
        <w:ind w:firstLine="640"/>
        <w:jc w:val="center"/>
        <w:rPr>
          <w:rFonts w:hint="eastAsia" w:ascii="宋体" w:hAnsi="宋体" w:eastAsia="宋体" w:cs="宋体"/>
          <w:b/>
          <w:sz w:val="30"/>
          <w:szCs w:val="30"/>
        </w:rPr>
      </w:pPr>
      <w:r>
        <w:rPr>
          <w:rFonts w:hint="eastAsia" w:ascii="宋体" w:hAnsi="宋体" w:eastAsia="宋体" w:cs="宋体"/>
          <w:b/>
          <w:sz w:val="30"/>
          <w:szCs w:val="30"/>
        </w:rPr>
        <w:t>第四部分   名词解释</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bCs/>
          <w:color w:val="auto"/>
          <w:kern w:val="0"/>
          <w:sz w:val="30"/>
          <w:szCs w:val="30"/>
          <w:lang w:val="en-US" w:eastAsia="zh-CN" w:bidi="hi-IN"/>
        </w:rPr>
      </w:pPr>
      <w:r>
        <w:rPr>
          <w:rFonts w:hint="eastAsia" w:ascii="宋体" w:hAnsi="宋体" w:eastAsia="宋体" w:cs="宋体"/>
          <w:b/>
          <w:bCs/>
          <w:color w:val="auto"/>
          <w:kern w:val="0"/>
          <w:sz w:val="30"/>
          <w:szCs w:val="30"/>
          <w:lang w:val="en-US" w:eastAsia="zh-CN" w:bidi="hi-IN"/>
        </w:rPr>
        <w:t>一、收入科目</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（一）财政拨款：指省级财政当年拨付的资金。</w:t>
      </w:r>
    </w:p>
    <w:p>
      <w:pPr>
        <w:pStyle w:val="3"/>
        <w:keepNext w:val="0"/>
        <w:keepLines w:val="0"/>
        <w:pageBreakBefore w:val="0"/>
        <w:widowControl/>
        <w:kinsoku/>
        <w:wordWrap/>
        <w:topLinePunct w:val="0"/>
        <w:autoSpaceDE/>
        <w:autoSpaceDN/>
        <w:bidi w:val="0"/>
        <w:spacing w:line="600" w:lineRule="exact"/>
        <w:ind w:firstLine="636"/>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（二）事业收入：指事业单位开展专业业务活动及辅助活动取得的收入。</w:t>
      </w:r>
    </w:p>
    <w:p>
      <w:pPr>
        <w:pStyle w:val="3"/>
        <w:keepNext w:val="0"/>
        <w:keepLines w:val="0"/>
        <w:pageBreakBefore w:val="0"/>
        <w:widowControl/>
        <w:kinsoku/>
        <w:wordWrap/>
        <w:topLinePunct w:val="0"/>
        <w:autoSpaceDE/>
        <w:autoSpaceDN/>
        <w:bidi w:val="0"/>
        <w:spacing w:line="600" w:lineRule="exact"/>
        <w:ind w:firstLine="636"/>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（三）事业单位经营收入：指事业单位在专业业务活动及辅助活动之外开展非独立核算经营活动取得的收入。</w:t>
      </w:r>
    </w:p>
    <w:p>
      <w:pPr>
        <w:pStyle w:val="3"/>
        <w:keepNext w:val="0"/>
        <w:keepLines w:val="0"/>
        <w:pageBreakBefore w:val="0"/>
        <w:kinsoku/>
        <w:wordWrap/>
        <w:topLinePunct w:val="0"/>
        <w:autoSpaceDE/>
        <w:autoSpaceDN/>
        <w:bidi w:val="0"/>
        <w:spacing w:line="600" w:lineRule="exact"/>
        <w:ind w:firstLine="770"/>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（四）上年结转和结余：填列2017年全部结转和结余的资金数，包括当年结转结余资金和历年滚存结转结余资金。</w:t>
      </w:r>
    </w:p>
    <w:p>
      <w:pPr>
        <w:keepNext w:val="0"/>
        <w:keepLines w:val="0"/>
        <w:pageBreakBefore w:val="0"/>
        <w:kinsoku/>
        <w:wordWrap/>
        <w:topLinePunct w:val="0"/>
        <w:autoSpaceDE/>
        <w:autoSpaceDN/>
        <w:bidi w:val="0"/>
        <w:spacing w:line="600" w:lineRule="exact"/>
        <w:ind w:firstLine="569" w:firstLineChars="189"/>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二、支出科目</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（一）行政运行：反映行政单位（包括参公单位）的基本支出。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（二）一般行政管理事务：反映行政单位（包括参公单位）未单独设置项级科目的其他项目支出。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（三）机关服务：反映为行政单位（包括参公单位）提供后勤服务的各类后勤服务中心的支出。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（四）预算改革业务：反映财政部门用于预算改革方面的支出。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（五）财政国库业务：反映财政部门用于财政国库集中支出收付业务方面的支出。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（六）财政监察：反映财政监察派出机构的专项业务支出。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（七）信息化建设：反映财政部门用于“金财工程”等信息化建设方面的支出。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（八）事业运行：反映事业单位的基本支出。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（九）其他财政事务支出：反映除上述项目以外的其他财政事务方面的支出。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（十）高等职业教育：反映经国家批准设立的高等职业大学、专科职业教育等方面的支出。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（十一）培训支出：反映各部门安排的用于培训的支出。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（十二）机关事业单位基本养老保险缴费支出：反映机关事业单位实施养老保险制度由单位缴纳的基本养老保险费的支出。</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（十三）行政单位医疗：反映行政事业单位基本医疗保险缴费经费。</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（十四）事业单位医疗：反映财政部门集中安排的事业单位基本医疗保险缴费经费。</w:t>
      </w:r>
    </w:p>
    <w:p>
      <w:pPr>
        <w:pStyle w:val="3"/>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（十五）农业综合开发机构运行：反映农业综合开发部门的基本支出。</w:t>
      </w:r>
    </w:p>
    <w:p>
      <w:pPr>
        <w:keepNext w:val="0"/>
        <w:keepLines w:val="0"/>
        <w:pageBreakBefore w:val="0"/>
        <w:kinsoku/>
        <w:wordWrap/>
        <w:topLinePunct w:val="0"/>
        <w:autoSpaceDE/>
        <w:autoSpaceDN/>
        <w:bidi w:val="0"/>
        <w:spacing w:line="600" w:lineRule="exact"/>
        <w:ind w:firstLine="567" w:firstLineChars="189"/>
        <w:rPr>
          <w:rFonts w:hint="eastAsia" w:ascii="宋体" w:hAnsi="宋体" w:eastAsia="宋体" w:cs="宋体"/>
          <w:color w:val="auto"/>
          <w:kern w:val="0"/>
          <w:sz w:val="30"/>
          <w:szCs w:val="30"/>
          <w:lang w:val="en-US" w:eastAsia="zh-CN" w:bidi="hi-IN"/>
        </w:rPr>
      </w:pPr>
      <w:r>
        <w:rPr>
          <w:rFonts w:hint="eastAsia" w:ascii="宋体" w:hAnsi="宋体" w:eastAsia="宋体" w:cs="宋体"/>
          <w:color w:val="auto"/>
          <w:kern w:val="0"/>
          <w:sz w:val="30"/>
          <w:szCs w:val="30"/>
          <w:lang w:val="en-US" w:eastAsia="zh-CN" w:bidi="hi-IN"/>
        </w:rPr>
        <w:t>（十六）购房补贴：反映按房改政策规</w:t>
      </w:r>
      <w:r>
        <w:rPr>
          <w:rFonts w:hint="eastAsia" w:ascii="宋体" w:hAnsi="宋体" w:eastAsia="宋体" w:cs="宋体"/>
          <w:sz w:val="30"/>
          <w:szCs w:val="30"/>
          <w:lang w:val="en-US" w:eastAsia="zh-CN"/>
        </w:rPr>
        <w:t>定，行政事业单位向符合条件</w:t>
      </w:r>
      <w:r>
        <w:rPr>
          <w:rFonts w:hint="eastAsia" w:ascii="宋体" w:hAnsi="宋体" w:eastAsia="宋体" w:cs="宋体"/>
          <w:color w:val="auto"/>
          <w:kern w:val="0"/>
          <w:sz w:val="30"/>
          <w:szCs w:val="30"/>
          <w:lang w:val="en-US" w:eastAsia="zh-CN" w:bidi="hi-IN"/>
        </w:rPr>
        <w:t>职工发放的用于购买住房的补贴。</w:t>
      </w:r>
    </w:p>
    <w:p>
      <w:pPr>
        <w:pStyle w:val="3"/>
        <w:keepNext w:val="0"/>
        <w:keepLines w:val="0"/>
        <w:pageBreakBefore w:val="0"/>
        <w:widowControl w:val="0"/>
        <w:kinsoku/>
        <w:wordWrap/>
        <w:overflowPunct w:val="0"/>
        <w:topLinePunct w:val="0"/>
        <w:autoSpaceDE/>
        <w:autoSpaceDN/>
        <w:bidi w:val="0"/>
        <w:snapToGrid w:val="0"/>
        <w:spacing w:line="600" w:lineRule="exact"/>
        <w:ind w:left="0" w:right="0" w:firstLine="770"/>
        <w:jc w:val="left"/>
        <w:textAlignment w:val="auto"/>
        <w:rPr>
          <w:rFonts w:ascii="仿宋_GB2312" w:hAnsi="仿宋_GB2312" w:eastAsia="仿宋_GB2312" w:cs="仿宋_GB2312"/>
          <w:color w:val="000000"/>
          <w:kern w:val="0"/>
          <w:sz w:val="32"/>
          <w:szCs w:val="32"/>
          <w:lang w:val="en-US" w:eastAsia="zh-CN" w:bidi="ar-SA"/>
        </w:rPr>
      </w:pPr>
    </w:p>
    <w:p>
      <w:pPr>
        <w:pStyle w:val="3"/>
        <w:keepNext w:val="0"/>
        <w:keepLines w:val="0"/>
        <w:pageBreakBefore w:val="0"/>
        <w:widowControl w:val="0"/>
        <w:kinsoku/>
        <w:wordWrap/>
        <w:topLinePunct w:val="0"/>
        <w:autoSpaceDE/>
        <w:autoSpaceDN/>
        <w:bidi w:val="0"/>
        <w:spacing w:line="600" w:lineRule="exact"/>
        <w:jc w:val="both"/>
      </w:pPr>
    </w:p>
    <w:sectPr>
      <w:footerReference r:id="rId3" w:type="default"/>
      <w:pgSz w:w="11906" w:h="16838"/>
      <w:pgMar w:top="1440" w:right="1800" w:bottom="1440" w:left="1800" w:header="0" w:footer="992" w:gutter="0"/>
      <w:pgNumType w:fmt="decimal"/>
      <w:cols w:space="720" w:num="1"/>
      <w:formProt w:val="0"/>
      <w:docGrid w:type="lines" w:linePitch="312" w:charSpace="430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snapToGrid w:val="0"/>
      <w:jc w:val="left"/>
    </w:pPr>
    <w:r>
      <mc:AlternateContent>
        <mc:Choice Requires="wps">
          <w:drawing>
            <wp:anchor distT="0" distB="0" distL="0" distR="0" simplePos="0" relativeHeight="251659264" behindDoc="1" locked="0" layoutInCell="0" allowOverlap="1">
              <wp:simplePos x="0" y="0"/>
              <wp:positionH relativeFrom="margin">
                <wp:align>center</wp:align>
              </wp:positionH>
              <wp:positionV relativeFrom="paragraph">
                <wp:posOffset>635</wp:posOffset>
              </wp:positionV>
              <wp:extent cx="1829435" cy="13081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30320"/>
                      </a:xfrm>
                      <a:prstGeom prst="rect">
                        <a:avLst/>
                      </a:prstGeom>
                      <a:noFill/>
                      <a:ln w="9525">
                        <a:noFill/>
                      </a:ln>
                    </wps:spPr>
                    <wps:style>
                      <a:lnRef idx="0">
                        <a:srgbClr val="FFFFFF"/>
                      </a:lnRef>
                      <a:fillRef idx="0">
                        <a:srgbClr val="FFFFFF"/>
                      </a:fillRef>
                      <a:effectRef idx="0">
                        <a:srgbClr val="FFFFFF"/>
                      </a:effectRef>
                      <a:fontRef idx="minor"/>
                    </wps:style>
                    <wps:txbx>
                      <w:txbxContent>
                        <w:p>
                          <w:pPr>
                            <w:pStyle w:val="6"/>
                            <w:bidi w:val="0"/>
                            <w:snapToGrid w:val="0"/>
                            <w:jc w:val="left"/>
                          </w:pPr>
                        </w:p>
                      </w:txbxContent>
                    </wps:txbx>
                    <wps:bodyPr lIns="0" tIns="0" rIns="0" bIns="0">
                      <a:spAutoFit/>
                    </wps:bodyPr>
                  </wps:wsp>
                </a:graphicData>
              </a:graphic>
            </wp:anchor>
          </w:drawing>
        </mc:Choice>
        <mc:Fallback>
          <w:pict>
            <v:rect id="文本框 1" o:spid="_x0000_s1026" o:spt="1" style="position:absolute;left:0pt;margin-top:0.05pt;height:10.3pt;width:144.05pt;mso-position-horizontal:center;mso-position-horizontal-relative:margin;z-index:-251657216;mso-width-relative:page;mso-height-relative:page;" filled="f" stroked="f" coordsize="21600,21600" o:allowincell="f" o:gfxdata="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sAmMndMAAAAEAQAADwAAAAAAAAABACAAAAAiAAAAZHJzL2Rvd25yZXYueG1sUEsB&#10;AhQAFAAAAAgAh07iQCm36KXBAQAAfwMAAA4AAAAAAAAAAQAgAAAAIgEAAGRycy9lMm9Eb2MueG1s&#10;UEsFBgAAAAAGAAYAWQEAAFUFAAAAAA==&#10;">
              <v:fill on="f" focussize="0,0"/>
              <v:stroke on="f"/>
              <v:imagedata o:title=""/>
              <o:lock v:ext="edit" aspectratio="f"/>
              <v:textbox inset="0mm,0mm,0mm,0mm" style="mso-fit-shape-to-text:t;">
                <w:txbxContent>
                  <w:p>
                    <w:pPr>
                      <w:pStyle w:val="6"/>
                      <w:bidi w:val="0"/>
                      <w:snapToGrid w:val="0"/>
                      <w:jc w:val="left"/>
                    </w:pPr>
                  </w:p>
                </w:txbxContent>
              </v:textbox>
            </v:rect>
          </w:pict>
        </mc:Fallback>
      </mc:AlternateContent>
    </w:r>
    <w:r>
      <mc:AlternateContent>
        <mc:Choice Requires="wps">
          <w:drawing>
            <wp:anchor distT="0" distB="0" distL="0" distR="0" simplePos="0" relativeHeight="251659264" behindDoc="1" locked="0" layoutInCell="0" allowOverlap="1">
              <wp:simplePos x="0" y="0"/>
              <wp:positionH relativeFrom="margin">
                <wp:align>center</wp:align>
              </wp:positionH>
              <wp:positionV relativeFrom="paragraph">
                <wp:posOffset>635</wp:posOffset>
              </wp:positionV>
              <wp:extent cx="1829435" cy="130810"/>
              <wp:effectExtent l="0" t="0" r="0" b="0"/>
              <wp:wrapNone/>
              <wp:docPr id="3" name="文本框 2"/>
              <wp:cNvGraphicFramePr/>
              <a:graphic xmlns:a="http://schemas.openxmlformats.org/drawingml/2006/main">
                <a:graphicData uri="http://schemas.microsoft.com/office/word/2010/wordprocessingShape">
                  <wps:wsp>
                    <wps:cNvSpPr/>
                    <wps:spPr>
                      <a:xfrm>
                        <a:off x="0" y="0"/>
                        <a:ext cx="1828800" cy="130320"/>
                      </a:xfrm>
                      <a:prstGeom prst="rect">
                        <a:avLst/>
                      </a:prstGeom>
                      <a:noFill/>
                      <a:ln w="6350">
                        <a:noFill/>
                      </a:ln>
                    </wps:spPr>
                    <wps:style>
                      <a:lnRef idx="0">
                        <a:srgbClr val="FFFFFF"/>
                      </a:lnRef>
                      <a:fillRef idx="0">
                        <a:srgbClr val="FFFFFF"/>
                      </a:fillRef>
                      <a:effectRef idx="0">
                        <a:srgbClr val="FFFFFF"/>
                      </a:effectRef>
                      <a:fontRef idx="minor"/>
                    </wps:style>
                    <wps:txbx>
                      <w:txbxContent>
                        <w:p>
                          <w:pPr>
                            <w:pStyle w:val="6"/>
                            <w:bidi w:val="0"/>
                            <w:snapToGrid w:val="0"/>
                            <w:jc w:val="left"/>
                          </w:pPr>
                          <w:r>
                            <w:fldChar w:fldCharType="begin"/>
                          </w:r>
                          <w:r>
                            <w:instrText xml:space="preserve">PAGE</w:instrText>
                          </w:r>
                          <w:r>
                            <w:fldChar w:fldCharType="separate"/>
                          </w:r>
                          <w:r>
                            <w:t>5</w:t>
                          </w:r>
                          <w:r>
                            <w:fldChar w:fldCharType="end"/>
                          </w:r>
                        </w:p>
                      </w:txbxContent>
                    </wps:txbx>
                    <wps:bodyPr lIns="0" tIns="0" rIns="0" bIns="0">
                      <a:spAutoFit/>
                    </wps:bodyPr>
                  </wps:wsp>
                </a:graphicData>
              </a:graphic>
            </wp:anchor>
          </w:drawing>
        </mc:Choice>
        <mc:Fallback>
          <w:pict>
            <v:rect id="文本框 2" o:spid="_x0000_s1026" o:spt="1" style="position:absolute;left:0pt;margin-top:0.05pt;height:10.3pt;width:144.05pt;mso-position-horizontal:center;mso-position-horizontal-relative:margin;z-index:-251657216;mso-width-relative:page;mso-height-relative:page;" filled="f" stroked="f" coordsize="21600,21600" o:allowincell="f" o:gfxdata="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MPZxp9MAAAAEAQAADwAAAAAAAAABACAAAAAiAAAAZHJzL2Rvd25yZXYueG1sUEsB&#10;AhQAFAAAAAgAh07iQD0cl4zBAQAAfwMAAA4AAAAAAAAAAQAgAAAAIgEAAGRycy9lMm9Eb2MueG1s&#10;UEsFBgAAAAAGAAYAWQEAAFUFAAAAAA==&#10;">
              <v:fill on="f" focussize="0,0"/>
              <v:stroke on="f" weight="0.5pt"/>
              <v:imagedata o:title=""/>
              <o:lock v:ext="edit" aspectratio="f"/>
              <v:textbox inset="0mm,0mm,0mm,0mm" style="mso-fit-shape-to-text:t;">
                <w:txbxContent>
                  <w:p>
                    <w:pPr>
                      <w:pStyle w:val="6"/>
                      <w:bidi w:val="0"/>
                      <w:snapToGrid w:val="0"/>
                      <w:jc w:val="left"/>
                    </w:pPr>
                    <w:r>
                      <w:fldChar w:fldCharType="begin"/>
                    </w:r>
                    <w:r>
                      <w:instrText xml:space="preserve">PAGE</w:instrText>
                    </w:r>
                    <w:r>
                      <w:fldChar w:fldCharType="separate"/>
                    </w:r>
                    <w:r>
                      <w:t>5</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7CC274"/>
    <w:multiLevelType w:val="singleLevel"/>
    <w:tmpl w:val="E47CC274"/>
    <w:lvl w:ilvl="0" w:tentative="0">
      <w:start w:val="8"/>
      <w:numFmt w:val="chineseCounting"/>
      <w:lvlText w:val="(%1)"/>
      <w:lvlJc w:val="left"/>
      <w:pPr>
        <w:tabs>
          <w:tab w:val="left" w:pos="312"/>
        </w:tabs>
      </w:pPr>
      <w:rPr>
        <w:rFonts w:hint="eastAsia"/>
      </w:rPr>
    </w:lvl>
  </w:abstractNum>
  <w:abstractNum w:abstractNumId="1">
    <w:nsid w:val="6CD3C239"/>
    <w:multiLevelType w:val="singleLevel"/>
    <w:tmpl w:val="6CD3C239"/>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autoHyphenation/>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53A4C"/>
    <w:rsid w:val="08200912"/>
    <w:rsid w:val="124A187A"/>
    <w:rsid w:val="2CFA76F7"/>
    <w:rsid w:val="2E5721EB"/>
    <w:rsid w:val="31941886"/>
    <w:rsid w:val="3BA94D3F"/>
    <w:rsid w:val="3C54311B"/>
    <w:rsid w:val="4337703A"/>
    <w:rsid w:val="475F139B"/>
    <w:rsid w:val="48616E36"/>
    <w:rsid w:val="4CAD48EC"/>
    <w:rsid w:val="5D5652FF"/>
    <w:rsid w:val="5FD62653"/>
    <w:rsid w:val="60301BD4"/>
    <w:rsid w:val="69B00A15"/>
    <w:rsid w:val="69D04582"/>
    <w:rsid w:val="72FE7218"/>
    <w:rsid w:val="7BD66EBF"/>
    <w:rsid w:val="7F587467"/>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hi-I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3"/>
    <w:qFormat/>
    <w:uiPriority w:val="0"/>
    <w:pPr>
      <w:spacing w:beforeAutospacing="1" w:afterAutospacing="1"/>
      <w:ind w:left="0" w:right="0" w:firstLine="0"/>
      <w:jc w:val="left"/>
    </w:pPr>
    <w:rPr>
      <w:kern w:val="0"/>
      <w:sz w:val="24"/>
      <w:lang w:val="en-US" w:eastAsia="zh-CN" w:bidi="ar"/>
    </w:rPr>
  </w:style>
  <w:style w:type="paragraph" w:customStyle="1" w:styleId="3">
    <w:name w:val="正文1"/>
    <w:qFormat/>
    <w:uiPriority w:val="0"/>
    <w:pPr>
      <w:widowControl w:val="0"/>
      <w:suppressAutoHyphens w:val="0"/>
      <w:bidi w:val="0"/>
      <w:jc w:val="both"/>
    </w:pPr>
    <w:rPr>
      <w:rFonts w:ascii="Times New Roman" w:hAnsi="Times New Roman" w:eastAsia="宋体" w:cs="Times New Roman"/>
      <w:color w:val="auto"/>
      <w:kern w:val="2"/>
      <w:sz w:val="21"/>
      <w:szCs w:val="20"/>
      <w:lang w:val="en-US" w:eastAsia="zh-CN" w:bidi="ar-SA"/>
    </w:rPr>
  </w:style>
  <w:style w:type="paragraph" w:customStyle="1" w:styleId="6">
    <w:name w:val="页脚1"/>
    <w:basedOn w:val="3"/>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3130</Words>
  <Characters>3398</Characters>
  <Paragraphs>175</Paragraphs>
  <TotalTime>2</TotalTime>
  <ScaleCrop>false</ScaleCrop>
  <LinksUpToDate>false</LinksUpToDate>
  <CharactersWithSpaces>3463</CharactersWithSpaces>
  <Application>WPS Office_11.1.0.10495_F1E327BC-269C-435d-A152-05C5408002CA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cp:lastPrinted>2021-04-28T08:10:00Z</cp:lastPrinted>
  <dcterms:modified xsi:type="dcterms:W3CDTF">2021-06-03T07:09:29Z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A5AE9AD7B98D46D5961C1FB1FE2F314D</vt:lpwstr>
  </property>
</Properties>
</file>