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44"/>
          <w:szCs w:val="44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兴国县接待办2021年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单位</w:t>
      </w:r>
      <w:r>
        <w:rPr>
          <w:rFonts w:hint="eastAsia" w:ascii="黑体" w:hAnsi="黑体" w:eastAsia="黑体" w:cs="黑体"/>
          <w:sz w:val="44"/>
          <w:szCs w:val="44"/>
        </w:rPr>
        <w:t>预算公开</w:t>
      </w:r>
    </w:p>
    <w:p>
      <w:pPr>
        <w:spacing w:line="560" w:lineRule="exact"/>
        <w:jc w:val="center"/>
        <w:rPr>
          <w:sz w:val="36"/>
          <w:szCs w:val="36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目       录</w:t>
      </w:r>
    </w:p>
    <w:p>
      <w:pPr>
        <w:spacing w:line="560" w:lineRule="exact"/>
        <w:jc w:val="center"/>
        <w:rPr>
          <w:rFonts w:ascii="黑体" w:hAnsi="黑体" w:eastAsia="黑体" w:cs="黑体"/>
          <w:sz w:val="36"/>
          <w:szCs w:val="36"/>
        </w:rPr>
      </w:pPr>
    </w:p>
    <w:p>
      <w:pPr>
        <w:spacing w:line="560" w:lineRule="exact"/>
        <w:ind w:left="682" w:leftChars="153" w:hanging="361" w:hangingChars="113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第一部分 兴国县接待办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单位</w:t>
      </w:r>
      <w:r>
        <w:rPr>
          <w:rFonts w:hint="eastAsia" w:ascii="黑体" w:hAnsi="黑体" w:eastAsia="黑体" w:cs="黑体"/>
          <w:sz w:val="32"/>
          <w:szCs w:val="32"/>
        </w:rPr>
        <w:t>概况</w:t>
      </w:r>
    </w:p>
    <w:p>
      <w:pPr>
        <w:spacing w:line="560" w:lineRule="exact"/>
        <w:ind w:left="42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一、部门主要职责</w:t>
      </w:r>
    </w:p>
    <w:p>
      <w:pPr>
        <w:numPr>
          <w:ilvl w:val="0"/>
          <w:numId w:val="1"/>
        </w:numPr>
        <w:spacing w:line="560" w:lineRule="exact"/>
        <w:ind w:left="456" w:hanging="36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部门基本情况</w:t>
      </w:r>
    </w:p>
    <w:p>
      <w:pPr>
        <w:spacing w:line="560" w:lineRule="exact"/>
        <w:ind w:left="638" w:leftChars="143" w:hanging="338" w:hangingChars="113"/>
        <w:jc w:val="lef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第二部分 兴国县接待办2021年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单位</w:t>
      </w:r>
      <w:r>
        <w:rPr>
          <w:rFonts w:hint="eastAsia" w:ascii="黑体" w:hAnsi="黑体" w:eastAsia="黑体" w:cs="黑体"/>
          <w:sz w:val="30"/>
          <w:szCs w:val="30"/>
        </w:rPr>
        <w:t>预算情况说明</w:t>
      </w:r>
    </w:p>
    <w:p>
      <w:pPr>
        <w:spacing w:line="560" w:lineRule="exact"/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一、2021年部门预算收支情况说明</w:t>
      </w:r>
    </w:p>
    <w:p>
      <w:pPr>
        <w:spacing w:line="560" w:lineRule="exact"/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二、2021年“三公”经费预算情况说明</w:t>
      </w:r>
    </w:p>
    <w:p>
      <w:pPr>
        <w:spacing w:line="560" w:lineRule="exact"/>
        <w:ind w:firstLine="300" w:firstLineChars="10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第三部分 兴国县接待办2021年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单位</w:t>
      </w:r>
      <w:r>
        <w:rPr>
          <w:rFonts w:hint="eastAsia" w:ascii="黑体" w:hAnsi="黑体" w:eastAsia="黑体" w:cs="黑体"/>
          <w:sz w:val="30"/>
          <w:szCs w:val="30"/>
        </w:rPr>
        <w:t>预算表</w:t>
      </w:r>
    </w:p>
    <w:p>
      <w:pPr>
        <w:ind w:left="632" w:leftChars="284" w:hanging="36" w:hangingChars="12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一、《收支预算总表》</w:t>
      </w:r>
    </w:p>
    <w:p>
      <w:pPr>
        <w:ind w:left="632" w:leftChars="284" w:hanging="36" w:hangingChars="12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二、《部门收入总表》</w:t>
      </w:r>
    </w:p>
    <w:p>
      <w:pPr>
        <w:ind w:left="632" w:leftChars="284" w:hanging="36" w:hangingChars="12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三、《部门支出总表》</w:t>
      </w:r>
    </w:p>
    <w:p>
      <w:pPr>
        <w:ind w:left="632" w:leftChars="284" w:hanging="36" w:hangingChars="12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四、《财政拨款收支总表》</w:t>
      </w:r>
    </w:p>
    <w:p>
      <w:pPr>
        <w:ind w:left="632" w:leftChars="284" w:hanging="36" w:hangingChars="12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五、《一般公共预算支出表》</w:t>
      </w:r>
    </w:p>
    <w:p>
      <w:pPr>
        <w:ind w:left="632" w:leftChars="284" w:hanging="36" w:hangingChars="12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六、《一般公共预算基本支出表》</w:t>
      </w:r>
    </w:p>
    <w:p>
      <w:pPr>
        <w:ind w:left="632" w:leftChars="284" w:hanging="36" w:hangingChars="12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七、《</w:t>
      </w:r>
      <w:r>
        <w:rPr>
          <w:rFonts w:hint="default" w:ascii="宋体" w:hAnsi="宋体" w:cs="宋体"/>
          <w:sz w:val="30"/>
          <w:szCs w:val="30"/>
          <w:lang w:val="en-US" w:eastAsia="zh-CN"/>
        </w:rPr>
        <w:t>“</w:t>
      </w:r>
      <w:r>
        <w:rPr>
          <w:rFonts w:hint="eastAsia" w:ascii="宋体" w:hAnsi="宋体" w:eastAsia="宋体" w:cs="宋体"/>
          <w:sz w:val="30"/>
          <w:szCs w:val="30"/>
        </w:rPr>
        <w:t>三公</w:t>
      </w:r>
      <w:r>
        <w:rPr>
          <w:rFonts w:hint="default" w:ascii="宋体" w:hAnsi="宋体" w:cs="宋体"/>
          <w:sz w:val="30"/>
          <w:szCs w:val="30"/>
          <w:lang w:val="en-US" w:eastAsia="zh-CN"/>
        </w:rPr>
        <w:t>”</w:t>
      </w:r>
      <w:r>
        <w:rPr>
          <w:rFonts w:hint="eastAsia" w:ascii="宋体" w:hAnsi="宋体" w:eastAsia="宋体" w:cs="宋体"/>
          <w:sz w:val="30"/>
          <w:szCs w:val="30"/>
        </w:rPr>
        <w:t>经费支出表》</w:t>
      </w:r>
    </w:p>
    <w:p>
      <w:pPr>
        <w:ind w:left="632" w:leftChars="284" w:hanging="36" w:hangingChars="12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八、《政府性基金预算支出表》</w:t>
      </w:r>
    </w:p>
    <w:p>
      <w:pPr>
        <w:spacing w:line="560" w:lineRule="exact"/>
        <w:ind w:firstLine="567" w:firstLineChars="189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 xml:space="preserve">第四部分 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名词解释</w:t>
      </w:r>
    </w:p>
    <w:p>
      <w:pPr>
        <w:spacing w:line="560" w:lineRule="exact"/>
        <w:ind w:firstLine="567" w:firstLineChars="189"/>
        <w:rPr>
          <w:rFonts w:ascii="黑体" w:hAnsi="黑体" w:eastAsia="黑体" w:cs="黑体"/>
          <w:sz w:val="30"/>
          <w:szCs w:val="30"/>
        </w:rPr>
      </w:pPr>
    </w:p>
    <w:p>
      <w:pPr>
        <w:ind w:left="684" w:hanging="684" w:hangingChars="213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第一部分 兴国县接待办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单位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概况</w:t>
      </w:r>
    </w:p>
    <w:p>
      <w:pPr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一、部门主要职责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兴国县接待办是主管全县公务接待工作的县委、县政府组成部门（直属机构），主要职责是：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1、</w:t>
      </w:r>
      <w:r>
        <w:rPr>
          <w:rFonts w:hint="eastAsia" w:ascii="仿宋" w:hAnsi="仿宋" w:eastAsia="仿宋" w:cs="仿宋_GB2312"/>
          <w:sz w:val="32"/>
          <w:szCs w:val="32"/>
        </w:rPr>
        <w:t>接待党和国家领导干部。</w:t>
      </w:r>
    </w:p>
    <w:p>
      <w:pPr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2、接待省委、人大、政府、政协现任正副职领导和正副秘书长;省人大、省政协的常委，省(市)纪委、高级法院、检察院现任正副职领导。</w:t>
      </w:r>
    </w:p>
    <w:p>
      <w:pPr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3、接待省委、省人大、省政府、省政协派出的检查组、调查组、视察组、考察组。</w:t>
      </w:r>
    </w:p>
    <w:p>
      <w:pPr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4、接待赣州市委、人大、政府、政协、现任正副职领导和正副秘书长；市人大、市政协的常委，市纪委正副职领导。</w:t>
      </w:r>
    </w:p>
    <w:p>
      <w:pPr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5、接待赣州市委、市人大、市政府、市政协派出的检查组、调查组、视察组、考察组。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6、接待兄弟县（市）党委、人大、政府、政协现任正职领导。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7、接待县委、县政府邀请来兴国县的专家、学者、记者。</w:t>
      </w:r>
    </w:p>
    <w:p>
      <w:pPr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8、接待担任过副地级以上职务的离退休老干部。</w:t>
      </w:r>
    </w:p>
    <w:p>
      <w:pPr>
        <w:spacing w:line="560" w:lineRule="exact"/>
        <w:ind w:right="449" w:rightChars="214" w:firstLine="64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_GB2312"/>
          <w:sz w:val="32"/>
          <w:szCs w:val="32"/>
        </w:rPr>
        <w:t>9、办理县委、县政府主要领导交办的其他事项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。</w:t>
      </w:r>
    </w:p>
    <w:p>
      <w:pPr>
        <w:ind w:left="42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二、部门基本情况</w:t>
      </w:r>
    </w:p>
    <w:p>
      <w:pPr>
        <w:spacing w:line="560" w:lineRule="exact"/>
        <w:ind w:firstLine="63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/>
          <w:sz w:val="32"/>
          <w:szCs w:val="32"/>
        </w:rPr>
        <w:t>兴国县接待办编制人数16人，其中行政编制3人、参公编制0人、全额事业编制13人、差额事业编制0人、自收自支事业编制0人；实有人数12人，其中：在职人数12人，包括行政人员0人，参公人员0人、全额事业13人、差额事业0人、自收自支事业0人；离休人员0人；退休人员1人。在校学生0人，其中：高等学校0人、中等专业学校0人、初中0人、高中0人。</w:t>
      </w:r>
    </w:p>
    <w:p>
      <w:pPr>
        <w:ind w:firstLine="602" w:firstLineChars="200"/>
        <w:jc w:val="center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第二部分  兴国县接待办2021年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单位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预算情况说明</w:t>
      </w:r>
    </w:p>
    <w:p>
      <w:pPr>
        <w:jc w:val="center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    第三部分 兴国县接待办2021年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单位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预算情况说明</w:t>
      </w:r>
    </w:p>
    <w:p>
      <w:pPr>
        <w:ind w:firstLine="602" w:firstLineChars="20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一、2021年部门预算收支情况说明</w:t>
      </w:r>
    </w:p>
    <w:p>
      <w:pPr>
        <w:ind w:firstLine="602" w:firstLineChars="20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（一）收入预算情况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说明部门或单位收入预算总额和结构，较上年预算安排的增（减）变化。</w:t>
      </w:r>
    </w:p>
    <w:p>
      <w:pPr>
        <w:ind w:firstLine="602" w:firstLineChars="20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（二）支出预算情况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说明部门或单位支出预算总额并按资金性质、功能分类和经济分类分别说明支出的金额和结构，较上年预算安排的增（减）变化。</w:t>
      </w:r>
    </w:p>
    <w:p>
      <w:pPr>
        <w:ind w:firstLine="602" w:firstLineChars="20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（三）财政拨款支出情况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说明部门或单位财政拨款支出预算数，较上年预算安排的增（减）变化。</w:t>
      </w:r>
    </w:p>
    <w:p>
      <w:pPr>
        <w:ind w:firstLine="602" w:firstLineChars="20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（四）政府性基金情况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说明部门或单位政府性基金支出总额，以及支出的结构和金额，较上年预算安排的增（减）变化。如无，则注明无政府性基金预算拨款安排的支出。</w:t>
      </w:r>
    </w:p>
    <w:p>
      <w:pPr>
        <w:ind w:firstLine="428" w:firstLineChars="142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（五）机关运行经费等重要事项的说明</w:t>
      </w:r>
    </w:p>
    <w:p>
      <w:pPr>
        <w:ind w:firstLine="549" w:firstLineChars="183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2021年部门或单位机关运行费预算</w:t>
      </w:r>
      <w:r>
        <w:rPr>
          <w:rFonts w:hint="eastAsia" w:ascii="仿宋" w:hAnsi="仿宋" w:eastAsia="仿宋" w:cs="仿宋"/>
          <w:sz w:val="30"/>
          <w:szCs w:val="30"/>
          <w:u w:val="single"/>
        </w:rPr>
        <w:t>500</w:t>
      </w:r>
      <w:r>
        <w:rPr>
          <w:rFonts w:hint="eastAsia" w:ascii="仿宋" w:hAnsi="仿宋" w:eastAsia="仿宋" w:cs="仿宋"/>
          <w:sz w:val="30"/>
          <w:szCs w:val="30"/>
        </w:rPr>
        <w:t>万元，主要用于公务接待。</w:t>
      </w:r>
    </w:p>
    <w:p>
      <w:pPr>
        <w:ind w:firstLine="569" w:firstLineChars="189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（六）政府采购情况</w:t>
      </w:r>
    </w:p>
    <w:p>
      <w:pPr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无。</w:t>
      </w:r>
    </w:p>
    <w:p>
      <w:pPr>
        <w:ind w:firstLine="569" w:firstLineChars="189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（七）国有资产占有使用情况</w:t>
      </w:r>
    </w:p>
    <w:p>
      <w:pPr>
        <w:ind w:firstLine="450" w:firstLineChars="15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无。</w:t>
      </w:r>
    </w:p>
    <w:p>
      <w:pPr>
        <w:ind w:firstLine="569" w:firstLineChars="189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（八）绩效目标设置情况</w:t>
      </w:r>
    </w:p>
    <w:p>
      <w:pPr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2021年实行绩效目标管理的项目</w:t>
      </w:r>
      <w:r>
        <w:rPr>
          <w:rFonts w:hint="eastAsia" w:ascii="仿宋" w:hAnsi="仿宋" w:eastAsia="仿宋" w:cs="仿宋"/>
          <w:sz w:val="30"/>
          <w:szCs w:val="30"/>
          <w:u w:val="single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个，涉及资金</w:t>
      </w:r>
      <w:r>
        <w:rPr>
          <w:rFonts w:hint="eastAsia" w:ascii="仿宋" w:hAnsi="仿宋" w:eastAsia="仿宋" w:cs="仿宋"/>
          <w:sz w:val="30"/>
          <w:szCs w:val="30"/>
          <w:u w:val="single"/>
        </w:rPr>
        <w:t>500</w:t>
      </w:r>
      <w:r>
        <w:rPr>
          <w:rFonts w:hint="eastAsia" w:ascii="仿宋" w:hAnsi="仿宋" w:eastAsia="仿宋" w:cs="仿宋"/>
          <w:sz w:val="30"/>
          <w:szCs w:val="30"/>
        </w:rPr>
        <w:t>万元：</w:t>
      </w: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项目名称：</w:t>
      </w:r>
    </w:p>
    <w:p>
      <w:pPr>
        <w:numPr>
          <w:ilvl w:val="0"/>
          <w:numId w:val="2"/>
        </w:numPr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项目概述</w:t>
      </w:r>
    </w:p>
    <w:p>
      <w:pPr>
        <w:ind w:firstLine="900" w:firstLineChars="3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该项目主要用于公务接待，服务接待对象满意度超过90%，项目支出绩效自评98分。</w:t>
      </w:r>
    </w:p>
    <w:p>
      <w:pPr>
        <w:numPr>
          <w:ilvl w:val="0"/>
          <w:numId w:val="2"/>
        </w:numPr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立项依据</w:t>
      </w:r>
    </w:p>
    <w:p>
      <w:pPr>
        <w:ind w:left="397" w:left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依据兴国县委县政府相关接待通知及规定。</w:t>
      </w:r>
    </w:p>
    <w:p>
      <w:pPr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3、实施主体</w:t>
      </w:r>
    </w:p>
    <w:p>
      <w:pPr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兴国县接待办</w:t>
      </w:r>
    </w:p>
    <w:p>
      <w:pPr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4、实施周期</w:t>
      </w:r>
    </w:p>
    <w:p>
      <w:pPr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一年</w:t>
      </w:r>
    </w:p>
    <w:p>
      <w:pPr>
        <w:numPr>
          <w:ilvl w:val="0"/>
          <w:numId w:val="3"/>
        </w:numPr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年度预算安排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500万元</w:t>
      </w:r>
    </w:p>
    <w:p>
      <w:pPr>
        <w:numPr>
          <w:ilvl w:val="0"/>
          <w:numId w:val="3"/>
        </w:numPr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年度绩效目标</w:t>
      </w:r>
    </w:p>
    <w:p>
      <w:pPr>
        <w:ind w:left="397" w:left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1、完善接待管理办法，严格控制接待范围，无超标准接待行为发生。</w:t>
      </w:r>
    </w:p>
    <w:p>
      <w:pPr>
        <w:ind w:left="397" w:left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2、做好接待经费日常管理，控制成本，提高接待服务质量和水平。</w:t>
      </w:r>
    </w:p>
    <w:p>
      <w:pPr>
        <w:ind w:left="397" w:left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3、扎实开展接待员业务培训工作，全面提高接待员业务水平，确保各项接待工作高标准完成。</w:t>
      </w:r>
    </w:p>
    <w:p>
      <w:pPr>
        <w:ind w:firstLine="569" w:firstLineChars="189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二、2021年“三公”经费预算情况说明</w:t>
      </w:r>
    </w:p>
    <w:p>
      <w:pPr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说明部门或单位“三公”经费一般公共预算总额和结构，及各项增（减）变化原因。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2021年兴国县接待办部门 “三公”经费一般公共预算安排500万元。其中：公务接待费500万元。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部分 兴国县接待办2021年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单位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预算表</w:t>
      </w:r>
    </w:p>
    <w:p>
      <w:pPr>
        <w:ind w:left="621" w:leftChars="284" w:hanging="25" w:hangingChars="12"/>
        <w:rPr>
          <w:rFonts w:ascii="仿宋" w:hAnsi="仿宋" w:eastAsia="仿宋" w:cs="仿宋"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109220</wp:posOffset>
            </wp:positionH>
            <wp:positionV relativeFrom="paragraph">
              <wp:posOffset>330835</wp:posOffset>
            </wp:positionV>
            <wp:extent cx="5635625" cy="4445000"/>
            <wp:effectExtent l="0" t="0" r="3175" b="0"/>
            <wp:wrapTight wrapText="bothSides">
              <wp:wrapPolygon>
                <wp:start x="0" y="0"/>
                <wp:lineTo x="0" y="21477"/>
                <wp:lineTo x="21539" y="21477"/>
                <wp:lineTo x="21539" y="0"/>
                <wp:lineTo x="0" y="0"/>
              </wp:wrapPolygon>
            </wp:wrapTight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5625" cy="444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0"/>
          <w:szCs w:val="30"/>
        </w:rPr>
        <w:t>一、《收支预算总表》</w:t>
      </w:r>
    </w:p>
    <w:p>
      <w:pPr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二、《部门收入总表》</w:t>
      </w:r>
    </w:p>
    <w:p>
      <w:pPr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object>
          <v:shape id="_x0000_i1025" o:spt="75" type="#_x0000_t75" style="height:109.6pt;width:451.3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Link" ProgID="Excel.Sheet.8" ShapeID="_x0000_i1025" UpdateMode="Always" DrawAspect="Content" ObjectID="_1468075725" r:id="rId6">
            <o:LinkType>EnhancedMetaFile</o:LinkType>
            <o:LockedField>false</o:LockedField>
          </o:OLEObject>
        </w:object>
      </w:r>
    </w:p>
    <w:p>
      <w:pPr>
        <w:numPr>
          <w:ilvl w:val="0"/>
          <w:numId w:val="1"/>
        </w:numPr>
        <w:ind w:left="456" w:hanging="36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《部门支出总表》</w:t>
      </w: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object>
          <v:shape id="_x0000_i1026" o:spt="75" type="#_x0000_t75" style="height:97.8pt;width:457.8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Link" ProgID="Excel.Sheet.8" ShapeID="_x0000_i1026" UpdateMode="Always" DrawAspect="Content" ObjectID="_1468075726" r:id="rId8">
            <o:LinkType>EnhancedMetaFile</o:LinkType>
            <o:LockedField>false</o:LockedField>
          </o:OLEObject>
        </w:object>
      </w:r>
    </w:p>
    <w:p>
      <w:pPr>
        <w:numPr>
          <w:ilvl w:val="0"/>
          <w:numId w:val="1"/>
        </w:numPr>
        <w:ind w:left="456" w:hanging="36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《财政拨款收支总表》</w:t>
      </w:r>
    </w:p>
    <w:p>
      <w:pPr>
        <w:ind w:left="63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object>
          <v:shape id="_x0000_i1027" o:spt="75" type="#_x0000_t75" style="height:320.25pt;width:400.8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Link" ProgID="Excel.Sheet.8" ShapeID="_x0000_i1027" UpdateMode="Always" DrawAspect="Content" ObjectID="_1468075727" r:id="rId10">
            <o:LinkType>EnhancedMetaFile</o:LinkType>
            <o:LockedField>false</o:LockedField>
          </o:OLEObject>
        </w:object>
      </w:r>
      <w:r>
        <w:rPr>
          <w:rFonts w:hint="eastAsia" w:ascii="仿宋" w:hAnsi="仿宋" w:eastAsia="仿宋" w:cs="仿宋"/>
          <w:sz w:val="30"/>
          <w:szCs w:val="30"/>
        </w:rPr>
        <w:t>五、《一般公共预算支出表》</w:t>
      </w:r>
    </w:p>
    <w:p>
      <w:pPr>
        <w:ind w:left="63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object>
          <v:shape id="_x0000_i1028" o:spt="75" type="#_x0000_t75" style="height:107.45pt;width:458.8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Link" ProgID="Excel.Sheet.8" ShapeID="_x0000_i1028" UpdateMode="Always" DrawAspect="Content" ObjectID="_1468075728" r:id="rId12">
            <o:LinkType>EnhancedMetaFile</o:LinkType>
            <o:LockedField>false</o:LockedField>
          </o:OLEObject>
        </w:object>
      </w:r>
    </w:p>
    <w:p>
      <w:pPr>
        <w:pStyle w:val="4"/>
        <w:numPr>
          <w:ilvl w:val="0"/>
          <w:numId w:val="4"/>
        </w:numPr>
        <w:ind w:firstLineChars="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《一般公共预算基本支出表》</w:t>
      </w:r>
    </w:p>
    <w:p>
      <w:pPr>
        <w:ind w:left="63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object>
          <v:shape id="_x0000_i1029" o:spt="75" type="#_x0000_t75" style="height:74.15pt;width:449.2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Link" ProgID="Excel.Sheet.8" ShapeID="_x0000_i1029" UpdateMode="Always" DrawAspect="Content" ObjectID="_1468075729" r:id="rId14">
            <o:LinkType>EnhancedMetaFile</o:LinkType>
            <o:LockedField>false</o:LockedField>
          </o:OLEObject>
        </w:object>
      </w:r>
    </w:p>
    <w:p>
      <w:pPr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七、《一般公共预算“三公”经费支出表》</w:t>
      </w:r>
    </w:p>
    <w:p>
      <w:pPr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object>
          <v:shape id="_x0000_i1030" o:spt="75" type="#_x0000_t75" style="height:78.45pt;width:457.8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Link" ProgID="Excel.Sheet.8" ShapeID="_x0000_i1030" UpdateMode="Always" DrawAspect="Content" ObjectID="_1468075730" r:id="rId16">
            <o:LinkType>EnhancedMetaFile</o:LinkType>
            <o:LockedField>false</o:LockedField>
          </o:OLEObject>
        </w:object>
      </w:r>
    </w:p>
    <w:p>
      <w:pPr>
        <w:numPr>
          <w:ilvl w:val="0"/>
          <w:numId w:val="5"/>
        </w:numPr>
        <w:ind w:left="632" w:leftChars="284" w:hanging="36" w:hangingChars="12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《政府性基金预算支出表》</w:t>
      </w:r>
    </w:p>
    <w:tbl>
      <w:tblPr>
        <w:tblW w:w="74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9"/>
        <w:gridCol w:w="721"/>
        <w:gridCol w:w="721"/>
        <w:gridCol w:w="721"/>
        <w:gridCol w:w="7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政府性基金预算支出表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填报单位:107中共兴国县人民政府接待办（部门） , 107001中共兴国县人民政府接待办 , 107002中共兴国县人民政府接待办后勤服务中心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支出功能分类科目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科目编码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科目名称 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基本支出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numId w:val="0"/>
        </w:numPr>
        <w:ind w:leftChars="272"/>
        <w:rPr>
          <w:rFonts w:ascii="仿宋" w:hAnsi="仿宋" w:eastAsia="仿宋" w:cs="仿宋"/>
          <w:sz w:val="30"/>
          <w:szCs w:val="30"/>
        </w:rPr>
      </w:pPr>
    </w:p>
    <w:p>
      <w:pPr>
        <w:numPr>
          <w:ilvl w:val="0"/>
          <w:numId w:val="5"/>
        </w:num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《部门整体支出绩效目标表》</w:t>
      </w:r>
    </w:p>
    <w:tbl>
      <w:tblPr>
        <w:tblW w:w="98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020"/>
        <w:gridCol w:w="1590"/>
        <w:gridCol w:w="960"/>
        <w:gridCol w:w="1245"/>
        <w:gridCol w:w="1020"/>
        <w:gridCol w:w="26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81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2021年部门整体支出绩效目标表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部门名称</w:t>
            </w:r>
          </w:p>
        </w:tc>
        <w:tc>
          <w:tcPr>
            <w:tcW w:w="84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中共兴国县人民政府接待办（部门）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崔荣朋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18529229669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8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部门基本信息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部门所属领域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直属单位包括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内设职能部门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编制控制数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在职人员总数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其中：行政编制人数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事业编制人数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编外人数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8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当年预算情况（万元）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收入预算合计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642.32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其中：上级财政拨款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本级财政安排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642.32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其他资金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支出预算合计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642.32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其中：人员经费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公用经费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7.2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项目经费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8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年度绩效指标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一级指标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二级指标</w:t>
            </w: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三级指标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目标值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产出指标</w:t>
            </w:r>
          </w:p>
        </w:tc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数量指标</w:t>
            </w: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完成大型接待工作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全面完成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县委县政府大型会议的后勤保障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全面做好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质量指标</w:t>
            </w: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接待差错率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&lt;=5%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时效指标</w:t>
            </w: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成本指标</w:t>
            </w: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成本控制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不超过接待标准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效益指标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经济效益指标</w:t>
            </w: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社会效益指标</w:t>
            </w: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保障政府公务接待高效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保障有力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生态效益指标</w:t>
            </w: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可持续影响指标</w:t>
            </w: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满意度指标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满意度指标 </w:t>
            </w: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服务接待对象满意度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&gt;=90%</w:t>
            </w:r>
          </w:p>
        </w:tc>
      </w:tr>
    </w:tbl>
    <w:p>
      <w:pPr>
        <w:numPr>
          <w:numId w:val="0"/>
        </w:numPr>
        <w:ind w:leftChars="272"/>
        <w:rPr>
          <w:rFonts w:hint="eastAsia" w:ascii="仿宋" w:hAnsi="仿宋" w:eastAsia="仿宋" w:cs="仿宋"/>
          <w:sz w:val="30"/>
          <w:szCs w:val="30"/>
        </w:rPr>
      </w:pPr>
    </w:p>
    <w:p>
      <w:pPr>
        <w:ind w:left="10" w:leftChars="5" w:firstLine="582" w:firstLineChars="194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十、《项目支出绩效目标表》</w:t>
      </w:r>
    </w:p>
    <w:p>
      <w:pPr>
        <w:ind w:left="10" w:leftChars="5" w:firstLine="582" w:firstLineChars="19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object>
          <v:shape id="_x0000_i1031" o:spt="75" type="#_x0000_t75" style="height:245.15pt;width:399.55pt;" o:ole="t" filled="f" o:preferrelative="t" stroked="f" coordsize="21600,21600">
            <v:path/>
            <v:fill on="f" focussize="0,0"/>
            <v:stroke on="f"/>
            <v:imagedata r:id="rId17" o:title=""/>
            <o:lock v:ext="edit" aspectratio="t"/>
            <w10:wrap type="none"/>
            <w10:anchorlock/>
          </v:shape>
          <o:OLEObject Type="Link" ProgID="" ShapeID="_x0000_i1031" UpdateMode="Always" DrawAspect="Content" ObjectID="_1468075731" r:id="rId18">
            <o:LinkType>EnhancedMetaFile</o:LinkType>
            <o:LockedField>false</o:LockedField>
          </o:OLEObject>
        </w:object>
      </w:r>
    </w:p>
    <w:p>
      <w:pPr>
        <w:ind w:firstLine="567" w:firstLineChars="189"/>
        <w:rPr>
          <w:rFonts w:ascii="仿宋" w:hAnsi="仿宋" w:eastAsia="仿宋" w:cs="仿宋"/>
          <w:sz w:val="30"/>
          <w:szCs w:val="30"/>
        </w:rPr>
      </w:pPr>
    </w:p>
    <w:p>
      <w:pPr>
        <w:ind w:left="397" w:leftChars="189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     </w:t>
      </w:r>
    </w:p>
    <w:p>
      <w:pPr>
        <w:ind w:firstLine="569" w:firstLineChars="189"/>
        <w:jc w:val="center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四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部分名词解释</w:t>
      </w:r>
    </w:p>
    <w:p>
      <w:pPr>
        <w:ind w:firstLine="569" w:firstLineChars="189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一、收入科目</w:t>
      </w:r>
    </w:p>
    <w:p>
      <w:pPr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各部门结合实际进行解释。</w:t>
      </w:r>
    </w:p>
    <w:p>
      <w:pPr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（一）财政拨款：500万接待经费。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（二）事业收入：无。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（三）事业单位经营收入：无。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（四）其他收入：无。</w:t>
      </w:r>
    </w:p>
    <w:p>
      <w:pPr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（五）附属单位上缴收入：反映事业单位附属的独立核算单</w:t>
      </w: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位按规定标准或比例缴纳的各项收入。包括附属的事业单位上缴</w:t>
      </w: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的收入和附属的企业上缴的利润等。</w:t>
      </w:r>
    </w:p>
    <w:p>
      <w:pPr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（六）上级补助收入：反映事业单位从主管部门和上级单位</w:t>
      </w:r>
    </w:p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取得的非财政补助收入。</w:t>
      </w:r>
    </w:p>
    <w:p>
      <w:pPr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（七）使用非财政拨款结余：填列历年滚存的非限定用途的</w:t>
      </w:r>
    </w:p>
    <w:p>
      <w:pPr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非统计财政拨款结余弥补2021年收支差额的数额。</w:t>
      </w:r>
    </w:p>
    <w:p>
      <w:pPr>
        <w:ind w:firstLine="567" w:firstLineChars="189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（八）上年结转和结余：填列2020年全部结转和结余的资金数，包括当年结转结余资金和历年滚存结转结余资金。</w:t>
      </w:r>
    </w:p>
    <w:p>
      <w:pPr>
        <w:ind w:firstLine="569" w:firstLineChars="189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二、支出科目</w:t>
      </w:r>
    </w:p>
    <w:p>
      <w:pPr>
        <w:ind w:firstLine="567" w:firstLineChars="189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对部门或单位预算中涉及的支出功能分类科目（明细到项级），结合部门实际，参照《2021年政府收支分类科目》的规范说明行解释。</w:t>
      </w:r>
    </w:p>
    <w:sectPr>
      <w:pgSz w:w="11906" w:h="16838"/>
      <w:pgMar w:top="1020" w:right="1800" w:bottom="1338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B904B1"/>
    <w:multiLevelType w:val="singleLevel"/>
    <w:tmpl w:val="83B904B1"/>
    <w:lvl w:ilvl="0" w:tentative="0">
      <w:start w:val="2"/>
      <w:numFmt w:val="chineseCounting"/>
      <w:suff w:val="nothing"/>
      <w:lvlText w:val="%1、"/>
      <w:lvlJc w:val="left"/>
      <w:pPr>
        <w:ind w:left="-176"/>
      </w:pPr>
      <w:rPr>
        <w:rFonts w:hint="eastAsia"/>
      </w:rPr>
    </w:lvl>
  </w:abstractNum>
  <w:abstractNum w:abstractNumId="1">
    <w:nsid w:val="0F36CDE5"/>
    <w:multiLevelType w:val="singleLevel"/>
    <w:tmpl w:val="0F36CDE5"/>
    <w:lvl w:ilvl="0" w:tentative="0">
      <w:start w:val="5"/>
      <w:numFmt w:val="decimal"/>
      <w:suff w:val="nothing"/>
      <w:lvlText w:val="%1、"/>
      <w:lvlJc w:val="left"/>
    </w:lvl>
  </w:abstractNum>
  <w:abstractNum w:abstractNumId="2">
    <w:nsid w:val="35141A48"/>
    <w:multiLevelType w:val="singleLevel"/>
    <w:tmpl w:val="35141A48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A966575"/>
    <w:multiLevelType w:val="singleLevel"/>
    <w:tmpl w:val="3A966575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799938E2"/>
    <w:multiLevelType w:val="multilevel"/>
    <w:tmpl w:val="799938E2"/>
    <w:lvl w:ilvl="0" w:tentative="0">
      <w:start w:val="6"/>
      <w:numFmt w:val="japaneseCounting"/>
      <w:lvlText w:val="%1、"/>
      <w:lvlJc w:val="left"/>
      <w:pPr>
        <w:ind w:left="754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74" w:hanging="420"/>
      </w:pPr>
    </w:lvl>
    <w:lvl w:ilvl="2" w:tentative="0">
      <w:start w:val="1"/>
      <w:numFmt w:val="lowerRoman"/>
      <w:lvlText w:val="%3."/>
      <w:lvlJc w:val="right"/>
      <w:pPr>
        <w:ind w:left="1294" w:hanging="420"/>
      </w:pPr>
    </w:lvl>
    <w:lvl w:ilvl="3" w:tentative="0">
      <w:start w:val="1"/>
      <w:numFmt w:val="decimal"/>
      <w:lvlText w:val="%4."/>
      <w:lvlJc w:val="left"/>
      <w:pPr>
        <w:ind w:left="1714" w:hanging="420"/>
      </w:pPr>
    </w:lvl>
    <w:lvl w:ilvl="4" w:tentative="0">
      <w:start w:val="1"/>
      <w:numFmt w:val="lowerLetter"/>
      <w:lvlText w:val="%5)"/>
      <w:lvlJc w:val="left"/>
      <w:pPr>
        <w:ind w:left="2134" w:hanging="420"/>
      </w:pPr>
    </w:lvl>
    <w:lvl w:ilvl="5" w:tentative="0">
      <w:start w:val="1"/>
      <w:numFmt w:val="lowerRoman"/>
      <w:lvlText w:val="%6."/>
      <w:lvlJc w:val="right"/>
      <w:pPr>
        <w:ind w:left="2554" w:hanging="420"/>
      </w:pPr>
    </w:lvl>
    <w:lvl w:ilvl="6" w:tentative="0">
      <w:start w:val="1"/>
      <w:numFmt w:val="decimal"/>
      <w:lvlText w:val="%7."/>
      <w:lvlJc w:val="left"/>
      <w:pPr>
        <w:ind w:left="2974" w:hanging="420"/>
      </w:pPr>
    </w:lvl>
    <w:lvl w:ilvl="7" w:tentative="0">
      <w:start w:val="1"/>
      <w:numFmt w:val="lowerLetter"/>
      <w:lvlText w:val="%8)"/>
      <w:lvlJc w:val="left"/>
      <w:pPr>
        <w:ind w:left="3394" w:hanging="420"/>
      </w:pPr>
    </w:lvl>
    <w:lvl w:ilvl="8" w:tentative="0">
      <w:start w:val="1"/>
      <w:numFmt w:val="lowerRoman"/>
      <w:lvlText w:val="%9."/>
      <w:lvlJc w:val="right"/>
      <w:pPr>
        <w:ind w:left="3814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mUxM2RmNGFhYmMzMGE2NTQ3MWFlYjQzZmZlMTkyZjkifQ=="/>
  </w:docVars>
  <w:rsids>
    <w:rsidRoot w:val="00172A27"/>
    <w:rsid w:val="00172A27"/>
    <w:rsid w:val="002803E1"/>
    <w:rsid w:val="005508E7"/>
    <w:rsid w:val="007260C4"/>
    <w:rsid w:val="00841C8B"/>
    <w:rsid w:val="009F638F"/>
    <w:rsid w:val="00D07568"/>
    <w:rsid w:val="00DD3AE1"/>
    <w:rsid w:val="00DE72FC"/>
    <w:rsid w:val="00FD154E"/>
    <w:rsid w:val="0AAB448B"/>
    <w:rsid w:val="0D9B1F11"/>
    <w:rsid w:val="35302603"/>
    <w:rsid w:val="359439E8"/>
    <w:rsid w:val="36354D27"/>
    <w:rsid w:val="3C4F3083"/>
    <w:rsid w:val="3DF05C32"/>
    <w:rsid w:val="43A009FD"/>
    <w:rsid w:val="51B76504"/>
    <w:rsid w:val="587F185C"/>
    <w:rsid w:val="5FAE5318"/>
    <w:rsid w:val="64F13238"/>
    <w:rsid w:val="690708F4"/>
    <w:rsid w:val="6BC834B0"/>
    <w:rsid w:val="71240EB3"/>
    <w:rsid w:val="791042DB"/>
    <w:rsid w:val="7B6057DC"/>
    <w:rsid w:val="7B767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emf"/><Relationship Id="rId8" Type="http://schemas.openxmlformats.org/officeDocument/2006/relationships/oleObject" Target="file:///H:\&#12304;3607&#12305;2021&#24180;&#37096;&#38376;&#39044;&#31639;&#20844;&#24320;&#34920;(&#24066;&#21439;&#65289;(&#25509;&#24453;&#21150;)_2021-04-28.xls!&#37096;&#38376;&#25903;&#20986;&#24635;&#34920;!R2C1:R10C8" TargetMode="External"/><Relationship Id="rId7" Type="http://schemas.openxmlformats.org/officeDocument/2006/relationships/image" Target="media/image3.emf"/><Relationship Id="rId6" Type="http://schemas.openxmlformats.org/officeDocument/2006/relationships/oleObject" Target="file:///H:\&#12304;3607&#12305;2021&#24180;&#37096;&#38376;&#39044;&#31639;&#20844;&#24320;&#34920;(&#24066;&#21439;&#65289;(&#25509;&#24453;&#21150;)_2021-04-28.xls!&#37096;&#38376;&#25910;&#20837;&#24635;&#34920;!R2C1:R10C15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oleObject" Target="file:///E:\2020&#24180;&#24037;&#20316;\9&#26376;\&#39033;&#30446;&#25903;&#20986;&#32489;&#25928;&#30446;&#26631;&#25191;&#34892;&#30417;&#25511;&#34920;%20(&#25509;&#24453;&#21150;).xls!&#30417;&#25511;&#34920;!R2C1:R45C17" TargetMode="External"/><Relationship Id="rId17" Type="http://schemas.openxmlformats.org/officeDocument/2006/relationships/image" Target="media/image8.emf"/><Relationship Id="rId16" Type="http://schemas.openxmlformats.org/officeDocument/2006/relationships/oleObject" Target="file:///H:\&#12304;3607&#12305;2021&#24180;&#37096;&#38376;&#39044;&#31639;&#20844;&#24320;&#34920;(&#24066;&#21439;&#65289;(&#25509;&#24453;&#21150;)_2021-04-28.xls!&#19977;&#20844;&#34920;!R2C1:R7C7" TargetMode="External"/><Relationship Id="rId15" Type="http://schemas.openxmlformats.org/officeDocument/2006/relationships/image" Target="media/image7.emf"/><Relationship Id="rId14" Type="http://schemas.openxmlformats.org/officeDocument/2006/relationships/oleObject" Target="file:///H:\&#12304;3607&#12305;2021&#24180;&#37096;&#38376;&#39044;&#31639;&#20844;&#24320;&#34920;(&#24066;&#21439;&#65289;(&#25509;&#24453;&#21150;)_2021-04-28.xls!&#19968;&#33324;&#20844;&#20849;&#39044;&#31639;&#22522;&#26412;&#25903;&#20986;&#34920;!R2C1:R7C5" TargetMode="External"/><Relationship Id="rId13" Type="http://schemas.openxmlformats.org/officeDocument/2006/relationships/image" Target="media/image6.emf"/><Relationship Id="rId12" Type="http://schemas.openxmlformats.org/officeDocument/2006/relationships/oleObject" Target="file:///H:\&#12304;3607&#12305;2021&#24180;&#37096;&#38376;&#39044;&#31639;&#20844;&#24320;&#34920;(&#24066;&#21439;&#65289;(&#25509;&#24453;&#21150;)_2021-04-28.xls!&#19968;&#33324;&#20844;&#20849;&#39044;&#31639;&#25903;&#20986;&#34920;!R2C1:R10C5" TargetMode="External"/><Relationship Id="rId11" Type="http://schemas.openxmlformats.org/officeDocument/2006/relationships/image" Target="media/image5.emf"/><Relationship Id="rId10" Type="http://schemas.openxmlformats.org/officeDocument/2006/relationships/oleObject" Target="file:///H:\&#12304;3607&#12305;2021&#24180;&#37096;&#38376;&#39044;&#31639;&#20844;&#24320;&#34920;(&#24066;&#21439;&#65289;(&#25509;&#24453;&#21150;)_2021-04-28.xls!&#36130;&#25320;&#25910;&#25903;&#24635;&#34920;!R1C1:R54C6" TargetMode="Externa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1976</Words>
  <Characters>2053</Characters>
  <Lines>20</Lines>
  <Paragraphs>5</Paragraphs>
  <TotalTime>1</TotalTime>
  <ScaleCrop>false</ScaleCrop>
  <LinksUpToDate>false</LinksUpToDate>
  <CharactersWithSpaces>2100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2021-04-25T09:01:00Z</dcterms:created>
  <dc:creator>Administrator</dc:creator>
  <cp:lastModifiedBy>巫媛</cp:lastModifiedBy>
  <cp:lastPrinted>2021-04-29T02:38:00Z</cp:lastPrinted>
  <dcterms:modified xsi:type="dcterms:W3CDTF">2022-05-19T01:36:07Z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FC3D4EAC4D71427B809709A7FE743556</vt:lpwstr>
  </property>
</Properties>
</file>