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sz w:val="36"/>
          <w:szCs w:val="36"/>
        </w:rPr>
      </w:pPr>
      <w:r>
        <w:rPr>
          <w:rFonts w:hint="eastAsia" w:ascii="黑体" w:hAnsi="黑体" w:eastAsia="黑体" w:cs="黑体"/>
          <w:sz w:val="36"/>
          <w:szCs w:val="36"/>
        </w:rPr>
        <w:t>兴国县教育科技体育2021年部门预算</w:t>
      </w:r>
    </w:p>
    <w:p>
      <w:pPr>
        <w:jc w:val="center"/>
        <w:rPr>
          <w:rFonts w:ascii="Calibri" w:hAnsi="Calibri" w:eastAsia="宋体" w:cs="Times New Roman"/>
          <w:sz w:val="36"/>
          <w:szCs w:val="36"/>
        </w:rPr>
      </w:pPr>
    </w:p>
    <w:p>
      <w:pPr>
        <w:jc w:val="center"/>
        <w:rPr>
          <w:rFonts w:ascii="黑体" w:hAnsi="黑体" w:eastAsia="黑体" w:cs="黑体"/>
          <w:sz w:val="36"/>
          <w:szCs w:val="36"/>
        </w:rPr>
      </w:pPr>
      <w:r>
        <w:rPr>
          <w:rFonts w:hint="eastAsia" w:ascii="黑体" w:hAnsi="黑体" w:eastAsia="黑体" w:cs="黑体"/>
          <w:sz w:val="36"/>
          <w:szCs w:val="36"/>
        </w:rPr>
        <w:t>目  录</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第一部分 兴国县教育科技体育部门概况</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hint="default" w:ascii="仿宋" w:hAnsi="仿宋" w:eastAsia="仿宋" w:cs="仿宋"/>
          <w:sz w:val="30"/>
          <w:szCs w:val="30"/>
          <w:lang w:val="en-US" w:eastAsia="zh-CN"/>
        </w:rPr>
      </w:pPr>
      <w:r>
        <w:rPr>
          <w:rFonts w:hint="eastAsia" w:ascii="仿宋" w:hAnsi="仿宋" w:eastAsia="仿宋" w:cs="仿宋"/>
          <w:sz w:val="30"/>
          <w:szCs w:val="30"/>
        </w:rPr>
        <w:t>二、</w:t>
      </w:r>
      <w:r>
        <w:rPr>
          <w:rFonts w:hint="eastAsia" w:ascii="仿宋" w:hAnsi="仿宋" w:eastAsia="仿宋" w:cs="仿宋"/>
          <w:sz w:val="30"/>
          <w:szCs w:val="30"/>
          <w:lang w:val="en-US" w:eastAsia="zh-CN"/>
        </w:rPr>
        <w:t>机构设置人员情况</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w:t>
      </w:r>
      <w:r>
        <w:rPr>
          <w:rFonts w:hint="eastAsia" w:ascii="仿宋" w:hAnsi="仿宋" w:eastAsia="仿宋" w:cs="仿宋"/>
          <w:b/>
          <w:bCs/>
          <w:sz w:val="30"/>
          <w:szCs w:val="30"/>
          <w:lang w:val="en-US" w:eastAsia="zh-CN"/>
        </w:rPr>
        <w:t>二</w:t>
      </w:r>
      <w:r>
        <w:rPr>
          <w:rFonts w:hint="eastAsia" w:ascii="仿宋" w:hAnsi="仿宋" w:eastAsia="仿宋" w:cs="仿宋"/>
          <w:b/>
          <w:bCs/>
          <w:sz w:val="30"/>
          <w:szCs w:val="30"/>
        </w:rPr>
        <w:t>部分</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兴国县教育科技体育</w:t>
      </w:r>
      <w:r>
        <w:rPr>
          <w:rFonts w:hint="eastAsia" w:ascii="仿宋" w:hAnsi="仿宋" w:eastAsia="仿宋" w:cs="仿宋"/>
          <w:b/>
          <w:bCs/>
          <w:sz w:val="30"/>
          <w:szCs w:val="30"/>
          <w:lang w:val="en-US" w:eastAsia="zh-CN"/>
        </w:rPr>
        <w:t>局</w:t>
      </w:r>
      <w:r>
        <w:rPr>
          <w:rFonts w:hint="eastAsia" w:ascii="仿宋" w:hAnsi="仿宋" w:eastAsia="仿宋" w:cs="仿宋"/>
          <w:b/>
          <w:bCs/>
          <w:sz w:val="30"/>
          <w:szCs w:val="30"/>
        </w:rPr>
        <w:t>2021年部门预算表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七、《“三公”经费支出表》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八、《政府性基金预算支出表》</w:t>
      </w:r>
    </w:p>
    <w:p>
      <w:pPr>
        <w:ind w:left="634" w:leftChars="284" w:hanging="38" w:hangingChars="12"/>
        <w:rPr>
          <w:rFonts w:ascii="仿宋" w:hAnsi="仿宋" w:eastAsia="仿宋" w:cs="仿宋"/>
          <w:sz w:val="30"/>
          <w:szCs w:val="30"/>
        </w:rPr>
      </w:pPr>
      <w:r>
        <w:rPr>
          <w:rFonts w:ascii="仿宋" w:hAnsi="仿宋" w:eastAsia="仿宋" w:cs="黑体"/>
          <w:sz w:val="32"/>
          <w:szCs w:val="32"/>
        </w:rPr>
        <w:t>九、《国有资本经营预算支出表》</w:t>
      </w:r>
      <w:r>
        <w:rPr>
          <w:rFonts w:ascii="仿宋" w:hAnsi="仿宋" w:eastAsia="仿宋" w:cs="黑体"/>
          <w:sz w:val="32"/>
          <w:szCs w:val="32"/>
        </w:rPr>
        <w:tab/>
      </w:r>
    </w:p>
    <w:p>
      <w:pPr>
        <w:pStyle w:val="12"/>
        <w:autoSpaceDE w:val="0"/>
        <w:spacing w:line="560" w:lineRule="atLeast"/>
        <w:ind w:firstLine="640" w:firstLineChars="200"/>
        <w:jc w:val="left"/>
        <w:rPr>
          <w:rFonts w:ascii="仿宋" w:hAnsi="仿宋" w:eastAsia="仿宋" w:cs="黑体"/>
          <w:kern w:val="2"/>
          <w:sz w:val="32"/>
          <w:szCs w:val="32"/>
        </w:rPr>
      </w:pPr>
      <w:r>
        <w:rPr>
          <w:rFonts w:ascii="仿宋" w:hAnsi="仿宋" w:eastAsia="仿宋" w:cs="黑体"/>
          <w:kern w:val="2"/>
          <w:sz w:val="32"/>
          <w:szCs w:val="32"/>
        </w:rPr>
        <w:t>十、《部门整体支出绩效目标表》</w:t>
      </w:r>
    </w:p>
    <w:p>
      <w:pPr>
        <w:pStyle w:val="12"/>
        <w:autoSpaceDE w:val="0"/>
        <w:spacing w:line="560" w:lineRule="atLeast"/>
        <w:ind w:firstLine="640" w:firstLineChars="200"/>
        <w:jc w:val="left"/>
        <w:rPr>
          <w:rFonts w:ascii="仿宋" w:hAnsi="仿宋" w:eastAsia="仿宋" w:cs="黑体"/>
          <w:kern w:val="2"/>
          <w:sz w:val="32"/>
          <w:szCs w:val="32"/>
        </w:rPr>
      </w:pPr>
      <w:r>
        <w:rPr>
          <w:rFonts w:ascii="仿宋" w:hAnsi="仿宋" w:eastAsia="仿宋" w:cs="黑体"/>
          <w:kern w:val="2"/>
          <w:sz w:val="32"/>
          <w:szCs w:val="32"/>
        </w:rPr>
        <w:t>十一、《重点项目绩效目标表》</w:t>
      </w:r>
    </w:p>
    <w:p>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w:t>
      </w:r>
      <w:r>
        <w:rPr>
          <w:rFonts w:hint="eastAsia" w:ascii="仿宋" w:hAnsi="仿宋" w:eastAsia="仿宋" w:cs="仿宋"/>
          <w:b/>
          <w:bCs/>
          <w:sz w:val="30"/>
          <w:szCs w:val="30"/>
          <w:lang w:val="en-US" w:eastAsia="zh-CN"/>
        </w:rPr>
        <w:t>三</w:t>
      </w:r>
      <w:r>
        <w:rPr>
          <w:rFonts w:hint="eastAsia" w:ascii="仿宋" w:hAnsi="仿宋" w:eastAsia="仿宋" w:cs="仿宋"/>
          <w:b/>
          <w:bCs/>
          <w:sz w:val="30"/>
          <w:szCs w:val="30"/>
        </w:rPr>
        <w:t>部分</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兴国县教育科技体育</w:t>
      </w:r>
      <w:r>
        <w:rPr>
          <w:rFonts w:hint="eastAsia" w:ascii="仿宋" w:hAnsi="仿宋" w:eastAsia="仿宋" w:cs="仿宋"/>
          <w:b/>
          <w:bCs/>
          <w:sz w:val="30"/>
          <w:szCs w:val="30"/>
          <w:lang w:val="en-US" w:eastAsia="zh-CN"/>
        </w:rPr>
        <w:t>局</w:t>
      </w:r>
      <w:r>
        <w:rPr>
          <w:rFonts w:hint="eastAsia" w:ascii="仿宋" w:hAnsi="仿宋" w:eastAsia="仿宋" w:cs="仿宋"/>
          <w:b/>
          <w:bCs/>
          <w:sz w:val="30"/>
          <w:szCs w:val="30"/>
        </w:rPr>
        <w:t>2021部门预算情况说明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一、2021年部门预算收支情况说明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二、2021年“三公”经费预算情况说明</w:t>
      </w:r>
    </w:p>
    <w:p>
      <w:pPr>
        <w:ind w:left="10" w:leftChars="5" w:firstLine="584" w:firstLineChars="194"/>
        <w:rPr>
          <w:rFonts w:ascii="仿宋" w:hAnsi="仿宋" w:eastAsia="仿宋" w:cs="仿宋"/>
          <w:b/>
          <w:bCs/>
          <w:sz w:val="30"/>
          <w:szCs w:val="30"/>
        </w:rPr>
      </w:pPr>
      <w:r>
        <w:rPr>
          <w:rFonts w:hint="eastAsia" w:ascii="仿宋" w:hAnsi="仿宋" w:eastAsia="仿宋" w:cs="仿宋"/>
          <w:b/>
          <w:bCs/>
          <w:sz w:val="30"/>
          <w:szCs w:val="30"/>
        </w:rPr>
        <w:t>第四部分 名词解释</w:t>
      </w:r>
    </w:p>
    <w:p>
      <w:pPr>
        <w:jc w:val="center"/>
        <w:rPr>
          <w:rFonts w:ascii="仿宋" w:hAnsi="仿宋" w:eastAsia="仿宋" w:cs="仿宋"/>
          <w:b/>
          <w:bCs/>
          <w:sz w:val="30"/>
          <w:szCs w:val="30"/>
        </w:rPr>
      </w:pPr>
      <w:r>
        <w:rPr>
          <w:rFonts w:hint="eastAsia" w:ascii="仿宋" w:hAnsi="仿宋" w:eastAsia="仿宋" w:cs="仿宋"/>
          <w:b/>
          <w:bCs/>
          <w:sz w:val="30"/>
          <w:szCs w:val="30"/>
        </w:rPr>
        <w:t>第一部分  兴国县教育科技体育概况</w:t>
      </w:r>
    </w:p>
    <w:p>
      <w:pPr>
        <w:jc w:val="center"/>
        <w:rPr>
          <w:rFonts w:ascii="仿宋" w:hAnsi="仿宋" w:eastAsia="仿宋" w:cs="仿宋"/>
          <w:b/>
          <w:bCs/>
          <w:sz w:val="30"/>
          <w:szCs w:val="30"/>
        </w:rPr>
      </w:pP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一、部门主要职责</w:t>
      </w:r>
    </w:p>
    <w:p>
      <w:pPr>
        <w:spacing w:before="60"/>
        <w:ind w:firstLine="600" w:firstLineChars="200"/>
        <w:rPr>
          <w:rFonts w:ascii="仿宋" w:hAnsi="仿宋" w:eastAsia="仿宋" w:cs="仿宋"/>
          <w:sz w:val="30"/>
          <w:szCs w:val="30"/>
        </w:rPr>
      </w:pPr>
      <w:r>
        <w:rPr>
          <w:rFonts w:hint="eastAsia" w:ascii="仿宋" w:hAnsi="仿宋" w:eastAsia="仿宋" w:cs="仿宋"/>
          <w:sz w:val="30"/>
          <w:szCs w:val="30"/>
        </w:rPr>
        <w:t>兴国县教育科技体育局是县政府主管教育科技体育工作的工作部门，主要职责是：</w:t>
      </w:r>
    </w:p>
    <w:p>
      <w:pPr>
        <w:spacing w:before="60"/>
        <w:ind w:firstLine="450"/>
        <w:rPr>
          <w:rFonts w:ascii="仿宋" w:hAnsi="仿宋" w:eastAsia="仿宋" w:cs="仿宋"/>
          <w:sz w:val="30"/>
          <w:szCs w:val="30"/>
        </w:rPr>
      </w:pPr>
      <w:r>
        <w:rPr>
          <w:rFonts w:hint="eastAsia" w:ascii="仿宋" w:hAnsi="仿宋" w:eastAsia="仿宋" w:cs="仿宋"/>
          <w:sz w:val="30"/>
          <w:szCs w:val="30"/>
        </w:rPr>
        <w:t>（一）贯彻执行党和国家有关教育、科技、体育的方针政策和法律法规，研究全县教育科技体育改革与发展的重大问题，综合指导和协调全县教育科技体育管理工作。</w:t>
      </w:r>
    </w:p>
    <w:p>
      <w:pPr>
        <w:spacing w:before="60"/>
        <w:ind w:firstLine="450"/>
        <w:rPr>
          <w:rFonts w:ascii="仿宋" w:hAnsi="仿宋" w:eastAsia="仿宋" w:cs="仿宋"/>
          <w:sz w:val="30"/>
          <w:szCs w:val="30"/>
        </w:rPr>
      </w:pPr>
      <w:r>
        <w:rPr>
          <w:rFonts w:hint="eastAsia" w:ascii="仿宋" w:hAnsi="仿宋" w:eastAsia="仿宋" w:cs="仿宋"/>
          <w:sz w:val="30"/>
          <w:szCs w:val="30"/>
        </w:rPr>
        <w:t>（二）承担县委教育工作领导小组具体工作，组织研究、拟订全县教育系统党的建设和思想政治建设重大政策、教育发展规划、重大改革方案，协调督促落实县委教育工作领导小组决定事项、工作部署和要求等。</w:t>
      </w:r>
    </w:p>
    <w:p>
      <w:pPr>
        <w:spacing w:before="60"/>
        <w:ind w:firstLine="450"/>
        <w:rPr>
          <w:rFonts w:ascii="仿宋" w:hAnsi="仿宋" w:eastAsia="仿宋" w:cs="仿宋"/>
          <w:sz w:val="30"/>
          <w:szCs w:val="30"/>
        </w:rPr>
      </w:pPr>
      <w:r>
        <w:rPr>
          <w:rFonts w:hint="eastAsia" w:ascii="仿宋" w:hAnsi="仿宋" w:eastAsia="仿宋" w:cs="仿宋"/>
          <w:sz w:val="30"/>
          <w:szCs w:val="30"/>
        </w:rPr>
        <w:t>（三）研究提出全县教育科技体育改革思路，编制全县教育科技体育事业发展规划，拟订教育科技体育事业的发展重点、结构、规模、速度和步骤，指导、协调并检查实施工作，负责全县教育科技体育信息的统计、分析等工作。</w:t>
      </w:r>
    </w:p>
    <w:p>
      <w:pPr>
        <w:spacing w:before="60"/>
        <w:ind w:firstLine="450"/>
        <w:rPr>
          <w:rFonts w:ascii="仿宋" w:hAnsi="仿宋" w:eastAsia="仿宋" w:cs="仿宋"/>
          <w:sz w:val="30"/>
          <w:szCs w:val="30"/>
        </w:rPr>
      </w:pPr>
      <w:r>
        <w:rPr>
          <w:rFonts w:hint="eastAsia" w:ascii="仿宋" w:hAnsi="仿宋" w:eastAsia="仿宋" w:cs="仿宋"/>
          <w:sz w:val="30"/>
          <w:szCs w:val="30"/>
        </w:rPr>
        <w:t>（四）统筹管理教育科技体育经费，会同有关部门制订筹措教育科技体育经费、拨款、基建投资的政策和规划。监督检查全县教育科技体育经费的筹措和使用管理情况，参与、协调教师工资发放工作。负责教育、科技、体育各项经费预决算的编制。归口管理境外、县外对本县的教育、科技、体育援助、贷款、合作项目的执行，管理中央、省、市对县转移支付的各项教育科技体育经费。</w:t>
      </w:r>
    </w:p>
    <w:p>
      <w:pPr>
        <w:spacing w:before="60"/>
        <w:ind w:firstLine="450"/>
        <w:rPr>
          <w:rFonts w:ascii="仿宋" w:hAnsi="仿宋" w:eastAsia="仿宋" w:cs="仿宋"/>
          <w:sz w:val="30"/>
          <w:szCs w:val="30"/>
        </w:rPr>
      </w:pPr>
      <w:r>
        <w:rPr>
          <w:rFonts w:hint="eastAsia" w:ascii="仿宋" w:hAnsi="仿宋" w:eastAsia="仿宋" w:cs="仿宋"/>
          <w:sz w:val="30"/>
          <w:szCs w:val="30"/>
        </w:rPr>
        <w:t>（五）统筹管理全县基础教育、中初等职业教育、中初等成人教育、学前教育、特殊教育等工作，组织执行国家制定的中等和初等教育各类学校设置指标、教育教学基本标准及教学基本文件，制定中等及中等以下各类教育的教育教学改革、后勤社会化改革和中初等教育评估工作。规划申报县城中心城区范围内的中心小学小布局，研究提出高中教育阶段学校的设置、更名、撤销调整意见，审批义务教育阶段学校的设置，管理全县基础教育、职业教育、小学学籍，协助市教育局管理全县普通高中、职业高中学籍，协助做好普通高中和职业高中的证件发放工作。</w:t>
      </w:r>
    </w:p>
    <w:p>
      <w:pPr>
        <w:spacing w:before="60"/>
        <w:ind w:firstLine="450"/>
        <w:rPr>
          <w:rFonts w:ascii="仿宋" w:hAnsi="仿宋" w:eastAsia="仿宋" w:cs="仿宋"/>
          <w:sz w:val="30"/>
          <w:szCs w:val="30"/>
        </w:rPr>
      </w:pPr>
      <w:r>
        <w:rPr>
          <w:rFonts w:hint="eastAsia" w:ascii="仿宋" w:hAnsi="仿宋" w:eastAsia="仿宋" w:cs="仿宋"/>
          <w:sz w:val="30"/>
          <w:szCs w:val="30"/>
        </w:rPr>
        <w:t>（六）指导教育督导工作。受县政府委托，负责对同级人民政府有关部门、乡（镇）人民政府履行教育工作职责情况的督导检查。监督、检查、指导、评估全县普及九年义务教育、扫除青壮年文盲、发展高中阶段教育、学前教育工作和各级各类学校实施素质教育工作。对全县中小学、幼儿园及其他教育机构的工作进行督导检查和评估。</w:t>
      </w:r>
    </w:p>
    <w:p>
      <w:pPr>
        <w:spacing w:before="60"/>
        <w:ind w:firstLine="450"/>
        <w:rPr>
          <w:rFonts w:ascii="仿宋" w:hAnsi="仿宋" w:eastAsia="仿宋" w:cs="仿宋"/>
          <w:sz w:val="30"/>
          <w:szCs w:val="30"/>
        </w:rPr>
      </w:pPr>
      <w:r>
        <w:rPr>
          <w:rFonts w:hint="eastAsia" w:ascii="仿宋" w:hAnsi="仿宋" w:eastAsia="仿宋" w:cs="仿宋"/>
          <w:sz w:val="30"/>
          <w:szCs w:val="30"/>
        </w:rPr>
        <w:t>（七）统筹规划、协调管理全县社会力量办学工作。审核或审批社会力量举办的普通中学、职业中学、初中、小学和幼儿园，对全县社会力量办学进行指导、管理、监督和评估检查。</w:t>
      </w:r>
    </w:p>
    <w:p>
      <w:pPr>
        <w:spacing w:before="60"/>
        <w:ind w:firstLine="450"/>
        <w:rPr>
          <w:rFonts w:ascii="仿宋" w:hAnsi="仿宋" w:eastAsia="仿宋" w:cs="仿宋"/>
          <w:sz w:val="30"/>
          <w:szCs w:val="30"/>
        </w:rPr>
      </w:pPr>
      <w:r>
        <w:rPr>
          <w:rFonts w:hint="eastAsia" w:ascii="仿宋" w:hAnsi="仿宋" w:eastAsia="仿宋" w:cs="仿宋"/>
          <w:sz w:val="30"/>
          <w:szCs w:val="30"/>
        </w:rPr>
        <w:t>（八）主管全县各级各类学校教师工作。负责全县教师资格的认定和管理、专业技术职务评审以及表彰奖励的有关工作。负责基础教育师资的培养及教师和教育管理人员的继续教育工作。会同有关部门研究落实全县学校教职工编制。指导并协调全县各级各类学校人事和分配制度改革。</w:t>
      </w:r>
    </w:p>
    <w:p>
      <w:pPr>
        <w:spacing w:before="60"/>
        <w:ind w:firstLine="450"/>
        <w:rPr>
          <w:rFonts w:ascii="仿宋" w:hAnsi="仿宋" w:eastAsia="仿宋" w:cs="仿宋"/>
          <w:sz w:val="30"/>
          <w:szCs w:val="30"/>
        </w:rPr>
      </w:pPr>
      <w:r>
        <w:rPr>
          <w:rFonts w:hint="eastAsia" w:ascii="仿宋" w:hAnsi="仿宋" w:eastAsia="仿宋" w:cs="仿宋"/>
          <w:sz w:val="30"/>
          <w:szCs w:val="30"/>
        </w:rPr>
        <w:t>（九）管理全县普通高等学校和中等专业学校招生考试、成人高等教育招生考试、高等教育自学教育、普通高中毕业会考等工作。</w:t>
      </w:r>
    </w:p>
    <w:p>
      <w:pPr>
        <w:spacing w:before="60"/>
        <w:ind w:firstLine="450"/>
        <w:rPr>
          <w:rFonts w:ascii="仿宋" w:hAnsi="仿宋" w:eastAsia="仿宋" w:cs="仿宋"/>
          <w:sz w:val="30"/>
          <w:szCs w:val="30"/>
        </w:rPr>
      </w:pPr>
      <w:r>
        <w:rPr>
          <w:rFonts w:hint="eastAsia" w:ascii="仿宋" w:hAnsi="仿宋" w:eastAsia="仿宋" w:cs="仿宋"/>
          <w:sz w:val="30"/>
          <w:szCs w:val="30"/>
        </w:rPr>
        <w:t>（十）统筹规划、管理全县各级各类学校的思想政治、品德教育、体育卫生与艺术教育、国防教育、科技教育、生态环境保护教育与安全教育管理等工作。</w:t>
      </w:r>
    </w:p>
    <w:p>
      <w:pPr>
        <w:spacing w:before="60"/>
        <w:ind w:firstLine="450"/>
        <w:rPr>
          <w:rFonts w:ascii="仿宋" w:hAnsi="仿宋" w:eastAsia="仿宋" w:cs="仿宋"/>
          <w:sz w:val="30"/>
          <w:szCs w:val="30"/>
        </w:rPr>
      </w:pPr>
      <w:r>
        <w:rPr>
          <w:rFonts w:hint="eastAsia" w:ascii="仿宋" w:hAnsi="仿宋" w:eastAsia="仿宋" w:cs="仿宋"/>
          <w:sz w:val="30"/>
          <w:szCs w:val="30"/>
        </w:rPr>
        <w:t>（十一）会同有关部门做好全县普通院校毕业研究生、大中专毕业生就业指导服务和大中专毕业生就业制度改革工作。负责引进国外智力工作，拟订引进国外智力管理办法，并监督实施。</w:t>
      </w:r>
    </w:p>
    <w:p>
      <w:pPr>
        <w:spacing w:before="60"/>
        <w:ind w:firstLine="450"/>
        <w:rPr>
          <w:rFonts w:ascii="仿宋" w:hAnsi="仿宋" w:eastAsia="仿宋" w:cs="仿宋"/>
          <w:sz w:val="30"/>
          <w:szCs w:val="30"/>
        </w:rPr>
      </w:pPr>
      <w:r>
        <w:rPr>
          <w:rFonts w:hint="eastAsia" w:ascii="仿宋" w:hAnsi="仿宋" w:eastAsia="仿宋" w:cs="仿宋"/>
          <w:sz w:val="30"/>
          <w:szCs w:val="30"/>
        </w:rPr>
        <w:t>（十二）规划并指导全县各级各类学校的教育科学研究、教学研究和调查研究工作。</w:t>
      </w:r>
    </w:p>
    <w:p>
      <w:pPr>
        <w:spacing w:before="60"/>
        <w:ind w:firstLine="450"/>
        <w:rPr>
          <w:rFonts w:ascii="仿宋" w:hAnsi="仿宋" w:eastAsia="仿宋" w:cs="仿宋"/>
          <w:sz w:val="30"/>
          <w:szCs w:val="30"/>
        </w:rPr>
      </w:pPr>
      <w:r>
        <w:rPr>
          <w:rFonts w:hint="eastAsia" w:ascii="仿宋" w:hAnsi="仿宋" w:eastAsia="仿宋" w:cs="仿宋"/>
          <w:sz w:val="30"/>
          <w:szCs w:val="30"/>
        </w:rPr>
        <w:t>（十三）贯彻执行国家语言文字工作的法律法规和方针政策、统筹管理全县语言文字工作，编制全县语言文字工作的中长期规划。指导推广普通话和书写规范字工作。负责普通话和书写规范字测试工作。</w:t>
      </w:r>
    </w:p>
    <w:p>
      <w:pPr>
        <w:spacing w:before="60"/>
        <w:ind w:firstLine="450"/>
        <w:rPr>
          <w:rFonts w:ascii="仿宋" w:hAnsi="仿宋" w:eastAsia="仿宋" w:cs="仿宋"/>
          <w:sz w:val="30"/>
          <w:szCs w:val="30"/>
        </w:rPr>
      </w:pPr>
      <w:r>
        <w:rPr>
          <w:rFonts w:hint="eastAsia" w:ascii="仿宋" w:hAnsi="仿宋" w:eastAsia="仿宋" w:cs="仿宋"/>
          <w:sz w:val="30"/>
          <w:szCs w:val="30"/>
        </w:rPr>
        <w:t>（十四）负责全县教育系统的信息化建设工作，指导全县中小学现代化信息技术教育、电化教育、教育技术装备工作；统筹管理全县现代化远程教育工作。</w:t>
      </w:r>
    </w:p>
    <w:p>
      <w:pPr>
        <w:spacing w:before="60"/>
        <w:ind w:firstLine="450"/>
        <w:rPr>
          <w:rFonts w:ascii="仿宋" w:hAnsi="仿宋" w:eastAsia="仿宋" w:cs="仿宋"/>
          <w:sz w:val="30"/>
          <w:szCs w:val="30"/>
        </w:rPr>
      </w:pPr>
      <w:r>
        <w:rPr>
          <w:rFonts w:hint="eastAsia" w:ascii="仿宋" w:hAnsi="仿宋" w:eastAsia="仿宋" w:cs="仿宋"/>
          <w:sz w:val="30"/>
          <w:szCs w:val="30"/>
        </w:rPr>
        <w:t>（十五）统筹规划、指导全县中小学勤工俭学、校办产业和风险管理工作。</w:t>
      </w:r>
    </w:p>
    <w:p>
      <w:pPr>
        <w:spacing w:before="60"/>
        <w:ind w:firstLine="450"/>
        <w:rPr>
          <w:rFonts w:ascii="仿宋" w:hAnsi="仿宋" w:eastAsia="仿宋" w:cs="仿宋"/>
          <w:sz w:val="30"/>
          <w:szCs w:val="30"/>
        </w:rPr>
      </w:pPr>
      <w:r>
        <w:rPr>
          <w:rFonts w:hint="eastAsia" w:ascii="仿宋" w:hAnsi="仿宋" w:eastAsia="仿宋" w:cs="仿宋"/>
          <w:sz w:val="30"/>
          <w:szCs w:val="30"/>
        </w:rPr>
        <w:t>（十六）负责全县教育科技体育系统对外交流工作。统筹管理全县教育系统对外交流和国际合作工作。贯彻执行国家对外科技合作与交流的方针、政策，组织拟订对外科技合作与交流的措施，组织协调全县科技合作与交流工作。承办上级体育部门交办的国际、国内竞赛活动，做好对外体育合作与交流。</w:t>
      </w:r>
    </w:p>
    <w:p>
      <w:pPr>
        <w:spacing w:before="60"/>
        <w:ind w:firstLine="450"/>
        <w:rPr>
          <w:rFonts w:ascii="仿宋" w:hAnsi="仿宋" w:eastAsia="仿宋" w:cs="仿宋"/>
          <w:sz w:val="30"/>
          <w:szCs w:val="30"/>
        </w:rPr>
      </w:pPr>
      <w:r>
        <w:rPr>
          <w:rFonts w:hint="eastAsia" w:ascii="仿宋" w:hAnsi="仿宋" w:eastAsia="仿宋" w:cs="仿宋"/>
          <w:sz w:val="30"/>
          <w:szCs w:val="30"/>
        </w:rPr>
        <w:t>（十七）负责组织制定实施全县各类科技计划和重大科技专项工程，负责统筹协调基础研究、应用技术研究和社会公益性技术研究以及国民经济与社会发展重大关键技术攻关。会同有关部门组织科技重大专项实施中的方案论证、综合平衡、评估验收和指导相关配套措施，对科技重大专项实施中的重大调整提出意见；负责编制并组织实施全县科技促进社会发展计划，制订相关重要措施和办法，协调农村科技体系建设，组织科技促进社会发展的关键技术研究和成果示范，促进以改善民生为重点的社会事业发展。</w:t>
      </w:r>
    </w:p>
    <w:p>
      <w:pPr>
        <w:spacing w:before="60"/>
        <w:ind w:firstLine="450"/>
        <w:rPr>
          <w:rFonts w:ascii="仿宋" w:hAnsi="仿宋" w:eastAsia="仿宋" w:cs="仿宋"/>
          <w:sz w:val="30"/>
          <w:szCs w:val="30"/>
        </w:rPr>
      </w:pPr>
      <w:r>
        <w:rPr>
          <w:rFonts w:hint="eastAsia" w:ascii="仿宋" w:hAnsi="仿宋" w:eastAsia="仿宋" w:cs="仿宋"/>
          <w:sz w:val="30"/>
          <w:szCs w:val="30"/>
        </w:rPr>
        <w:t>（十八）负责科技奖励评审的组织工作。指导科技成果转化工作，组织相关重大科技成果应用示范，推动企业自主创新能力。引导高新技术发展及产业化工作，指导和协调全县中小型企业技术创新工作，培育科技型中小企业。负责相关科技评审管理和科技统计管理，负责引导全县专利创造和城管转化工作，组织开展全县国防科技动员工作。</w:t>
      </w:r>
    </w:p>
    <w:p>
      <w:pPr>
        <w:spacing w:before="60"/>
        <w:ind w:firstLine="450"/>
        <w:rPr>
          <w:rFonts w:ascii="仿宋" w:hAnsi="仿宋" w:eastAsia="仿宋" w:cs="仿宋"/>
          <w:sz w:val="30"/>
          <w:szCs w:val="30"/>
        </w:rPr>
      </w:pPr>
      <w:r>
        <w:rPr>
          <w:rFonts w:hint="eastAsia" w:ascii="仿宋" w:hAnsi="仿宋" w:eastAsia="仿宋" w:cs="仿宋"/>
          <w:sz w:val="30"/>
          <w:szCs w:val="30"/>
        </w:rPr>
        <w:t>（十九）拟订全县体育工作的政策措施和体育事业发展规划，并组织实施；负责推动多元化体育服务体系建设，推进体育公共服务和体育体制改革。规范体育服务管理，推动体育标准化建设。负责体育彩票发行管理工作。</w:t>
      </w:r>
    </w:p>
    <w:p>
      <w:pPr>
        <w:spacing w:before="60"/>
        <w:ind w:firstLine="450"/>
        <w:rPr>
          <w:rFonts w:ascii="仿宋" w:hAnsi="仿宋" w:eastAsia="仿宋" w:cs="仿宋"/>
          <w:sz w:val="30"/>
          <w:szCs w:val="30"/>
        </w:rPr>
      </w:pPr>
      <w:r>
        <w:rPr>
          <w:rFonts w:hint="eastAsia" w:ascii="仿宋" w:hAnsi="仿宋" w:eastAsia="仿宋" w:cs="仿宋"/>
          <w:sz w:val="30"/>
          <w:szCs w:val="30"/>
        </w:rPr>
        <w:t>（二十）统筹规划全县竞技体育和青少年体育发展。推行全民健身计划，指导和组织实施国家体育锻炼标准，推动国民体质监测和社会体育指导工作队伍制度建设。组织参加体育竞赛。协调运动员社会保障工作。负责全县教练员、裁判员、运动员的考核、等级申报和审批工作。负责组织、协调、监督体育运动中的反兴奋剂工作。</w:t>
      </w:r>
    </w:p>
    <w:p>
      <w:pPr>
        <w:spacing w:before="60"/>
        <w:ind w:firstLine="450"/>
        <w:rPr>
          <w:rFonts w:ascii="仿宋" w:hAnsi="仿宋" w:eastAsia="仿宋" w:cs="仿宋"/>
          <w:sz w:val="30"/>
          <w:szCs w:val="30"/>
        </w:rPr>
      </w:pPr>
      <w:r>
        <w:rPr>
          <w:rFonts w:hint="eastAsia" w:ascii="仿宋" w:hAnsi="仿宋" w:eastAsia="仿宋" w:cs="仿宋"/>
          <w:sz w:val="30"/>
          <w:szCs w:val="30"/>
        </w:rPr>
        <w:t>（二十一）负责对各类体育社团、各类体育学校、体育项目俱乐部的资格审查、业务指导工作。负责对高危体育项目的审批工作。</w:t>
      </w:r>
    </w:p>
    <w:p>
      <w:pPr>
        <w:spacing w:before="60"/>
        <w:ind w:firstLine="450"/>
        <w:rPr>
          <w:rFonts w:ascii="仿宋" w:hAnsi="仿宋" w:eastAsia="仿宋" w:cs="仿宋"/>
          <w:sz w:val="30"/>
          <w:szCs w:val="30"/>
        </w:rPr>
      </w:pPr>
      <w:r>
        <w:rPr>
          <w:rFonts w:hint="eastAsia" w:ascii="仿宋" w:hAnsi="仿宋" w:eastAsia="仿宋" w:cs="仿宋"/>
          <w:sz w:val="30"/>
          <w:szCs w:val="30"/>
        </w:rPr>
        <w:t>（二十二）指导全县教育科技体育系统干部人事制度改革、统战工作、人才工作和干部培训工作。指导全县教育科技体育系统党建、廉政建设工作。负责教育科技体育系统审计工作。负责教育科技体育系统信访和群众工作。</w:t>
      </w:r>
    </w:p>
    <w:p>
      <w:pPr>
        <w:spacing w:before="60"/>
        <w:ind w:firstLine="450"/>
        <w:rPr>
          <w:rFonts w:ascii="仿宋" w:hAnsi="仿宋" w:eastAsia="仿宋" w:cs="仿宋"/>
          <w:sz w:val="30"/>
          <w:szCs w:val="30"/>
        </w:rPr>
      </w:pPr>
      <w:r>
        <w:rPr>
          <w:rFonts w:hint="eastAsia" w:ascii="仿宋" w:hAnsi="仿宋" w:eastAsia="仿宋" w:cs="仿宋"/>
          <w:sz w:val="30"/>
          <w:szCs w:val="30"/>
        </w:rPr>
        <w:t>（二十三）负责全县教育科技体育系统安全生产监督管理工作。</w:t>
      </w:r>
    </w:p>
    <w:p>
      <w:pPr>
        <w:spacing w:before="60"/>
        <w:ind w:firstLine="450"/>
        <w:rPr>
          <w:rFonts w:ascii="仿宋" w:hAnsi="仿宋" w:eastAsia="仿宋" w:cs="仿宋"/>
          <w:sz w:val="30"/>
          <w:szCs w:val="30"/>
        </w:rPr>
      </w:pPr>
      <w:r>
        <w:rPr>
          <w:rFonts w:hint="eastAsia" w:ascii="仿宋" w:hAnsi="仿宋" w:eastAsia="仿宋" w:cs="仿宋"/>
          <w:sz w:val="30"/>
          <w:szCs w:val="30"/>
        </w:rPr>
        <w:t>（二十四）完成县委、县政府和县委教育工作领导小组交办的其它工作任务。</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二、机构设置及人员情况</w:t>
      </w:r>
    </w:p>
    <w:p>
      <w:pPr>
        <w:ind w:firstLine="640" w:firstLineChars="200"/>
        <w:rPr>
          <w:rFonts w:hint="eastAsia" w:ascii="仿宋" w:hAnsi="仿宋" w:eastAsia="仿宋"/>
          <w:sz w:val="32"/>
          <w:szCs w:val="32"/>
        </w:rPr>
      </w:pPr>
      <w:r>
        <w:rPr>
          <w:rFonts w:hint="eastAsia" w:ascii="仿宋" w:hAnsi="仿宋" w:eastAsia="仿宋"/>
          <w:sz w:val="32"/>
          <w:szCs w:val="32"/>
        </w:rPr>
        <w:t>2021年兴国县教育科技体育局共有预算单位78个，包括：</w:t>
      </w:r>
    </w:p>
    <w:p>
      <w:pPr>
        <w:ind w:firstLine="420" w:firstLineChars="200"/>
        <w:rPr>
          <w:rFonts w:ascii="仿宋" w:hAnsi="仿宋" w:eastAsia="仿宋"/>
          <w:sz w:val="32"/>
          <w:szCs w:val="32"/>
        </w:rPr>
      </w:pPr>
      <w:r>
        <w:drawing>
          <wp:inline distT="0" distB="0" distL="114300" distR="114300">
            <wp:extent cx="5638165" cy="8333105"/>
            <wp:effectExtent l="0" t="0" r="635" b="1079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4"/>
                    <a:stretch>
                      <a:fillRect/>
                    </a:stretch>
                  </pic:blipFill>
                  <pic:spPr>
                    <a:xfrm>
                      <a:off x="0" y="0"/>
                      <a:ext cx="5638165" cy="8333105"/>
                    </a:xfrm>
                    <a:prstGeom prst="rect">
                      <a:avLst/>
                    </a:prstGeom>
                    <a:noFill/>
                    <a:ln>
                      <a:noFill/>
                    </a:ln>
                  </pic:spPr>
                </pic:pic>
              </a:graphicData>
            </a:graphic>
          </wp:inline>
        </w:drawing>
      </w:r>
    </w:p>
    <w:p>
      <w:pPr>
        <w:ind w:firstLine="600"/>
        <w:rPr>
          <w:rFonts w:ascii="仿宋" w:hAnsi="仿宋" w:eastAsia="仿宋" w:cs="仿宋"/>
          <w:color w:val="000000"/>
          <w:sz w:val="32"/>
          <w:szCs w:val="32"/>
        </w:rPr>
      </w:pPr>
      <w:r>
        <w:rPr>
          <w:rFonts w:hint="eastAsia" w:ascii="仿宋" w:hAnsi="仿宋" w:eastAsia="仿宋"/>
          <w:sz w:val="32"/>
          <w:szCs w:val="32"/>
        </w:rPr>
        <w:t>编制</w:t>
      </w:r>
      <w:r>
        <w:rPr>
          <w:rFonts w:hint="eastAsia" w:ascii="仿宋" w:hAnsi="仿宋" w:eastAsia="仿宋"/>
          <w:sz w:val="32"/>
          <w:szCs w:val="32"/>
          <w:lang w:val="en-US" w:eastAsia="zh-CN"/>
        </w:rPr>
        <w:t>人</w:t>
      </w:r>
      <w:r>
        <w:rPr>
          <w:rFonts w:hint="eastAsia" w:ascii="仿宋" w:hAnsi="仿宋" w:eastAsia="仿宋"/>
          <w:sz w:val="32"/>
          <w:szCs w:val="32"/>
        </w:rPr>
        <w:t>数</w:t>
      </w:r>
      <w:r>
        <w:rPr>
          <w:rFonts w:hint="eastAsia" w:ascii="仿宋" w:hAnsi="仿宋" w:eastAsia="仿宋"/>
          <w:sz w:val="32"/>
          <w:szCs w:val="32"/>
          <w:lang w:val="en-US" w:eastAsia="zh-CN"/>
        </w:rPr>
        <w:t>小计9270</w:t>
      </w:r>
      <w:r>
        <w:rPr>
          <w:rFonts w:hint="eastAsia" w:ascii="仿宋" w:hAnsi="仿宋" w:eastAsia="仿宋"/>
          <w:sz w:val="32"/>
          <w:szCs w:val="32"/>
        </w:rPr>
        <w:t>人，其中：行政编制19人，</w:t>
      </w:r>
      <w:r>
        <w:rPr>
          <w:rFonts w:hint="eastAsia" w:ascii="仿宋" w:hAnsi="仿宋" w:eastAsia="仿宋"/>
          <w:sz w:val="32"/>
          <w:szCs w:val="32"/>
          <w:lang w:val="en-US" w:eastAsia="zh-CN"/>
        </w:rPr>
        <w:t>参照公务员管理的</w:t>
      </w:r>
      <w:r>
        <w:rPr>
          <w:rFonts w:hint="eastAsia" w:ascii="仿宋" w:hAnsi="仿宋" w:eastAsia="仿宋"/>
          <w:sz w:val="32"/>
          <w:szCs w:val="32"/>
        </w:rPr>
        <w:t>事业编制</w:t>
      </w:r>
      <w:r>
        <w:rPr>
          <w:rFonts w:hint="eastAsia" w:ascii="仿宋" w:hAnsi="仿宋" w:eastAsia="仿宋"/>
          <w:sz w:val="32"/>
          <w:szCs w:val="32"/>
          <w:lang w:val="en-US" w:eastAsia="zh-CN"/>
        </w:rPr>
        <w:t>0</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lang w:val="en-US" w:eastAsia="zh-CN"/>
        </w:rPr>
        <w:t>全部补助事业编制人数9251人，自收自支编制人数0人。</w:t>
      </w:r>
      <w:r>
        <w:rPr>
          <w:rFonts w:hint="eastAsia" w:ascii="仿宋" w:hAnsi="仿宋" w:eastAsia="仿宋"/>
          <w:sz w:val="32"/>
          <w:szCs w:val="32"/>
        </w:rPr>
        <w:t>实有人数</w:t>
      </w:r>
      <w:r>
        <w:rPr>
          <w:rFonts w:hint="eastAsia" w:ascii="仿宋" w:hAnsi="仿宋" w:eastAsia="仿宋"/>
          <w:sz w:val="32"/>
          <w:szCs w:val="32"/>
          <w:lang w:val="en-US" w:eastAsia="zh-CN"/>
        </w:rPr>
        <w:t>小计9973</w:t>
      </w:r>
      <w:r>
        <w:rPr>
          <w:rFonts w:hint="eastAsia" w:ascii="仿宋" w:hAnsi="仿宋" w:eastAsia="仿宋"/>
          <w:sz w:val="32"/>
          <w:szCs w:val="32"/>
        </w:rPr>
        <w:t>人，其中：在职人数</w:t>
      </w:r>
      <w:r>
        <w:rPr>
          <w:rFonts w:hint="eastAsia" w:ascii="仿宋" w:hAnsi="仿宋" w:eastAsia="仿宋"/>
          <w:sz w:val="32"/>
          <w:szCs w:val="32"/>
          <w:lang w:val="en-US" w:eastAsia="zh-CN"/>
        </w:rPr>
        <w:t>小计7865</w:t>
      </w:r>
      <w:r>
        <w:rPr>
          <w:rFonts w:hint="eastAsia" w:ascii="仿宋" w:hAnsi="仿宋" w:eastAsia="仿宋"/>
          <w:sz w:val="32"/>
          <w:szCs w:val="32"/>
        </w:rPr>
        <w:t>人，</w:t>
      </w:r>
      <w:r>
        <w:rPr>
          <w:rFonts w:hint="eastAsia" w:ascii="仿宋" w:hAnsi="仿宋" w:eastAsia="仿宋"/>
          <w:sz w:val="32"/>
          <w:szCs w:val="32"/>
          <w:lang w:val="en-US" w:eastAsia="zh-CN"/>
        </w:rPr>
        <w:t>行政在职人数19人，参照公务员管理的</w:t>
      </w:r>
      <w:r>
        <w:rPr>
          <w:rFonts w:hint="eastAsia" w:ascii="仿宋" w:hAnsi="仿宋" w:eastAsia="仿宋"/>
          <w:sz w:val="32"/>
          <w:szCs w:val="32"/>
        </w:rPr>
        <w:t>事业编制</w:t>
      </w:r>
      <w:r>
        <w:rPr>
          <w:rFonts w:hint="eastAsia" w:ascii="仿宋" w:hAnsi="仿宋" w:eastAsia="仿宋"/>
          <w:sz w:val="32"/>
          <w:szCs w:val="32"/>
          <w:lang w:val="en-US" w:eastAsia="zh-CN"/>
        </w:rPr>
        <w:t>0</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lang w:val="en-US" w:eastAsia="zh-CN"/>
        </w:rPr>
        <w:t>全部补助事业编制人数7846人。</w:t>
      </w:r>
      <w:r>
        <w:rPr>
          <w:rFonts w:hint="eastAsia" w:ascii="仿宋" w:hAnsi="仿宋" w:eastAsia="仿宋"/>
          <w:sz w:val="32"/>
          <w:szCs w:val="32"/>
        </w:rPr>
        <w:t>离休人</w:t>
      </w:r>
      <w:r>
        <w:rPr>
          <w:rFonts w:hint="eastAsia" w:ascii="仿宋" w:hAnsi="仿宋" w:eastAsia="仿宋"/>
          <w:sz w:val="32"/>
          <w:szCs w:val="32"/>
          <w:lang w:val="en-US" w:eastAsia="zh-CN"/>
        </w:rPr>
        <w:t>人数小计</w:t>
      </w:r>
      <w:r>
        <w:rPr>
          <w:rFonts w:hint="eastAsia" w:ascii="仿宋" w:hAnsi="仿宋" w:eastAsia="仿宋"/>
          <w:sz w:val="32"/>
          <w:szCs w:val="32"/>
        </w:rPr>
        <w:t>7人</w:t>
      </w:r>
      <w:r>
        <w:rPr>
          <w:rFonts w:hint="eastAsia" w:ascii="仿宋" w:hAnsi="仿宋" w:eastAsia="仿宋"/>
          <w:sz w:val="32"/>
          <w:szCs w:val="32"/>
          <w:lang w:eastAsia="zh-CN"/>
        </w:rPr>
        <w:t>，</w:t>
      </w:r>
      <w:r>
        <w:rPr>
          <w:rFonts w:hint="eastAsia" w:ascii="仿宋" w:hAnsi="仿宋" w:eastAsia="仿宋"/>
          <w:sz w:val="32"/>
          <w:szCs w:val="32"/>
        </w:rPr>
        <w:t>退休</w:t>
      </w:r>
      <w:r>
        <w:rPr>
          <w:rFonts w:hint="eastAsia" w:ascii="仿宋" w:hAnsi="仿宋" w:eastAsia="仿宋"/>
          <w:sz w:val="32"/>
          <w:szCs w:val="32"/>
          <w:lang w:val="en-US" w:eastAsia="zh-CN"/>
        </w:rPr>
        <w:t>人数小计</w:t>
      </w:r>
      <w:r>
        <w:rPr>
          <w:rFonts w:hint="eastAsia" w:ascii="仿宋" w:hAnsi="仿宋" w:eastAsia="仿宋"/>
          <w:sz w:val="32"/>
          <w:szCs w:val="32"/>
        </w:rPr>
        <w:t>2101人</w:t>
      </w:r>
      <w:r>
        <w:rPr>
          <w:rFonts w:hint="eastAsia" w:ascii="仿宋" w:hAnsi="仿宋" w:eastAsia="仿宋"/>
          <w:sz w:val="32"/>
          <w:szCs w:val="32"/>
          <w:lang w:eastAsia="zh-CN"/>
        </w:rPr>
        <w:t>，</w:t>
      </w:r>
      <w:r>
        <w:rPr>
          <w:rFonts w:hint="eastAsia" w:ascii="仿宋" w:hAnsi="仿宋" w:eastAsia="仿宋"/>
          <w:sz w:val="32"/>
          <w:szCs w:val="32"/>
          <w:lang w:val="en-US" w:eastAsia="zh-CN"/>
        </w:rPr>
        <w:t>退职人员0人，遗属人数873人</w:t>
      </w:r>
      <w:r>
        <w:rPr>
          <w:rFonts w:hint="eastAsia" w:ascii="仿宋" w:hAnsi="仿宋" w:eastAsia="仿宋"/>
          <w:sz w:val="32"/>
          <w:szCs w:val="32"/>
        </w:rPr>
        <w:t>。</w:t>
      </w:r>
      <w:r>
        <w:rPr>
          <w:rFonts w:hint="eastAsia" w:ascii="仿宋" w:hAnsi="仿宋" w:eastAsia="仿宋" w:cs="仿宋"/>
          <w:color w:val="000000"/>
          <w:sz w:val="32"/>
          <w:szCs w:val="32"/>
        </w:rPr>
        <w:t>在校学生179856人，其中：中等专业学校4549人、初中生50437人、高中21587人、小学生73505人，学前教育幼儿29467人，特殊教育学生311人。</w:t>
      </w:r>
    </w:p>
    <w:p>
      <w:pPr>
        <w:numPr>
          <w:ilvl w:val="0"/>
          <w:numId w:val="0"/>
        </w:numPr>
        <w:ind w:firstLine="904" w:firstLineChars="300"/>
        <w:jc w:val="both"/>
        <w:rPr>
          <w:rFonts w:hint="eastAsia" w:ascii="仿宋" w:hAnsi="仿宋" w:eastAsia="仿宋" w:cs="仿宋"/>
          <w:b/>
          <w:bCs/>
          <w:sz w:val="30"/>
          <w:szCs w:val="30"/>
          <w:lang w:val="en-US" w:eastAsia="zh-CN"/>
        </w:rPr>
      </w:pPr>
    </w:p>
    <w:p>
      <w:pPr>
        <w:numPr>
          <w:ilvl w:val="0"/>
          <w:numId w:val="0"/>
        </w:numPr>
        <w:jc w:val="center"/>
        <w:rPr>
          <w:rFonts w:ascii="仿宋" w:hAnsi="仿宋" w:eastAsia="仿宋" w:cs="仿宋"/>
          <w:b/>
          <w:bCs/>
          <w:sz w:val="30"/>
          <w:szCs w:val="30"/>
        </w:rPr>
      </w:pPr>
      <w:r>
        <w:rPr>
          <w:rFonts w:hint="eastAsia" w:ascii="仿宋" w:hAnsi="仿宋" w:eastAsia="仿宋" w:cs="仿宋"/>
          <w:b/>
          <w:bCs/>
          <w:sz w:val="30"/>
          <w:szCs w:val="30"/>
          <w:lang w:val="en-US" w:eastAsia="zh-CN"/>
        </w:rPr>
        <w:t xml:space="preserve">第二部分  </w:t>
      </w:r>
      <w:r>
        <w:rPr>
          <w:rFonts w:hint="eastAsia" w:ascii="仿宋" w:hAnsi="仿宋" w:eastAsia="仿宋" w:cs="仿宋"/>
          <w:b/>
          <w:bCs/>
          <w:sz w:val="30"/>
          <w:szCs w:val="30"/>
        </w:rPr>
        <w:t>兴国县教育科技体育部门2021年部门预算表</w:t>
      </w:r>
    </w:p>
    <w:p>
      <w:pPr>
        <w:ind w:firstLine="600" w:firstLineChars="200"/>
        <w:jc w:val="both"/>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详见附表）</w:t>
      </w:r>
    </w:p>
    <w:p>
      <w:pPr>
        <w:jc w:val="center"/>
        <w:rPr>
          <w:rFonts w:hint="eastAsia"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部分 兴国县教育科技体育2021年部门预算情况说明</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一、2021年部门预算收支情况说明</w:t>
      </w:r>
    </w:p>
    <w:p>
      <w:pPr>
        <w:ind w:firstLine="452" w:firstLineChars="150"/>
        <w:rPr>
          <w:rFonts w:ascii="仿宋" w:hAnsi="仿宋" w:eastAsia="仿宋" w:cs="仿宋"/>
          <w:b/>
          <w:bCs/>
          <w:sz w:val="30"/>
          <w:szCs w:val="30"/>
        </w:rPr>
      </w:pPr>
      <w:r>
        <w:rPr>
          <w:rFonts w:hint="eastAsia" w:ascii="仿宋" w:hAnsi="仿宋" w:eastAsia="仿宋" w:cs="仿宋"/>
          <w:b/>
          <w:bCs/>
          <w:sz w:val="30"/>
          <w:szCs w:val="30"/>
        </w:rPr>
        <w:t>（一）收入预算情况</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rPr>
        <w:t>2021年兴国县教育科技体育部门收入预算总额为</w:t>
      </w:r>
      <w:r>
        <w:rPr>
          <w:rFonts w:hint="eastAsia" w:ascii="仿宋" w:hAnsi="仿宋" w:eastAsia="仿宋"/>
          <w:color w:val="000000"/>
          <w:sz w:val="32"/>
          <w:szCs w:val="32"/>
        </w:rPr>
        <w:t>107259.2</w:t>
      </w:r>
      <w:r>
        <w:rPr>
          <w:rFonts w:hint="eastAsia" w:ascii="仿宋" w:hAnsi="仿宋" w:eastAsia="仿宋" w:cs="仿宋"/>
          <w:sz w:val="30"/>
          <w:szCs w:val="30"/>
        </w:rPr>
        <w:t>万元，较上年预算安排</w:t>
      </w:r>
      <w:r>
        <w:rPr>
          <w:rFonts w:hint="eastAsia" w:ascii="仿宋" w:hAnsi="仿宋" w:eastAsia="仿宋" w:cs="仿宋"/>
          <w:sz w:val="30"/>
          <w:szCs w:val="30"/>
          <w:lang w:val="en-US" w:eastAsia="zh-CN"/>
        </w:rPr>
        <w:t>增加5616.39万元</w:t>
      </w:r>
      <w:r>
        <w:rPr>
          <w:rFonts w:hint="eastAsia" w:ascii="仿宋" w:hAnsi="仿宋" w:eastAsia="仿宋" w:cs="仿宋"/>
          <w:sz w:val="30"/>
          <w:szCs w:val="30"/>
        </w:rPr>
        <w:t xml:space="preserve">。其中：财政拨款收入 </w:t>
      </w:r>
      <w:r>
        <w:rPr>
          <w:rFonts w:ascii="仿宋" w:hAnsi="仿宋" w:eastAsia="仿宋" w:cs="仿宋"/>
          <w:sz w:val="30"/>
          <w:szCs w:val="30"/>
        </w:rPr>
        <w:t>97,188.68</w:t>
      </w:r>
      <w:r>
        <w:rPr>
          <w:rFonts w:hint="eastAsia" w:ascii="仿宋" w:hAnsi="仿宋" w:eastAsia="仿宋" w:cs="仿宋"/>
          <w:sz w:val="30"/>
          <w:szCs w:val="30"/>
        </w:rPr>
        <w:t>万元，较上年预算安排</w:t>
      </w:r>
      <w:r>
        <w:rPr>
          <w:rFonts w:hint="eastAsia" w:ascii="仿宋" w:hAnsi="仿宋" w:eastAsia="仿宋" w:cs="仿宋"/>
          <w:sz w:val="30"/>
          <w:szCs w:val="30"/>
          <w:lang w:val="en-US" w:eastAsia="zh-CN"/>
        </w:rPr>
        <w:t>增加4957.28万元；教育收费资金</w:t>
      </w:r>
      <w:r>
        <w:rPr>
          <w:rFonts w:hint="eastAsia" w:ascii="仿宋" w:hAnsi="仿宋" w:eastAsia="仿宋" w:cs="仿宋"/>
          <w:sz w:val="30"/>
          <w:szCs w:val="30"/>
        </w:rPr>
        <w:t>收入6300.16万元</w:t>
      </w:r>
      <w:r>
        <w:rPr>
          <w:rFonts w:hint="eastAsia" w:ascii="仿宋" w:hAnsi="仿宋" w:eastAsia="仿宋" w:cs="仿宋"/>
          <w:sz w:val="30"/>
          <w:szCs w:val="30"/>
          <w:lang w:eastAsia="zh-CN"/>
        </w:rPr>
        <w:t>，</w:t>
      </w:r>
      <w:r>
        <w:rPr>
          <w:rFonts w:hint="eastAsia" w:ascii="仿宋" w:hAnsi="仿宋" w:eastAsia="仿宋" w:cs="仿宋"/>
          <w:sz w:val="32"/>
          <w:szCs w:val="32"/>
        </w:rPr>
        <w:t>较上年预算安排的</w:t>
      </w:r>
      <w:r>
        <w:rPr>
          <w:rFonts w:hint="eastAsia" w:ascii="仿宋" w:hAnsi="仿宋" w:eastAsia="仿宋" w:cs="仿宋"/>
          <w:sz w:val="32"/>
          <w:szCs w:val="32"/>
          <w:lang w:val="en-US" w:eastAsia="zh-CN"/>
        </w:rPr>
        <w:t>减少890.03万元</w:t>
      </w:r>
      <w:r>
        <w:rPr>
          <w:rFonts w:hint="eastAsia" w:ascii="仿宋" w:hAnsi="仿宋" w:eastAsia="仿宋" w:cs="仿宋"/>
          <w:sz w:val="30"/>
          <w:szCs w:val="30"/>
        </w:rPr>
        <w:t>；</w:t>
      </w:r>
      <w:r>
        <w:rPr>
          <w:rFonts w:hint="eastAsia" w:ascii="仿宋" w:hAnsi="仿宋" w:eastAsia="仿宋" w:cs="仿宋"/>
          <w:sz w:val="30"/>
          <w:szCs w:val="30"/>
          <w:lang w:val="en-US" w:eastAsia="zh-CN"/>
        </w:rPr>
        <w:t>事业单位经营收入0万元；较上年预算安排增加（减少）0万元；国库集中支付网上结转0万元，较上年预算安排增加（减少）0万元；</w:t>
      </w:r>
      <w:r>
        <w:rPr>
          <w:rFonts w:hint="eastAsia" w:ascii="仿宋" w:hAnsi="仿宋" w:eastAsia="仿宋" w:cs="仿宋"/>
          <w:sz w:val="30"/>
          <w:szCs w:val="30"/>
        </w:rPr>
        <w:t>上级补助收入160万元；其他收入3610.36万元。</w:t>
      </w:r>
      <w:r>
        <w:rPr>
          <w:rFonts w:hint="eastAsia" w:ascii="仿宋" w:hAnsi="仿宋" w:eastAsia="仿宋" w:cs="仿宋"/>
          <w:sz w:val="30"/>
          <w:szCs w:val="30"/>
          <w:lang w:val="en-US" w:eastAsia="zh-CN"/>
        </w:rPr>
        <w:t>收入预算增加主要因为政府加大了教育经费投入，保障逐年只增不减。</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（二）支出预算情况</w:t>
      </w:r>
    </w:p>
    <w:p>
      <w:pPr>
        <w:ind w:firstLine="600" w:firstLineChars="200"/>
        <w:rPr>
          <w:rFonts w:ascii="仿宋" w:hAnsi="仿宋" w:eastAsia="仿宋" w:cs="仿宋"/>
          <w:sz w:val="30"/>
          <w:szCs w:val="30"/>
        </w:rPr>
      </w:pPr>
      <w:r>
        <w:rPr>
          <w:rFonts w:hint="eastAsia" w:ascii="仿宋" w:hAnsi="仿宋" w:eastAsia="仿宋" w:cs="仿宋"/>
          <w:sz w:val="30"/>
          <w:szCs w:val="30"/>
        </w:rPr>
        <w:t>2021年兴国县教育科技体育</w:t>
      </w:r>
      <w:r>
        <w:rPr>
          <w:rFonts w:hint="eastAsia" w:ascii="仿宋" w:hAnsi="仿宋" w:eastAsia="仿宋" w:cs="仿宋"/>
          <w:sz w:val="30"/>
          <w:szCs w:val="30"/>
          <w:lang w:val="en-US" w:eastAsia="zh-CN"/>
        </w:rPr>
        <w:t>局</w:t>
      </w:r>
      <w:r>
        <w:rPr>
          <w:rFonts w:hint="eastAsia" w:ascii="仿宋" w:hAnsi="仿宋" w:eastAsia="仿宋" w:cs="仿宋"/>
          <w:sz w:val="30"/>
          <w:szCs w:val="30"/>
        </w:rPr>
        <w:t>支出预算总额为</w:t>
      </w:r>
      <w:r>
        <w:rPr>
          <w:rFonts w:ascii="仿宋" w:hAnsi="仿宋" w:eastAsia="仿宋" w:cs="仿宋"/>
          <w:sz w:val="30"/>
          <w:szCs w:val="30"/>
        </w:rPr>
        <w:t>107259.20</w:t>
      </w:r>
      <w:r>
        <w:rPr>
          <w:rFonts w:hint="eastAsia" w:ascii="仿宋" w:hAnsi="仿宋" w:eastAsia="仿宋" w:cs="仿宋"/>
          <w:sz w:val="30"/>
          <w:szCs w:val="30"/>
        </w:rPr>
        <w:t>万元，</w:t>
      </w:r>
      <w:r>
        <w:rPr>
          <w:rFonts w:hint="eastAsia" w:ascii="仿宋" w:hAnsi="仿宋" w:eastAsia="仿宋" w:cs="仿宋"/>
          <w:sz w:val="30"/>
          <w:szCs w:val="30"/>
          <w:lang w:val="en-US" w:eastAsia="zh-CN"/>
        </w:rPr>
        <w:t>较上年预算安排增加5616.39，支出预算增加主要因为政府加大了教育经费投入，保障逐年只增不减。</w:t>
      </w:r>
      <w:r>
        <w:rPr>
          <w:rFonts w:hint="eastAsia" w:ascii="仿宋" w:hAnsi="仿宋" w:eastAsia="仿宋" w:cs="仿宋"/>
          <w:sz w:val="30"/>
          <w:szCs w:val="30"/>
        </w:rPr>
        <w:t>其中：</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rPr>
        <w:t>按支出项目类别划分：基本支出</w:t>
      </w:r>
      <w:r>
        <w:rPr>
          <w:rFonts w:ascii="仿宋" w:hAnsi="仿宋" w:eastAsia="仿宋" w:cs="仿宋"/>
          <w:sz w:val="30"/>
          <w:szCs w:val="30"/>
        </w:rPr>
        <w:t>93,536.52</w:t>
      </w:r>
      <w:r>
        <w:rPr>
          <w:rFonts w:hint="eastAsia" w:ascii="仿宋" w:hAnsi="仿宋" w:eastAsia="仿宋" w:cs="仿宋"/>
          <w:sz w:val="30"/>
          <w:szCs w:val="30"/>
        </w:rPr>
        <w:t>万元，</w:t>
      </w:r>
      <w:r>
        <w:rPr>
          <w:rFonts w:hint="eastAsia" w:ascii="仿宋" w:hAnsi="仿宋" w:eastAsia="仿宋" w:cs="仿宋"/>
          <w:sz w:val="30"/>
          <w:szCs w:val="30"/>
          <w:lang w:val="en-US" w:eastAsia="zh-CN"/>
        </w:rPr>
        <w:t>较上年预算安排增加8377.37万元，其中：</w:t>
      </w:r>
      <w:r>
        <w:rPr>
          <w:rFonts w:hint="eastAsia" w:ascii="仿宋" w:hAnsi="仿宋" w:eastAsia="仿宋" w:cs="仿宋"/>
          <w:sz w:val="30"/>
          <w:szCs w:val="30"/>
        </w:rPr>
        <w:t>工资福利支出</w:t>
      </w:r>
      <w:r>
        <w:rPr>
          <w:rFonts w:ascii="仿宋" w:hAnsi="仿宋" w:eastAsia="仿宋" w:cs="仿宋"/>
          <w:sz w:val="30"/>
          <w:szCs w:val="30"/>
        </w:rPr>
        <w:t>76,005.22</w:t>
      </w:r>
      <w:r>
        <w:rPr>
          <w:rFonts w:hint="eastAsia" w:ascii="仿宋" w:hAnsi="仿宋" w:eastAsia="仿宋" w:cs="仿宋"/>
          <w:sz w:val="30"/>
          <w:szCs w:val="30"/>
        </w:rPr>
        <w:t>万元，</w:t>
      </w:r>
      <w:r>
        <w:rPr>
          <w:rFonts w:hint="eastAsia" w:ascii="仿宋" w:hAnsi="仿宋" w:eastAsia="仿宋" w:cs="仿宋"/>
          <w:sz w:val="30"/>
          <w:szCs w:val="30"/>
          <w:lang w:val="en-US" w:eastAsia="zh-CN"/>
        </w:rPr>
        <w:t>较上年预算安排增加2890.73万元，</w:t>
      </w:r>
      <w:r>
        <w:rPr>
          <w:rFonts w:hint="eastAsia" w:ascii="仿宋" w:hAnsi="仿宋" w:eastAsia="仿宋" w:cs="仿宋"/>
          <w:sz w:val="30"/>
          <w:szCs w:val="30"/>
        </w:rPr>
        <w:t>商品和服务支出</w:t>
      </w:r>
      <w:r>
        <w:rPr>
          <w:rFonts w:ascii="仿宋" w:hAnsi="仿宋" w:eastAsia="仿宋" w:cs="仿宋"/>
          <w:sz w:val="30"/>
          <w:szCs w:val="30"/>
        </w:rPr>
        <w:t>16,627.35</w:t>
      </w:r>
      <w:r>
        <w:rPr>
          <w:rFonts w:hint="eastAsia" w:ascii="仿宋" w:hAnsi="仿宋" w:eastAsia="仿宋" w:cs="仿宋"/>
          <w:sz w:val="30"/>
          <w:szCs w:val="30"/>
        </w:rPr>
        <w:t>元，</w:t>
      </w:r>
      <w:r>
        <w:rPr>
          <w:rFonts w:hint="eastAsia" w:ascii="仿宋" w:hAnsi="仿宋" w:eastAsia="仿宋" w:cs="仿宋"/>
          <w:sz w:val="30"/>
          <w:szCs w:val="30"/>
          <w:lang w:val="en-US" w:eastAsia="zh-CN"/>
        </w:rPr>
        <w:t>较上年预算安排增加5263.16万元，</w:t>
      </w:r>
      <w:r>
        <w:rPr>
          <w:rFonts w:hint="eastAsia" w:ascii="仿宋" w:hAnsi="仿宋" w:eastAsia="仿宋" w:cs="仿宋"/>
          <w:sz w:val="30"/>
          <w:szCs w:val="30"/>
        </w:rPr>
        <w:t>对个人和家庭的补助支出903.95万元</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较上年预算安排增加223.48万元</w:t>
      </w:r>
      <w:r>
        <w:rPr>
          <w:rFonts w:hint="eastAsia" w:ascii="仿宋" w:hAnsi="仿宋" w:eastAsia="仿宋" w:cs="仿宋"/>
          <w:sz w:val="30"/>
          <w:szCs w:val="30"/>
        </w:rPr>
        <w:t>；项目支出13,722.68万元</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较上年预算安排减少2760.98万元。</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按支出功能科目划分：一般公共服务支出0万元,较上年预算安排增加（减少）0万元;教育支出85,069.74万元,较上年预算安排增加4611.43万元;科学技术支出100万元,较上年预算安排增加0万元;社会保障和就业支出9770.48万元,较上年预算安排增加281.32万元;文化旅游体育与传媒支出171.18万元，较上年预算安排减少1.42万元；卫生健康支出5943.96万元,较上年预算安排增加355.18万元;农林水支出0万元,较上年预算安排增加（减少）0万元;住房保障支出5903.</w:t>
      </w:r>
      <w:r>
        <w:rPr>
          <w:rFonts w:hint="eastAsia" w:ascii="仿宋" w:hAnsi="仿宋" w:eastAsia="仿宋" w:cs="仿宋"/>
          <w:sz w:val="30"/>
          <w:szCs w:val="30"/>
          <w:lang w:val="en-US" w:eastAsia="zh-CN"/>
        </w:rPr>
        <w:t>84</w:t>
      </w:r>
      <w:r>
        <w:rPr>
          <w:rFonts w:hint="eastAsia" w:ascii="仿宋" w:hAnsi="仿宋" w:eastAsia="仿宋" w:cs="仿宋"/>
          <w:sz w:val="30"/>
          <w:szCs w:val="30"/>
        </w:rPr>
        <w:t>万元,较上年预算安排增加</w:t>
      </w:r>
      <w:r>
        <w:rPr>
          <w:rFonts w:hint="eastAsia" w:ascii="仿宋" w:hAnsi="仿宋" w:eastAsia="仿宋" w:cs="仿宋"/>
          <w:sz w:val="30"/>
          <w:szCs w:val="30"/>
          <w:lang w:val="en-US" w:eastAsia="zh-CN"/>
        </w:rPr>
        <w:t>69.88</w:t>
      </w:r>
      <w:r>
        <w:rPr>
          <w:rFonts w:hint="eastAsia" w:ascii="仿宋" w:hAnsi="仿宋" w:eastAsia="仿宋" w:cs="仿宋"/>
          <w:sz w:val="30"/>
          <w:szCs w:val="30"/>
        </w:rPr>
        <w:t>万元；其他支出300万元。</w:t>
      </w:r>
    </w:p>
    <w:p>
      <w:pPr>
        <w:pStyle w:val="2"/>
        <w:rPr>
          <w:rFonts w:ascii="仿宋" w:hAnsi="仿宋" w:eastAsia="仿宋" w:cs="仿宋"/>
          <w:b/>
          <w:bCs/>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b/>
          <w:bCs/>
          <w:sz w:val="30"/>
          <w:szCs w:val="30"/>
        </w:rPr>
        <w:t>（三）财政拨款支出情况</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2021年兴国县教育科技体育局财政拨款支出预算</w:t>
      </w:r>
      <w:r>
        <w:rPr>
          <w:rFonts w:hint="eastAsia" w:ascii="仿宋" w:hAnsi="仿宋" w:eastAsia="仿宋" w:cs="仿宋"/>
          <w:sz w:val="30"/>
          <w:szCs w:val="30"/>
          <w:lang w:val="en-US" w:eastAsia="zh-CN"/>
        </w:rPr>
        <w:t>96888.68</w:t>
      </w:r>
      <w:r>
        <w:rPr>
          <w:rFonts w:hint="eastAsia" w:ascii="仿宋" w:hAnsi="仿宋" w:eastAsia="仿宋" w:cs="仿宋"/>
          <w:sz w:val="30"/>
          <w:szCs w:val="30"/>
        </w:rPr>
        <w:t>万元，较上年预算安排的增</w:t>
      </w:r>
      <w:r>
        <w:rPr>
          <w:rFonts w:hint="eastAsia" w:ascii="仿宋" w:hAnsi="仿宋" w:eastAsia="仿宋" w:cs="仿宋"/>
          <w:sz w:val="30"/>
          <w:szCs w:val="30"/>
          <w:lang w:val="en-US" w:eastAsia="zh-CN"/>
        </w:rPr>
        <w:t>加4656.77万元，支出预算增加主要因为政府加大了教育经费投入，保障逐年只增不减。</w:t>
      </w:r>
    </w:p>
    <w:p>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按支出功能科目划分：一般公共服务支出</w:t>
      </w:r>
      <w:r>
        <w:rPr>
          <w:rFonts w:hint="eastAsia" w:ascii="仿宋" w:hAnsi="仿宋" w:eastAsia="仿宋" w:cs="仿宋"/>
          <w:sz w:val="30"/>
          <w:szCs w:val="30"/>
          <w:lang w:val="en-US" w:eastAsia="zh-CN"/>
        </w:rPr>
        <w:t>0</w:t>
      </w:r>
      <w:r>
        <w:rPr>
          <w:rFonts w:hint="eastAsia" w:ascii="仿宋" w:hAnsi="仿宋" w:eastAsia="仿宋" w:cs="仿宋"/>
          <w:sz w:val="30"/>
          <w:szCs w:val="30"/>
        </w:rPr>
        <w:t>万元,教育支出</w:t>
      </w:r>
      <w:r>
        <w:rPr>
          <w:rFonts w:hint="eastAsia" w:ascii="仿宋" w:hAnsi="仿宋" w:eastAsia="仿宋" w:cs="仿宋"/>
          <w:sz w:val="30"/>
          <w:szCs w:val="30"/>
          <w:lang w:val="en-US" w:eastAsia="zh-CN"/>
        </w:rPr>
        <w:t>74999.22</w:t>
      </w:r>
      <w:r>
        <w:rPr>
          <w:rFonts w:hint="eastAsia" w:ascii="仿宋" w:hAnsi="仿宋" w:eastAsia="仿宋" w:cs="仿宋"/>
          <w:sz w:val="30"/>
          <w:szCs w:val="30"/>
        </w:rPr>
        <w:t>万元,科学技术支出100万元</w:t>
      </w:r>
      <w:r>
        <w:rPr>
          <w:rFonts w:hint="eastAsia" w:ascii="仿宋" w:hAnsi="仿宋" w:eastAsia="仿宋" w:cs="仿宋"/>
          <w:sz w:val="30"/>
          <w:szCs w:val="30"/>
          <w:lang w:eastAsia="zh-CN"/>
        </w:rPr>
        <w:t>，</w:t>
      </w:r>
      <w:r>
        <w:rPr>
          <w:rFonts w:hint="eastAsia" w:ascii="仿宋" w:hAnsi="仿宋" w:eastAsia="仿宋" w:cs="仿宋"/>
          <w:sz w:val="30"/>
          <w:szCs w:val="30"/>
        </w:rPr>
        <w:t>文化旅游体育与传媒支出171.18万元</w:t>
      </w:r>
      <w:r>
        <w:rPr>
          <w:rFonts w:hint="eastAsia" w:ascii="仿宋" w:hAnsi="仿宋" w:eastAsia="仿宋" w:cs="仿宋"/>
          <w:sz w:val="30"/>
          <w:szCs w:val="30"/>
          <w:lang w:eastAsia="zh-CN"/>
        </w:rPr>
        <w:t>，</w:t>
      </w:r>
      <w:r>
        <w:rPr>
          <w:rFonts w:hint="eastAsia" w:ascii="仿宋" w:hAnsi="仿宋" w:eastAsia="仿宋" w:cs="仿宋"/>
          <w:sz w:val="30"/>
          <w:szCs w:val="30"/>
        </w:rPr>
        <w:t>社会保障和就业支出9,770.48万元,卫生健康支出5,943.96万元,住房保障支出5,903.84万元</w:t>
      </w:r>
      <w:r>
        <w:rPr>
          <w:rFonts w:hint="eastAsia" w:ascii="仿宋" w:hAnsi="仿宋" w:eastAsia="仿宋" w:cs="仿宋"/>
          <w:sz w:val="30"/>
          <w:szCs w:val="30"/>
          <w:lang w:eastAsia="zh-CN"/>
        </w:rPr>
        <w:t>。</w:t>
      </w:r>
    </w:p>
    <w:p>
      <w:pPr>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按支出项目类别划分：基本支出</w:t>
      </w:r>
      <w:r>
        <w:rPr>
          <w:rFonts w:hint="eastAsia" w:ascii="仿宋" w:hAnsi="仿宋" w:eastAsia="仿宋" w:cs="仿宋"/>
          <w:color w:val="auto"/>
          <w:sz w:val="30"/>
          <w:szCs w:val="30"/>
          <w:lang w:val="en-US" w:eastAsia="zh-CN"/>
        </w:rPr>
        <w:t>86403.2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其中：工资福利支出73498.22万元,商品和服务支出12111.79万元,对个人和家庭的补助793.19万元,资本性支出</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万元。项目支出</w:t>
      </w:r>
      <w:r>
        <w:rPr>
          <w:rFonts w:hint="eastAsia" w:ascii="仿宋" w:hAnsi="仿宋" w:eastAsia="仿宋" w:cs="仿宋"/>
          <w:color w:val="auto"/>
          <w:sz w:val="30"/>
          <w:szCs w:val="30"/>
          <w:lang w:val="en-US" w:eastAsia="zh-CN"/>
        </w:rPr>
        <w:t>12111.79</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（四）政府性基金情况</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rPr>
        <w:t>政府性基金预算拨款安排了300万元用于体育事业的彩票公益金项目支出，</w:t>
      </w:r>
      <w:r>
        <w:rPr>
          <w:rFonts w:hint="eastAsia" w:ascii="仿宋" w:hAnsi="仿宋" w:eastAsia="仿宋" w:cs="仿宋"/>
          <w:sz w:val="30"/>
          <w:szCs w:val="30"/>
          <w:lang w:val="en-US" w:eastAsia="zh-CN"/>
        </w:rPr>
        <w:t>按支出项目类别划分为：其它支出300万元。</w:t>
      </w:r>
    </w:p>
    <w:p>
      <w:pPr>
        <w:ind w:firstLine="321" w:firstLineChars="100"/>
        <w:rPr>
          <w:rStyle w:val="13"/>
          <w:rFonts w:ascii="Adobe 仿宋 Std R" w:hAnsi="Adobe 仿宋 Std R" w:eastAsia="Adobe 仿宋 Std R"/>
          <w:b/>
          <w:sz w:val="32"/>
          <w:szCs w:val="32"/>
        </w:rPr>
      </w:pPr>
      <w:r>
        <w:rPr>
          <w:rStyle w:val="13"/>
          <w:rFonts w:hint="eastAsia" w:ascii="Adobe 仿宋 Std R" w:hAnsi="Adobe 仿宋 Std R" w:eastAsia="Adobe 仿宋 Std R"/>
          <w:b/>
          <w:sz w:val="32"/>
          <w:szCs w:val="32"/>
        </w:rPr>
        <w:t>（五）国有资本经营情况</w:t>
      </w:r>
    </w:p>
    <w:p>
      <w:pPr>
        <w:ind w:firstLine="640" w:firstLineChars="200"/>
        <w:rPr>
          <w:rStyle w:val="13"/>
          <w:rFonts w:ascii="仿宋" w:hAnsi="仿宋" w:eastAsia="仿宋"/>
          <w:sz w:val="32"/>
          <w:szCs w:val="32"/>
        </w:rPr>
      </w:pPr>
      <w:r>
        <w:rPr>
          <w:rStyle w:val="13"/>
          <w:rFonts w:hint="eastAsia" w:ascii="仿宋" w:hAnsi="仿宋" w:eastAsia="仿宋"/>
          <w:sz w:val="32"/>
          <w:szCs w:val="32"/>
          <w:lang w:eastAsia="zh-CN"/>
        </w:rPr>
        <w:t>2021</w:t>
      </w:r>
      <w:r>
        <w:rPr>
          <w:rStyle w:val="13"/>
          <w:rFonts w:hint="eastAsia" w:ascii="仿宋" w:hAnsi="仿宋" w:eastAsia="仿宋"/>
          <w:sz w:val="32"/>
          <w:szCs w:val="32"/>
        </w:rPr>
        <w:t>年</w:t>
      </w:r>
      <w:r>
        <w:rPr>
          <w:rFonts w:hint="eastAsia" w:ascii="仿宋" w:hAnsi="仿宋" w:eastAsia="仿宋"/>
          <w:sz w:val="32"/>
          <w:szCs w:val="32"/>
          <w:lang w:val="en-US" w:eastAsia="zh-CN"/>
        </w:rPr>
        <w:t>兴国县教育科技体育局</w:t>
      </w:r>
      <w:r>
        <w:rPr>
          <w:rStyle w:val="13"/>
          <w:rFonts w:hint="eastAsia" w:ascii="仿宋" w:hAnsi="仿宋" w:eastAsia="仿宋"/>
          <w:sz w:val="32"/>
          <w:szCs w:val="32"/>
        </w:rPr>
        <w:t>国有资本经营</w:t>
      </w:r>
      <w:r>
        <w:rPr>
          <w:rStyle w:val="13"/>
          <w:rFonts w:ascii="仿宋" w:hAnsi="仿宋" w:eastAsia="仿宋"/>
          <w:sz w:val="32"/>
          <w:szCs w:val="32"/>
        </w:rPr>
        <w:t>支出预算</w:t>
      </w:r>
      <w:r>
        <w:rPr>
          <w:rStyle w:val="13"/>
          <w:rFonts w:hint="eastAsia" w:ascii="仿宋" w:hAnsi="仿宋" w:eastAsia="仿宋"/>
          <w:sz w:val="32"/>
          <w:szCs w:val="32"/>
        </w:rPr>
        <w:t>为</w:t>
      </w:r>
      <w:r>
        <w:rPr>
          <w:rStyle w:val="13"/>
          <w:rFonts w:hint="eastAsia" w:ascii="仿宋" w:hAnsi="仿宋" w:eastAsia="仿宋"/>
          <w:sz w:val="32"/>
          <w:szCs w:val="32"/>
          <w:lang w:val="en-US" w:eastAsia="zh-CN"/>
        </w:rPr>
        <w:t>0万元</w:t>
      </w:r>
      <w:r>
        <w:rPr>
          <w:rFonts w:ascii="仿宋" w:hAnsi="仿宋" w:eastAsia="仿宋"/>
          <w:sz w:val="32"/>
          <w:szCs w:val="32"/>
        </w:rPr>
        <w:fldChar w:fldCharType="begin"/>
      </w:r>
      <w:r>
        <w:rPr>
          <w:rStyle w:val="13"/>
          <w:rFonts w:ascii="仿宋" w:hAnsi="仿宋" w:eastAsia="仿宋"/>
          <w:sz w:val="32"/>
          <w:szCs w:val="32"/>
        </w:rPr>
        <w:instrText xml:space="preserve">MERGEFIELD ${page400644146.ds215660413_REP_BGT_T_HC1100002019_DXQ02_S_AMTGYZBJYYSZJ}</w:instrText>
      </w:r>
      <w:r>
        <w:rPr>
          <w:rFonts w:ascii="仿宋" w:hAnsi="仿宋" w:eastAsia="仿宋"/>
          <w:sz w:val="32"/>
          <w:szCs w:val="32"/>
        </w:rPr>
        <w:fldChar w:fldCharType="separate"/>
      </w:r>
      <w:r>
        <w:fldChar w:fldCharType="end"/>
      </w:r>
    </w:p>
    <w:p>
      <w:pPr>
        <w:ind w:firstLine="640" w:firstLineChars="200"/>
        <w:rPr>
          <w:rStyle w:val="13"/>
          <w:rFonts w:ascii="仿宋" w:hAnsi="仿宋" w:eastAsia="仿宋"/>
          <w:sz w:val="32"/>
          <w:szCs w:val="32"/>
        </w:rPr>
      </w:pPr>
      <w:r>
        <w:rPr>
          <w:rStyle w:val="13"/>
          <w:rFonts w:hint="eastAsia" w:ascii="仿宋" w:hAnsi="仿宋" w:eastAsia="仿宋"/>
          <w:sz w:val="32"/>
          <w:szCs w:val="32"/>
        </w:rPr>
        <w:t>按支出项目类别划分：</w:t>
      </w:r>
      <w:r>
        <w:rPr>
          <w:rFonts w:ascii="仿宋" w:hAnsi="仿宋" w:eastAsia="仿宋"/>
          <w:sz w:val="32"/>
          <w:szCs w:val="32"/>
        </w:rPr>
        <w:fldChar w:fldCharType="begin"/>
      </w:r>
      <w:r>
        <w:rPr>
          <w:rStyle w:val="13"/>
          <w:rFonts w:ascii="仿宋" w:hAnsi="仿宋" w:eastAsia="仿宋"/>
          <w:sz w:val="32"/>
          <w:szCs w:val="32"/>
        </w:rPr>
        <w:instrText xml:space="preserve">MERGEFIELD ${page400644146.ds215660413_REP_BGT_T_HC1100002019_DXQ02_JBZCQKGY}</w:instrText>
      </w:r>
      <w:r>
        <w:rPr>
          <w:rFonts w:ascii="仿宋" w:hAnsi="仿宋" w:eastAsia="仿宋"/>
          <w:sz w:val="32"/>
          <w:szCs w:val="32"/>
        </w:rPr>
        <w:fldChar w:fldCharType="separate"/>
      </w:r>
      <w:r>
        <w:fldChar w:fldCharType="end"/>
      </w:r>
      <w:r>
        <w:rPr>
          <w:rFonts w:ascii="仿宋" w:hAnsi="仿宋" w:eastAsia="仿宋"/>
          <w:sz w:val="32"/>
          <w:szCs w:val="32"/>
        </w:rPr>
        <w:fldChar w:fldCharType="begin"/>
      </w:r>
      <w:r>
        <w:rPr>
          <w:rStyle w:val="13"/>
          <w:rFonts w:ascii="仿宋" w:hAnsi="仿宋" w:eastAsia="仿宋"/>
          <w:sz w:val="32"/>
          <w:szCs w:val="32"/>
        </w:rPr>
        <w:instrText xml:space="preserve">MERGEFIELD ${page400644146.ds215660413_REP_BGT_T_HC1100002019_DXQ02_XMZCQKGY}</w:instrText>
      </w:r>
      <w:r>
        <w:rPr>
          <w:rFonts w:ascii="仿宋" w:hAnsi="仿宋" w:eastAsia="仿宋"/>
          <w:sz w:val="32"/>
          <w:szCs w:val="32"/>
        </w:rPr>
        <w:fldChar w:fldCharType="separate"/>
      </w:r>
      <w:r>
        <w:fldChar w:fldCharType="end"/>
      </w:r>
      <w:r>
        <w:rPr>
          <w:rStyle w:val="13"/>
          <w:rFonts w:hint="eastAsia" w:ascii="仿宋" w:hAnsi="仿宋" w:eastAsia="仿宋"/>
          <w:sz w:val="32"/>
          <w:szCs w:val="32"/>
        </w:rPr>
        <w:t>没有使用国有资本经营预算拨款安排的支出</w:t>
      </w:r>
    </w:p>
    <w:p>
      <w:pPr>
        <w:ind w:firstLine="428" w:firstLineChars="142"/>
        <w:rPr>
          <w:rFonts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val="en-US" w:eastAsia="zh-CN"/>
        </w:rPr>
        <w:t>六</w:t>
      </w:r>
      <w:r>
        <w:rPr>
          <w:rFonts w:hint="eastAsia" w:ascii="仿宋" w:hAnsi="仿宋" w:eastAsia="仿宋" w:cs="仿宋"/>
          <w:b/>
          <w:bCs/>
          <w:sz w:val="30"/>
          <w:szCs w:val="30"/>
        </w:rPr>
        <w:t>）机关运行经费等重要事项的说明</w:t>
      </w:r>
    </w:p>
    <w:p>
      <w:pPr>
        <w:ind w:firstLine="549" w:firstLineChars="183"/>
        <w:rPr>
          <w:rFonts w:ascii="仿宋" w:hAnsi="仿宋" w:eastAsia="仿宋" w:cs="仿宋"/>
          <w:sz w:val="30"/>
          <w:szCs w:val="30"/>
        </w:rPr>
      </w:pPr>
      <w:r>
        <w:rPr>
          <w:rFonts w:hint="eastAsia" w:ascii="仿宋" w:hAnsi="仿宋" w:eastAsia="仿宋" w:cs="仿宋"/>
          <w:sz w:val="30"/>
          <w:szCs w:val="30"/>
        </w:rPr>
        <w:t>2021年部门或单位机关运行费预算</w:t>
      </w:r>
      <w:r>
        <w:rPr>
          <w:rFonts w:hint="eastAsia" w:ascii="仿宋" w:hAnsi="仿宋" w:eastAsia="仿宋" w:cs="仿宋"/>
          <w:sz w:val="30"/>
          <w:szCs w:val="30"/>
          <w:u w:val="none"/>
        </w:rPr>
        <w:t xml:space="preserve"> 12111.79 </w:t>
      </w:r>
      <w:r>
        <w:rPr>
          <w:rFonts w:hint="eastAsia" w:ascii="仿宋" w:hAnsi="仿宋" w:eastAsia="仿宋" w:cs="仿宋"/>
          <w:sz w:val="30"/>
          <w:szCs w:val="30"/>
        </w:rPr>
        <w:t>万元，比2020年预算增加</w:t>
      </w:r>
      <w:r>
        <w:rPr>
          <w:rFonts w:hint="eastAsia" w:ascii="仿宋" w:hAnsi="仿宋" w:eastAsia="仿宋" w:cs="仿宋"/>
          <w:sz w:val="30"/>
          <w:szCs w:val="30"/>
          <w:u w:val="none"/>
        </w:rPr>
        <w:t>747.6</w:t>
      </w:r>
      <w:r>
        <w:rPr>
          <w:rFonts w:hint="eastAsia" w:ascii="仿宋" w:hAnsi="仿宋" w:eastAsia="仿宋" w:cs="仿宋"/>
          <w:sz w:val="30"/>
          <w:szCs w:val="30"/>
        </w:rPr>
        <w:t>万元，增</w:t>
      </w:r>
      <w:r>
        <w:rPr>
          <w:rFonts w:hint="eastAsia" w:ascii="仿宋" w:hAnsi="仿宋" w:eastAsia="仿宋" w:cs="仿宋"/>
          <w:sz w:val="30"/>
          <w:szCs w:val="30"/>
          <w:lang w:val="en-US" w:eastAsia="zh-CN"/>
        </w:rPr>
        <w:t>长</w:t>
      </w:r>
      <w:r>
        <w:rPr>
          <w:rFonts w:hint="eastAsia" w:ascii="仿宋" w:hAnsi="仿宋" w:eastAsia="仿宋" w:cs="仿宋"/>
          <w:sz w:val="30"/>
          <w:szCs w:val="30"/>
          <w:u w:val="none"/>
        </w:rPr>
        <w:t xml:space="preserve"> 6.6 ％</w:t>
      </w:r>
      <w:r>
        <w:rPr>
          <w:rFonts w:hint="eastAsia" w:ascii="仿宋" w:hAnsi="仿宋" w:eastAsia="仿宋" w:cs="仿宋"/>
          <w:sz w:val="30"/>
          <w:szCs w:val="30"/>
        </w:rPr>
        <w:t>。主要原因是物价的正常波动。</w:t>
      </w:r>
    </w:p>
    <w:p>
      <w:pPr>
        <w:ind w:firstLine="567" w:firstLineChars="189"/>
        <w:rPr>
          <w:rFonts w:ascii="仿宋" w:hAnsi="仿宋" w:eastAsia="仿宋" w:cs="仿宋"/>
          <w:sz w:val="30"/>
          <w:szCs w:val="30"/>
        </w:rPr>
      </w:pPr>
      <w:r>
        <w:rPr>
          <w:rFonts w:hint="eastAsia" w:ascii="仿宋" w:hAnsi="仿宋" w:eastAsia="仿宋" w:cs="仿宋"/>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ascii="仿宋" w:hAnsi="仿宋" w:eastAsia="仿宋" w:cs="仿宋"/>
          <w:sz w:val="30"/>
          <w:szCs w:val="30"/>
        </w:rPr>
      </w:pPr>
      <w:r>
        <w:rPr>
          <w:rFonts w:hint="eastAsia" w:ascii="仿宋" w:hAnsi="仿宋" w:eastAsia="仿宋" w:cs="仿宋"/>
          <w:sz w:val="30"/>
          <w:szCs w:val="30"/>
        </w:rPr>
        <w:t>运行维护费以及其他费用。</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val="en-US" w:eastAsia="zh-CN"/>
        </w:rPr>
        <w:t>七</w:t>
      </w:r>
      <w:r>
        <w:rPr>
          <w:rFonts w:hint="eastAsia" w:ascii="仿宋" w:hAnsi="仿宋" w:eastAsia="仿宋" w:cs="仿宋"/>
          <w:b/>
          <w:bCs/>
          <w:sz w:val="30"/>
          <w:szCs w:val="30"/>
        </w:rPr>
        <w:t>）政府采购情况</w:t>
      </w:r>
    </w:p>
    <w:p>
      <w:pPr>
        <w:ind w:firstLine="567" w:firstLineChars="189"/>
        <w:rPr>
          <w:rFonts w:ascii="仿宋" w:hAnsi="仿宋" w:eastAsia="仿宋" w:cs="仿宋"/>
          <w:sz w:val="30"/>
          <w:szCs w:val="30"/>
        </w:rPr>
      </w:pPr>
      <w:r>
        <w:rPr>
          <w:rFonts w:hint="eastAsia" w:ascii="仿宋" w:hAnsi="仿宋" w:eastAsia="仿宋" w:cs="仿宋"/>
          <w:sz w:val="30"/>
          <w:szCs w:val="30"/>
        </w:rPr>
        <w:t>2021年部门或单位所属各单位政府采购总额</w:t>
      </w:r>
      <w:r>
        <w:rPr>
          <w:rFonts w:hint="eastAsia" w:ascii="仿宋" w:hAnsi="仿宋" w:eastAsia="仿宋" w:cs="仿宋"/>
          <w:sz w:val="30"/>
          <w:szCs w:val="30"/>
          <w:u w:val="none"/>
        </w:rPr>
        <w:t>1917.91</w:t>
      </w:r>
      <w:r>
        <w:rPr>
          <w:rFonts w:hint="eastAsia" w:ascii="仿宋" w:hAnsi="仿宋" w:eastAsia="仿宋" w:cs="仿宋"/>
          <w:sz w:val="30"/>
          <w:szCs w:val="30"/>
        </w:rPr>
        <w:t>万元，其中：政府采购货物预算</w:t>
      </w:r>
      <w:r>
        <w:rPr>
          <w:rFonts w:hint="eastAsia" w:ascii="仿宋" w:hAnsi="仿宋" w:eastAsia="仿宋" w:cs="仿宋"/>
          <w:sz w:val="30"/>
          <w:szCs w:val="30"/>
          <w:u w:val="none"/>
        </w:rPr>
        <w:t>1917.91</w:t>
      </w:r>
      <w:r>
        <w:rPr>
          <w:rFonts w:hint="eastAsia" w:ascii="仿宋" w:hAnsi="仿宋" w:eastAsia="仿宋" w:cs="仿宋"/>
          <w:sz w:val="30"/>
          <w:szCs w:val="30"/>
        </w:rPr>
        <w:t>万元、政府采购工程预算</w:t>
      </w:r>
      <w:r>
        <w:rPr>
          <w:rFonts w:hint="eastAsia" w:ascii="仿宋" w:hAnsi="仿宋" w:eastAsia="仿宋" w:cs="仿宋"/>
          <w:sz w:val="30"/>
          <w:szCs w:val="30"/>
          <w:u w:val="none"/>
        </w:rPr>
        <w:t xml:space="preserve"> 0  </w:t>
      </w:r>
      <w:r>
        <w:rPr>
          <w:rFonts w:hint="eastAsia" w:ascii="仿宋" w:hAnsi="仿宋" w:eastAsia="仿宋" w:cs="仿宋"/>
          <w:sz w:val="30"/>
          <w:szCs w:val="30"/>
          <w:u w:val="single"/>
        </w:rPr>
        <w:t xml:space="preserve"> </w:t>
      </w:r>
      <w:r>
        <w:rPr>
          <w:rFonts w:hint="eastAsia" w:ascii="仿宋" w:hAnsi="仿宋" w:eastAsia="仿宋" w:cs="仿宋"/>
          <w:sz w:val="30"/>
          <w:szCs w:val="30"/>
        </w:rPr>
        <w:t>万元、政府采购服务预算</w:t>
      </w:r>
      <w:r>
        <w:rPr>
          <w:rFonts w:hint="eastAsia" w:ascii="仿宋" w:hAnsi="仿宋" w:eastAsia="仿宋" w:cs="仿宋"/>
          <w:sz w:val="30"/>
          <w:szCs w:val="30"/>
          <w:u w:val="none"/>
        </w:rPr>
        <w:t>0</w:t>
      </w:r>
      <w:r>
        <w:rPr>
          <w:rFonts w:hint="eastAsia" w:ascii="仿宋" w:hAnsi="仿宋" w:eastAsia="仿宋" w:cs="仿宋"/>
          <w:sz w:val="30"/>
          <w:szCs w:val="30"/>
        </w:rPr>
        <w:t>万元。</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w:t>
      </w:r>
      <w:r>
        <w:rPr>
          <w:rFonts w:hint="eastAsia" w:ascii="仿宋" w:hAnsi="仿宋" w:eastAsia="仿宋" w:cs="仿宋"/>
          <w:b/>
          <w:bCs/>
          <w:sz w:val="30"/>
          <w:szCs w:val="30"/>
          <w:lang w:val="en-US" w:eastAsia="zh-CN"/>
        </w:rPr>
        <w:t>八</w:t>
      </w:r>
      <w:r>
        <w:rPr>
          <w:rFonts w:hint="eastAsia" w:ascii="仿宋" w:hAnsi="仿宋" w:eastAsia="仿宋" w:cs="仿宋"/>
          <w:b/>
          <w:bCs/>
          <w:sz w:val="30"/>
          <w:szCs w:val="30"/>
        </w:rPr>
        <w:t>）国有资产占有使用情况</w:t>
      </w:r>
    </w:p>
    <w:p>
      <w:pPr>
        <w:ind w:firstLine="717" w:firstLineChars="239"/>
        <w:rPr>
          <w:rFonts w:ascii="仿宋" w:hAnsi="仿宋" w:eastAsia="仿宋" w:cs="仿宋"/>
          <w:sz w:val="30"/>
          <w:szCs w:val="30"/>
        </w:rPr>
      </w:pPr>
      <w:r>
        <w:rPr>
          <w:rFonts w:hint="eastAsia" w:ascii="仿宋" w:hAnsi="仿宋" w:eastAsia="仿宋" w:cs="仿宋"/>
          <w:sz w:val="30"/>
          <w:szCs w:val="30"/>
        </w:rPr>
        <w:t>截至202</w:t>
      </w:r>
      <w:r>
        <w:rPr>
          <w:rFonts w:hint="eastAsia" w:ascii="仿宋" w:hAnsi="仿宋" w:eastAsia="仿宋" w:cs="仿宋"/>
          <w:sz w:val="30"/>
          <w:szCs w:val="30"/>
          <w:lang w:val="en-US" w:eastAsia="zh-CN"/>
        </w:rPr>
        <w:t>0</w:t>
      </w:r>
      <w:r>
        <w:rPr>
          <w:rFonts w:hint="eastAsia" w:ascii="仿宋" w:hAnsi="仿宋" w:eastAsia="仿宋" w:cs="仿宋"/>
          <w:sz w:val="30"/>
          <w:szCs w:val="30"/>
        </w:rPr>
        <w:t>年</w:t>
      </w:r>
      <w:r>
        <w:rPr>
          <w:rFonts w:hint="eastAsia" w:ascii="仿宋" w:hAnsi="仿宋" w:eastAsia="仿宋" w:cs="仿宋"/>
          <w:sz w:val="30"/>
          <w:szCs w:val="30"/>
          <w:lang w:val="en-US" w:eastAsia="zh-CN"/>
        </w:rPr>
        <w:t>12</w:t>
      </w:r>
      <w:r>
        <w:rPr>
          <w:rFonts w:hint="eastAsia" w:ascii="仿宋" w:hAnsi="仿宋" w:eastAsia="仿宋" w:cs="仿宋"/>
          <w:sz w:val="30"/>
          <w:szCs w:val="30"/>
        </w:rPr>
        <w:t>月31日、部门共有车辆</w:t>
      </w:r>
      <w:r>
        <w:rPr>
          <w:rFonts w:hint="eastAsia" w:ascii="仿宋" w:hAnsi="仿宋" w:eastAsia="仿宋" w:cs="仿宋"/>
          <w:sz w:val="30"/>
          <w:szCs w:val="30"/>
          <w:u w:val="none"/>
        </w:rPr>
        <w:t xml:space="preserve"> 1 </w:t>
      </w:r>
      <w:r>
        <w:rPr>
          <w:rFonts w:hint="eastAsia" w:ascii="仿宋" w:hAnsi="仿宋" w:eastAsia="仿宋" w:cs="仿宋"/>
          <w:sz w:val="30"/>
          <w:szCs w:val="30"/>
        </w:rPr>
        <w:t>辆、其中：一般公务用车</w:t>
      </w:r>
      <w:r>
        <w:rPr>
          <w:rFonts w:hint="eastAsia" w:ascii="仿宋" w:hAnsi="仿宋" w:eastAsia="仿宋" w:cs="仿宋"/>
          <w:sz w:val="30"/>
          <w:szCs w:val="30"/>
          <w:u w:val="none"/>
        </w:rPr>
        <w:t xml:space="preserve">1 </w:t>
      </w:r>
      <w:r>
        <w:rPr>
          <w:rFonts w:hint="eastAsia" w:ascii="仿宋" w:hAnsi="仿宋" w:eastAsia="仿宋" w:cs="仿宋"/>
          <w:sz w:val="30"/>
          <w:szCs w:val="30"/>
        </w:rPr>
        <w:t>辆、执法执勤用车</w:t>
      </w:r>
      <w:r>
        <w:rPr>
          <w:rFonts w:hint="eastAsia" w:ascii="仿宋" w:hAnsi="仿宋" w:eastAsia="仿宋" w:cs="仿宋"/>
          <w:sz w:val="30"/>
          <w:szCs w:val="30"/>
          <w:u w:val="none"/>
        </w:rPr>
        <w:t xml:space="preserve">0 </w:t>
      </w:r>
      <w:r>
        <w:rPr>
          <w:rFonts w:hint="eastAsia" w:ascii="仿宋" w:hAnsi="仿宋" w:eastAsia="仿宋" w:cs="仿宋"/>
          <w:sz w:val="30"/>
          <w:szCs w:val="30"/>
        </w:rPr>
        <w:t>辆。</w:t>
      </w:r>
    </w:p>
    <w:p>
      <w:pPr>
        <w:ind w:firstLine="600" w:firstLineChars="200"/>
        <w:jc w:val="left"/>
        <w:rPr>
          <w:rFonts w:ascii="仿宋" w:hAnsi="仿宋" w:eastAsia="仿宋" w:cs="仿宋"/>
          <w:sz w:val="30"/>
          <w:szCs w:val="30"/>
        </w:rPr>
      </w:pPr>
      <w:r>
        <w:rPr>
          <w:rFonts w:hint="eastAsia" w:ascii="仿宋" w:hAnsi="仿宋" w:eastAsia="仿宋" w:cs="仿宋"/>
          <w:sz w:val="30"/>
          <w:szCs w:val="30"/>
        </w:rPr>
        <w:t>2021年部门预算安排购置车辆</w:t>
      </w:r>
      <w:r>
        <w:rPr>
          <w:rFonts w:hint="eastAsia" w:ascii="仿宋" w:hAnsi="仿宋" w:eastAsia="仿宋" w:cs="仿宋"/>
          <w:sz w:val="30"/>
          <w:szCs w:val="30"/>
          <w:u w:val="none"/>
        </w:rPr>
        <w:t xml:space="preserve"> 0 </w:t>
      </w:r>
      <w:r>
        <w:rPr>
          <w:rFonts w:hint="eastAsia" w:ascii="仿宋" w:hAnsi="仿宋" w:eastAsia="仿宋" w:cs="仿宋"/>
          <w:sz w:val="30"/>
          <w:szCs w:val="30"/>
        </w:rPr>
        <w:t>辆，安排购置单位价值200万元以上大型设备具体为</w:t>
      </w:r>
      <w:r>
        <w:rPr>
          <w:rFonts w:hint="eastAsia" w:ascii="仿宋" w:hAnsi="仿宋" w:eastAsia="仿宋" w:cs="仿宋"/>
          <w:sz w:val="30"/>
          <w:szCs w:val="30"/>
          <w:lang w:val="en-US" w:eastAsia="zh-CN"/>
        </w:rPr>
        <w:t>0辆</w:t>
      </w:r>
      <w:r>
        <w:rPr>
          <w:rFonts w:hint="eastAsia" w:ascii="仿宋" w:hAnsi="仿宋" w:eastAsia="仿宋" w:cs="仿宋"/>
          <w:sz w:val="30"/>
          <w:szCs w:val="30"/>
        </w:rPr>
        <w:t>。</w:t>
      </w:r>
    </w:p>
    <w:p>
      <w:pPr>
        <w:spacing w:line="600" w:lineRule="exact"/>
        <w:ind w:firstLine="569" w:firstLineChars="189"/>
        <w:rPr>
          <w:rFonts w:hint="default" w:ascii="仿宋" w:hAnsi="仿宋" w:eastAsia="仿宋" w:cs="仿宋"/>
          <w:b/>
          <w:bCs/>
          <w:sz w:val="30"/>
          <w:szCs w:val="30"/>
          <w:lang w:val="en-US" w:eastAsia="zh-CN"/>
        </w:rPr>
      </w:pPr>
      <w:r>
        <w:rPr>
          <w:rFonts w:hint="eastAsia" w:ascii="仿宋" w:hAnsi="仿宋" w:eastAsia="仿宋" w:cs="仿宋"/>
          <w:b/>
          <w:bCs/>
          <w:sz w:val="30"/>
          <w:szCs w:val="30"/>
        </w:rPr>
        <w:t>（</w:t>
      </w:r>
      <w:r>
        <w:rPr>
          <w:rFonts w:hint="eastAsia" w:ascii="仿宋" w:hAnsi="仿宋" w:eastAsia="仿宋" w:cs="仿宋"/>
          <w:b/>
          <w:bCs/>
          <w:sz w:val="30"/>
          <w:szCs w:val="30"/>
          <w:lang w:val="en-US" w:eastAsia="zh-CN"/>
        </w:rPr>
        <w:t>九</w:t>
      </w:r>
      <w:r>
        <w:rPr>
          <w:rFonts w:hint="eastAsia" w:ascii="仿宋" w:hAnsi="仿宋" w:eastAsia="仿宋" w:cs="仿宋"/>
          <w:b/>
          <w:bCs/>
          <w:sz w:val="30"/>
          <w:szCs w:val="30"/>
        </w:rPr>
        <w:t>）绩效目标设置情况</w:t>
      </w: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部门本级）</w:t>
      </w:r>
    </w:p>
    <w:p>
      <w:pPr>
        <w:spacing w:line="560" w:lineRule="exact"/>
        <w:ind w:firstLine="567" w:firstLineChars="189"/>
        <w:rPr>
          <w:rFonts w:hint="eastAsia" w:ascii="仿宋" w:hAnsi="仿宋" w:eastAsia="仿宋" w:cs="仿宋"/>
          <w:sz w:val="30"/>
          <w:szCs w:val="30"/>
        </w:rPr>
      </w:pPr>
      <w:r>
        <w:rPr>
          <w:rFonts w:hint="eastAsia" w:ascii="仿宋" w:hAnsi="仿宋" w:eastAsia="仿宋" w:cs="仿宋"/>
          <w:sz w:val="30"/>
          <w:szCs w:val="30"/>
        </w:rPr>
        <w:t>2021年实行绩效目标管理的项目16个，涉及资金10662.98万元，如下：</w:t>
      </w:r>
    </w:p>
    <w:p>
      <w:pPr>
        <w:pStyle w:val="2"/>
        <w:rPr>
          <w:rFonts w:hint="eastAsia" w:ascii="仿宋" w:hAnsi="仿宋" w:eastAsia="仿宋" w:cs="仿宋"/>
          <w:sz w:val="30"/>
          <w:szCs w:val="30"/>
        </w:rPr>
      </w:pPr>
    </w:p>
    <w:p>
      <w:pPr>
        <w:pStyle w:val="2"/>
        <w:rPr>
          <w:rFonts w:hint="eastAsia" w:ascii="仿宋" w:hAnsi="仿宋" w:eastAsia="仿宋" w:cs="仿宋"/>
          <w:sz w:val="30"/>
          <w:szCs w:val="30"/>
        </w:rPr>
      </w:pPr>
    </w:p>
    <w:p>
      <w:pPr>
        <w:pStyle w:val="2"/>
        <w:rPr>
          <w:rFonts w:hint="eastAsia" w:ascii="仿宋" w:hAnsi="仿宋" w:eastAsia="仿宋" w:cs="仿宋"/>
          <w:sz w:val="30"/>
          <w:szCs w:val="30"/>
        </w:rPr>
      </w:pPr>
    </w:p>
    <w:p>
      <w:pPr>
        <w:pStyle w:val="2"/>
        <w:rPr>
          <w:rFonts w:hint="eastAsia" w:ascii="仿宋" w:hAnsi="仿宋" w:eastAsia="仿宋" w:cs="仿宋"/>
          <w:sz w:val="30"/>
          <w:szCs w:val="30"/>
        </w:rPr>
      </w:pPr>
      <w:bookmarkStart w:id="0" w:name="_GoBack"/>
      <w:bookmarkEnd w:id="0"/>
    </w:p>
    <w:tbl>
      <w:tblPr>
        <w:tblStyle w:val="7"/>
        <w:tblW w:w="9637" w:type="dxa"/>
        <w:tblInd w:w="-459" w:type="dxa"/>
        <w:tblLayout w:type="autofit"/>
        <w:tblCellMar>
          <w:top w:w="0" w:type="dxa"/>
          <w:left w:w="108" w:type="dxa"/>
          <w:bottom w:w="0" w:type="dxa"/>
          <w:right w:w="108" w:type="dxa"/>
        </w:tblCellMar>
      </w:tblPr>
      <w:tblGrid>
        <w:gridCol w:w="436"/>
        <w:gridCol w:w="1130"/>
        <w:gridCol w:w="1684"/>
        <w:gridCol w:w="1298"/>
        <w:gridCol w:w="760"/>
        <w:gridCol w:w="1145"/>
        <w:gridCol w:w="1300"/>
        <w:gridCol w:w="1884"/>
      </w:tblGrid>
      <w:tr>
        <w:tblPrEx>
          <w:tblCellMar>
            <w:top w:w="0" w:type="dxa"/>
            <w:left w:w="108" w:type="dxa"/>
            <w:bottom w:w="0" w:type="dxa"/>
            <w:right w:w="108" w:type="dxa"/>
          </w:tblCellMar>
        </w:tblPrEx>
        <w:trPr>
          <w:trHeight w:val="66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2"/>
              </w:rPr>
            </w:pPr>
            <w:r>
              <w:rPr>
                <w:rFonts w:hint="eastAsia" w:ascii="黑体" w:hAnsi="宋体" w:eastAsia="黑体" w:cs="黑体"/>
                <w:color w:val="000000"/>
                <w:kern w:val="0"/>
                <w:sz w:val="22"/>
              </w:rPr>
              <w:t>序号</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2"/>
              </w:rPr>
            </w:pPr>
            <w:r>
              <w:rPr>
                <w:rFonts w:hint="eastAsia" w:ascii="黑体" w:hAnsi="宋体" w:eastAsia="黑体" w:cs="黑体"/>
                <w:color w:val="000000"/>
                <w:kern w:val="0"/>
                <w:sz w:val="22"/>
              </w:rPr>
              <w:t xml:space="preserve"> 项目名称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2"/>
              </w:rPr>
            </w:pPr>
            <w:r>
              <w:rPr>
                <w:rFonts w:hint="eastAsia" w:ascii="黑体" w:hAnsi="宋体" w:eastAsia="黑体" w:cs="黑体"/>
                <w:color w:val="000000"/>
                <w:kern w:val="0"/>
                <w:sz w:val="22"/>
              </w:rPr>
              <w:t xml:space="preserve"> 项目概述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2"/>
              </w:rPr>
            </w:pPr>
            <w:r>
              <w:rPr>
                <w:rFonts w:hint="eastAsia" w:ascii="黑体" w:hAnsi="宋体" w:eastAsia="黑体" w:cs="黑体"/>
                <w:color w:val="000000"/>
                <w:kern w:val="0"/>
                <w:sz w:val="22"/>
              </w:rPr>
              <w:t xml:space="preserve"> 立项依据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2"/>
              </w:rPr>
            </w:pPr>
            <w:r>
              <w:rPr>
                <w:rFonts w:hint="eastAsia" w:ascii="黑体" w:hAnsi="宋体" w:eastAsia="黑体" w:cs="黑体"/>
                <w:color w:val="000000"/>
                <w:kern w:val="0"/>
                <w:sz w:val="22"/>
              </w:rPr>
              <w:t xml:space="preserve"> 实施主体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2"/>
              </w:rPr>
            </w:pPr>
            <w:r>
              <w:rPr>
                <w:rFonts w:hint="eastAsia" w:ascii="黑体" w:hAnsi="宋体" w:eastAsia="黑体" w:cs="黑体"/>
                <w:color w:val="000000"/>
                <w:kern w:val="0"/>
                <w:sz w:val="22"/>
              </w:rPr>
              <w:t xml:space="preserve"> 实施周期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2"/>
              </w:rPr>
            </w:pPr>
            <w:r>
              <w:rPr>
                <w:rFonts w:hint="eastAsia" w:ascii="黑体" w:hAnsi="宋体" w:eastAsia="黑体" w:cs="黑体"/>
                <w:color w:val="000000"/>
                <w:kern w:val="0"/>
                <w:sz w:val="22"/>
              </w:rPr>
              <w:t xml:space="preserve"> 年度预算安排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color w:val="000000"/>
                <w:sz w:val="22"/>
              </w:rPr>
            </w:pPr>
            <w:r>
              <w:rPr>
                <w:rFonts w:hint="eastAsia" w:ascii="黑体" w:hAnsi="宋体" w:eastAsia="黑体" w:cs="黑体"/>
                <w:color w:val="000000"/>
                <w:kern w:val="0"/>
                <w:sz w:val="22"/>
              </w:rPr>
              <w:t xml:space="preserve"> 年度绩效目标 </w:t>
            </w:r>
          </w:p>
        </w:tc>
      </w:tr>
      <w:tr>
        <w:tblPrEx>
          <w:tblCellMar>
            <w:top w:w="0" w:type="dxa"/>
            <w:left w:w="108" w:type="dxa"/>
            <w:bottom w:w="0" w:type="dxa"/>
            <w:right w:w="108" w:type="dxa"/>
          </w:tblCellMar>
        </w:tblPrEx>
        <w:trPr>
          <w:trHeight w:val="234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“苏区贫困学子关爱工程”贫困学子生活补助等资金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资助红军后代贫困学子及孤儿特困生因生，不让任何一个符合资助条件的孩子因贫困而失学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中共兴国县委办公室  兴国县人民政府办公室关于印发《兴国县“苏区贫困学子关爱工程”资金管理办法》的通知（兴办发【2012】6号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400.00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不让任何一个符合资助条件的红军后代贫困学子及孤儿特困生因贫困而失学 </w:t>
            </w:r>
          </w:p>
        </w:tc>
      </w:tr>
      <w:tr>
        <w:tblPrEx>
          <w:tblCellMar>
            <w:top w:w="0" w:type="dxa"/>
            <w:left w:w="108" w:type="dxa"/>
            <w:bottom w:w="0" w:type="dxa"/>
            <w:right w:w="108" w:type="dxa"/>
          </w:tblCellMar>
        </w:tblPrEx>
        <w:trPr>
          <w:trHeight w:val="168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2</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 w:hAnsi="仿宋" w:eastAsia="仿宋" w:cs="仿宋"/>
                <w:color w:val="000000"/>
                <w:kern w:val="0"/>
                <w:sz w:val="20"/>
                <w:szCs w:val="20"/>
                <w:lang w:eastAsia="zh-CN"/>
              </w:rPr>
            </w:pPr>
          </w:p>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学生营养餐食堂从业人员工资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2021年全年营养改善计划--食堂从业员1066人，补助资金1279.2万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县政府抄告单（兴府办抄字【2014】15号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667.60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2021年全年营养改善计划--食堂从业员1066人，补助资金1279.2万，保障农村义务教育营养餐食堂正常运转 </w:t>
            </w:r>
          </w:p>
        </w:tc>
      </w:tr>
      <w:tr>
        <w:tblPrEx>
          <w:tblCellMar>
            <w:top w:w="0" w:type="dxa"/>
            <w:left w:w="108" w:type="dxa"/>
            <w:bottom w:w="0" w:type="dxa"/>
            <w:right w:w="108" w:type="dxa"/>
          </w:tblCellMar>
        </w:tblPrEx>
        <w:trPr>
          <w:trHeight w:val="264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3</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特岗教师工资福利经费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招聘特岗教师150名，2018至2020年累计在岗特岗教师438名，保障特岗教师的工资福利待遇，使其能扎根乡村学校，为兴国的乡村教育做出更大的贡献。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江西省特岗教师管理办法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1,655.24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招聘特岗教师150名，2018至2020年累计在岗特岗教师438名，保障特岗教师的工资福利待遇，使其能扎根乡村学校，为兴国的乡村教育做出更大的贡献。 </w:t>
            </w:r>
          </w:p>
        </w:tc>
      </w:tr>
      <w:tr>
        <w:tblPrEx>
          <w:tblCellMar>
            <w:top w:w="0" w:type="dxa"/>
            <w:left w:w="108" w:type="dxa"/>
            <w:bottom w:w="0" w:type="dxa"/>
            <w:right w:w="108" w:type="dxa"/>
          </w:tblCellMar>
        </w:tblPrEx>
        <w:trPr>
          <w:trHeight w:val="865"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4</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见习大中专毕业生临时教师经费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保障998名见习大中专毕业生临时教师的工资福利待遇，使其能扎根乡村学校，解决教师不足问题，为兴国的乡村教育做出更大的贡献。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2020年第3次县长办公会纪要(临时教师经费）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2,195.60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保障998名见习大中专毕业生临时教师的工资福利待遇，使其能扎根乡村学校，解决教师不足问题，为兴国的乡村教育做出更大的贡献。 </w:t>
            </w:r>
          </w:p>
        </w:tc>
      </w:tr>
      <w:tr>
        <w:tblPrEx>
          <w:tblCellMar>
            <w:top w:w="0" w:type="dxa"/>
            <w:left w:w="108" w:type="dxa"/>
            <w:bottom w:w="0" w:type="dxa"/>
            <w:right w:w="108" w:type="dxa"/>
          </w:tblCellMar>
        </w:tblPrEx>
        <w:trPr>
          <w:trHeight w:val="214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5</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原画矿退休人员工资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补助原画眉坳钨矿退休教师省社保退休费发放不足部分，确保工资、公务员医疗补助足额发放到位。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江西省人民政府办公厅关于印发省属国有企业自办中小学移交管理有关遗留问题协调会议纪要的通知（赣府厅字【2007】133号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兴国县教育科技体育局兴国县、兴江中心小学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121.46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补助原画眉坳钨矿退休教师省社保退休费发放不足部分，确保工资、公务员医疗补助足额发放到位。 </w:t>
            </w:r>
          </w:p>
        </w:tc>
      </w:tr>
      <w:tr>
        <w:tblPrEx>
          <w:tblCellMar>
            <w:top w:w="0" w:type="dxa"/>
            <w:left w:w="108" w:type="dxa"/>
            <w:bottom w:w="0" w:type="dxa"/>
            <w:right w:w="108" w:type="dxa"/>
          </w:tblCellMar>
        </w:tblPrEx>
        <w:trPr>
          <w:trHeight w:val="228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6</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学前教育资助县配套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教育公平显著提升，满足家庭经济困难幼儿基本学习生活需要；解决适龄儿童入园难、入园贵问题。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江西省人民政府办公厅关于印发江西省教育扶贫工程实施方案的通知（赣府厅字[2016]87号）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450.00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目标1：学前教育困难幼儿资助按规定得到落实；目标2：教育公平显著提升，满足家庭经济困难幼儿基本学习生活需要；目标3：解决适龄儿童入园难、入园贵问题。 </w:t>
            </w:r>
          </w:p>
        </w:tc>
      </w:tr>
      <w:tr>
        <w:tblPrEx>
          <w:tblCellMar>
            <w:top w:w="0" w:type="dxa"/>
            <w:left w:w="108" w:type="dxa"/>
            <w:bottom w:w="0" w:type="dxa"/>
            <w:right w:w="108" w:type="dxa"/>
          </w:tblCellMar>
        </w:tblPrEx>
        <w:trPr>
          <w:trHeight w:val="150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7</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贫困家庭高考入学政府资助县配套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完成高考入学政府资助人数1100人，帮助贫困学生录取大学后顺利就读。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江西省人民政府办公厅关于印发江西省教育扶贫工程实施方案的通知（赣府厅字[2016]87号）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198.00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完成高考入学政府资助人数1100人，帮助贫困学生录取大学后顺利就读。 </w:t>
            </w:r>
          </w:p>
        </w:tc>
      </w:tr>
      <w:tr>
        <w:tblPrEx>
          <w:tblCellMar>
            <w:top w:w="0" w:type="dxa"/>
            <w:left w:w="108" w:type="dxa"/>
            <w:bottom w:w="0" w:type="dxa"/>
            <w:right w:w="108" w:type="dxa"/>
          </w:tblCellMar>
        </w:tblPrEx>
        <w:trPr>
          <w:trHeight w:val="228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8</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义务教育寄宿生补助县配套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确保义务教育阶段建档立卡学生资助全覆盖，杜绝义务教育阶段贫困学生因贫辍学。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江西省人民政府办公厅关于印发江西省教育扶贫工程实施方案的通知（赣府厅字[2016]87号）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563.70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发放义务教育阶段寄宿生9500人，发放寄宿生补助资金1600万元。确保义务教育阶段建档立卡学生资助全覆盖，杜绝义务教育阶段贫困学生因贫辍学。 </w:t>
            </w:r>
          </w:p>
        </w:tc>
      </w:tr>
      <w:tr>
        <w:tblPrEx>
          <w:tblCellMar>
            <w:top w:w="0" w:type="dxa"/>
            <w:left w:w="108" w:type="dxa"/>
            <w:bottom w:w="0" w:type="dxa"/>
            <w:right w:w="108" w:type="dxa"/>
          </w:tblCellMar>
        </w:tblPrEx>
        <w:trPr>
          <w:trHeight w:val="816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9</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义务教育公用经费县配套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保障全县义务教育阶段学校正常运转、完成教育教学活动和其他日常工作任务等方面的支出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关于印发江西省教育领域省与市县财政事权和支出责任划分改革实施方案的通知（赣财教【2020】2号）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668.40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全县义务教育阶段学校正常运转、完成教育教学活动和其他日常工作任务等方面的支出，该经费的具体开支范围是：教学业务与管理、教学竞赛、教学质量提升及第三方评价的政府购买服务、办公、会议、印刷、教师培训、实验实习、文体活动、水电、取暖、交通差旅、邮电、教育信息化网络费用、仪器设备及图书资料等购置、学生课桌凳、床铺、食堂设施设备的零星补充购置及维修维护，房屋、建筑物、校园内道路、围墙、大门、运动场地、教室内教师讲台及仪器设备的日常维修维护，学校勤工俭学购买生产设备和工具、校园绿化美化、校园文化建设、学生健康体检、校方责任保险、初中学历水平考试报名、公务接待费，非财政供养人员经费等。 </w:t>
            </w:r>
          </w:p>
        </w:tc>
      </w:tr>
      <w:tr>
        <w:tblPrEx>
          <w:tblCellMar>
            <w:top w:w="0" w:type="dxa"/>
            <w:left w:w="108" w:type="dxa"/>
            <w:bottom w:w="0" w:type="dxa"/>
            <w:right w:w="108" w:type="dxa"/>
          </w:tblCellMar>
        </w:tblPrEx>
        <w:trPr>
          <w:trHeight w:val="674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10</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普通公办高中生均公用经费（县配套）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保障全县4所公办普通高中正常运转、完成教育教学活动和其他日常工作任务等方面的支出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江西省财政厅江西省教育厅关于制定普通高中生均公用经费标准的通知（赣财教[2018]19号）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1,160.00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全县4所公办普通高中正常运转、完成教育教学活动和其他日常工作任务等方面的支出，该经费的具体开支范围是：教学业务与管理、教学竞赛、教学质量提升及第三方评价的政府购买服务、办公、会议、印刷、教师培训、实验实习、文体活动、水电、取暖、交通差旅、邮电、教育信息化网络费用、仪器设备及图书资料等购置、学生课桌凳、床铺、食堂设施设备的零星补充购置及维修维护，房屋、建筑物、校园内道路、围墙、大门、运动场地、教室内教师讲台及仪器设备的日常维修维护，缓解高中学校运转压力。 </w:t>
            </w:r>
          </w:p>
        </w:tc>
      </w:tr>
      <w:tr>
        <w:tblPrEx>
          <w:tblCellMar>
            <w:top w:w="0" w:type="dxa"/>
            <w:left w:w="108" w:type="dxa"/>
            <w:bottom w:w="0" w:type="dxa"/>
            <w:right w:w="108" w:type="dxa"/>
          </w:tblCellMar>
        </w:tblPrEx>
        <w:trPr>
          <w:trHeight w:val="558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11</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公办幼儿园生均公用经费（县配套）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保障全县244所公办幼儿园正常运转、完成教育教学活动和其他日常工作任务等方面的支出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江西省财政厅、省教育厅关于制定学前教育生均公用经费标准的通知（赣财教【2018】18号）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547.60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全县244所公办幼儿园正常运转、完成教育教学活动和其他日常工作任务等方面的支出，该经费的具体开支范围是：办公、会议、印刷、教师培训、实验实习、文体活动、水电、取暖、交通差旅、邮电、教育信息化网络费用、仪器设备及图书资料等购置、学生课桌凳、床铺、食堂设施设备的零星补充购置及维修维护，房屋、建筑物、校园内道路、围墙、大门、运动场地、仪器设备的日常维修维护，缓解幼儿园运转压力。 </w:t>
            </w:r>
          </w:p>
        </w:tc>
      </w:tr>
      <w:tr>
        <w:tblPrEx>
          <w:tblCellMar>
            <w:top w:w="0" w:type="dxa"/>
            <w:left w:w="108" w:type="dxa"/>
            <w:bottom w:w="0" w:type="dxa"/>
            <w:right w:w="108" w:type="dxa"/>
          </w:tblCellMar>
        </w:tblPrEx>
        <w:trPr>
          <w:trHeight w:val="146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12</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普通高中免学费 </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完成普通高中贫困家庭学生国家资肋人数3100人，确保符合条件高中教育阶段贫困学生应补尽补。 </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江西省人民政府办公厅关于印发江西省教育扶贫工程实施方案的通知（赣府厅字[2016]87号）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111.60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完成普通高中贫困家庭学生国家资肋人数3100人，确保符合条件高中教育阶段贫困学生应补尽补。 </w:t>
            </w:r>
          </w:p>
        </w:tc>
      </w:tr>
      <w:tr>
        <w:tblPrEx>
          <w:tblCellMar>
            <w:top w:w="0" w:type="dxa"/>
            <w:left w:w="108" w:type="dxa"/>
            <w:bottom w:w="0" w:type="dxa"/>
            <w:right w:w="108" w:type="dxa"/>
          </w:tblCellMar>
        </w:tblPrEx>
        <w:trPr>
          <w:trHeight w:val="310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13</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中小学增加绩效工资经费 </w:t>
            </w:r>
          </w:p>
        </w:tc>
        <w:tc>
          <w:tcPr>
            <w:tcW w:w="1731"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保障全县8314名中小学幼儿园教师的年增加绩效工资1560元，提高教师福利待遇，进一步促进教师队伍稳定，使其能更加乐意扎根乡村学校，为兴国的乡村教育做出更大的贡献。 </w:t>
            </w:r>
          </w:p>
        </w:tc>
        <w:tc>
          <w:tcPr>
            <w:tcW w:w="1313"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关于开展全省义务教育教师工资收入落实情况督导的通知(提高教师工资待遇）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1,296.98 </w:t>
            </w:r>
          </w:p>
        </w:tc>
        <w:tc>
          <w:tcPr>
            <w:tcW w:w="1941"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保障全县8314名中小学幼儿园教师的年增加绩效工资1560元，提高教师福利待遇，进一步促进教师队伍稳定，使其能更加乐意扎根乡村学校，为兴国的乡村教育做出更大的贡献。 </w:t>
            </w:r>
          </w:p>
        </w:tc>
      </w:tr>
      <w:tr>
        <w:tblPrEx>
          <w:tblCellMar>
            <w:top w:w="0" w:type="dxa"/>
            <w:left w:w="108" w:type="dxa"/>
            <w:bottom w:w="0" w:type="dxa"/>
            <w:right w:w="108" w:type="dxa"/>
          </w:tblCellMar>
        </w:tblPrEx>
        <w:trPr>
          <w:trHeight w:val="152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14</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2020年先上岗后考证编内教师工资 </w:t>
            </w:r>
          </w:p>
        </w:tc>
        <w:tc>
          <w:tcPr>
            <w:tcW w:w="1731"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保障2020年先上岗后考证编内教师的工资福利待遇，使其能扎根乡村学校，为兴国的乡村教育做出更大的贡献。 </w:t>
            </w:r>
          </w:p>
        </w:tc>
        <w:tc>
          <w:tcPr>
            <w:tcW w:w="1313"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关于同意聘用张依等433人为中小学幼儿园教师的通知（新教师）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116.40 </w:t>
            </w:r>
          </w:p>
        </w:tc>
        <w:tc>
          <w:tcPr>
            <w:tcW w:w="1941"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保障2020年先上岗后考证编内教师的工资福利待遇，使其能扎根乡村学校，为兴国的乡村教育做出更大的贡献。 </w:t>
            </w:r>
          </w:p>
        </w:tc>
      </w:tr>
      <w:tr>
        <w:tblPrEx>
          <w:tblCellMar>
            <w:top w:w="0" w:type="dxa"/>
            <w:left w:w="108" w:type="dxa"/>
            <w:bottom w:w="0" w:type="dxa"/>
            <w:right w:w="108" w:type="dxa"/>
          </w:tblCellMar>
        </w:tblPrEx>
        <w:trPr>
          <w:trHeight w:val="154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15</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备案制幼儿教师工资经费 </w:t>
            </w:r>
          </w:p>
        </w:tc>
        <w:tc>
          <w:tcPr>
            <w:tcW w:w="1731"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保障备案制幼儿教师的工资福利待遇，使其能扎根乡村学校，为兴国的乡村教育做出更大的贡献。 </w:t>
            </w:r>
          </w:p>
        </w:tc>
        <w:tc>
          <w:tcPr>
            <w:tcW w:w="1313"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关于同意聘用张依等433人为中小学幼儿园教师的通知（新教师）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322.40 </w:t>
            </w:r>
          </w:p>
        </w:tc>
        <w:tc>
          <w:tcPr>
            <w:tcW w:w="1941"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保障备案制幼儿教师的工资福利待遇，使其能扎根乡村学校，为兴国的乡村教育做出更大的贡献。 </w:t>
            </w:r>
          </w:p>
        </w:tc>
      </w:tr>
      <w:tr>
        <w:tblPrEx>
          <w:tblCellMar>
            <w:top w:w="0" w:type="dxa"/>
            <w:left w:w="108" w:type="dxa"/>
            <w:bottom w:w="0" w:type="dxa"/>
            <w:right w:w="108" w:type="dxa"/>
          </w:tblCellMar>
        </w:tblPrEx>
        <w:trPr>
          <w:trHeight w:val="1660" w:hRule="atLeast"/>
        </w:trPr>
        <w:tc>
          <w:tcPr>
            <w:tcW w:w="2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16</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2021年新招聘教师养老保险、医保 </w:t>
            </w:r>
          </w:p>
        </w:tc>
        <w:tc>
          <w:tcPr>
            <w:tcW w:w="1731"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保障2021年新招聘教师9-12月社保、医保经费，使其能扎根乡村学校，为兴国的乡村教育做出更大的贡献。 </w:t>
            </w:r>
          </w:p>
        </w:tc>
        <w:tc>
          <w:tcPr>
            <w:tcW w:w="1313"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关于同意聘用张依等433人为中小学幼儿园教师的通知（新教师）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兴国县教育科技体育局、各项目学校 </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2021年1月至12月 </w:t>
            </w:r>
          </w:p>
        </w:tc>
        <w:tc>
          <w:tcPr>
            <w:tcW w:w="1314"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188.00 </w:t>
            </w:r>
          </w:p>
        </w:tc>
        <w:tc>
          <w:tcPr>
            <w:tcW w:w="1941" w:type="dxa"/>
            <w:tcBorders>
              <w:top w:val="single" w:color="000000" w:sz="4" w:space="0"/>
              <w:left w:val="nil"/>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 xml:space="preserve"> 保障2021年新招聘教师9-12月社保、医保经费，使其能扎根乡村学校，为兴国的乡村教育做出更大的贡献。 </w:t>
            </w:r>
          </w:p>
        </w:tc>
      </w:tr>
      <w:tr>
        <w:tblPrEx>
          <w:tblCellMar>
            <w:top w:w="0" w:type="dxa"/>
            <w:left w:w="108" w:type="dxa"/>
            <w:bottom w:w="0" w:type="dxa"/>
            <w:right w:w="108" w:type="dxa"/>
          </w:tblCellMar>
        </w:tblPrEx>
        <w:trPr>
          <w:trHeight w:val="660" w:hRule="atLeast"/>
        </w:trPr>
        <w:tc>
          <w:tcPr>
            <w:tcW w:w="638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b/>
                <w:bCs/>
                <w:color w:val="000000"/>
                <w:sz w:val="20"/>
                <w:szCs w:val="20"/>
              </w:rPr>
            </w:pPr>
            <w:r>
              <w:rPr>
                <w:rFonts w:hint="eastAsia" w:ascii="黑体" w:hAnsi="宋体" w:eastAsia="黑体" w:cs="黑体"/>
                <w:b/>
                <w:bCs/>
                <w:color w:val="000000"/>
                <w:kern w:val="0"/>
                <w:sz w:val="20"/>
                <w:szCs w:val="20"/>
              </w:rPr>
              <w:t xml:space="preserve"> 小计 </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黑体" w:hAnsi="宋体" w:eastAsia="黑体" w:cs="黑体"/>
                <w:b/>
                <w:bCs/>
                <w:color w:val="000000"/>
                <w:sz w:val="18"/>
                <w:szCs w:val="18"/>
              </w:rPr>
            </w:pPr>
            <w:r>
              <w:rPr>
                <w:rFonts w:hint="eastAsia" w:ascii="黑体" w:hAnsi="宋体" w:eastAsia="黑体" w:cs="黑体"/>
                <w:b/>
                <w:bCs/>
                <w:color w:val="000000"/>
                <w:kern w:val="0"/>
                <w:sz w:val="18"/>
                <w:szCs w:val="18"/>
              </w:rPr>
              <w:t xml:space="preserve"> 10,662.98 </w:t>
            </w:r>
          </w:p>
        </w:tc>
        <w:tc>
          <w:tcPr>
            <w:tcW w:w="1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黑体" w:hAnsi="宋体" w:eastAsia="黑体" w:cs="黑体"/>
                <w:b/>
                <w:bCs/>
                <w:color w:val="000000"/>
                <w:sz w:val="20"/>
                <w:szCs w:val="20"/>
              </w:rPr>
            </w:pPr>
          </w:p>
        </w:tc>
      </w:tr>
    </w:tbl>
    <w:p>
      <w:pPr>
        <w:pStyle w:val="6"/>
        <w:widowControl/>
        <w:shd w:val="clear" w:color="auto" w:fill="FFFFFF"/>
        <w:spacing w:line="600" w:lineRule="atLeast"/>
        <w:ind w:firstLine="602"/>
        <w:rPr>
          <w:rFonts w:ascii="仿宋" w:hAnsi="仿宋" w:eastAsia="仿宋" w:cs="仿宋"/>
          <w:b/>
          <w:bCs/>
          <w:sz w:val="32"/>
          <w:szCs w:val="32"/>
        </w:rPr>
      </w:pPr>
      <w:r>
        <w:rPr>
          <w:rFonts w:hint="eastAsia" w:ascii="仿宋" w:hAnsi="仿宋" w:eastAsia="仿宋" w:cs="仿宋"/>
          <w:b/>
          <w:bCs/>
          <w:sz w:val="30"/>
          <w:szCs w:val="30"/>
          <w:shd w:val="clear" w:color="auto" w:fill="FFFFFF"/>
        </w:rPr>
        <w:t>其中：</w:t>
      </w:r>
      <w:r>
        <w:rPr>
          <w:rFonts w:hint="eastAsia" w:ascii="仿宋" w:hAnsi="仿宋" w:eastAsia="仿宋" w:cs="仿宋"/>
          <w:b/>
          <w:bCs/>
          <w:sz w:val="32"/>
          <w:szCs w:val="32"/>
        </w:rPr>
        <w:t>城乡义务教育公用经费县配套项目（绩效申报表详见附表）</w:t>
      </w:r>
    </w:p>
    <w:p>
      <w:pPr>
        <w:ind w:firstLine="643" w:firstLineChars="200"/>
        <w:rPr>
          <w:rFonts w:ascii="仿宋" w:hAnsi="仿宋" w:eastAsia="仿宋" w:cs="仿宋"/>
          <w:sz w:val="32"/>
          <w:szCs w:val="32"/>
        </w:rPr>
      </w:pPr>
      <w:r>
        <w:rPr>
          <w:rFonts w:hint="eastAsia" w:ascii="仿宋" w:hAnsi="仿宋" w:eastAsia="仿宋" w:cs="仿宋"/>
          <w:b/>
          <w:bCs/>
          <w:sz w:val="32"/>
          <w:szCs w:val="32"/>
        </w:rPr>
        <w:t>1.项目概述:</w:t>
      </w:r>
      <w:r>
        <w:rPr>
          <w:rFonts w:hint="eastAsia" w:ascii="仿宋" w:hAnsi="仿宋" w:eastAsia="仿宋" w:cs="仿宋"/>
          <w:sz w:val="32"/>
          <w:szCs w:val="32"/>
        </w:rPr>
        <w:t>保障全县义务教育阶段学校正常运转、完成教育教学活动和其他日常工作任务等方面的支出，该经费的具体开支范围是：教学业务与管理、教学竞赛、教学质量提升及第三方评价的政府购买服务、办公、会议、印刷、教师培训、实验实习、文体活动、水电、取暖、交通差旅、邮电、教育信息化网络费用、仪器设备及图书资料等购置、学生课桌凳、床铺、食堂设施设备的零星补充购置及维修维护，房屋、建筑物、校园内道路、围墙、大门、运动场地、教室内教师讲台及仪器设备的日常维修维护，学校勤工俭学购买生产设备和工具、校园绿化美化、校园文化建设、学生健康体检、校方责任保险、初中学历水平考试报名、公务接待费，非财政供养人员经费等。</w:t>
      </w:r>
    </w:p>
    <w:p>
      <w:pPr>
        <w:ind w:firstLine="643" w:firstLineChars="200"/>
        <w:rPr>
          <w:rFonts w:ascii="仿宋" w:hAnsi="仿宋" w:eastAsia="仿宋" w:cs="仿宋"/>
          <w:sz w:val="32"/>
          <w:szCs w:val="32"/>
        </w:rPr>
      </w:pPr>
      <w:r>
        <w:rPr>
          <w:rFonts w:hint="eastAsia" w:ascii="仿宋" w:hAnsi="仿宋" w:eastAsia="仿宋" w:cs="仿宋"/>
          <w:b/>
          <w:bCs/>
          <w:sz w:val="32"/>
          <w:szCs w:val="32"/>
        </w:rPr>
        <w:t>2.立项依据:</w:t>
      </w:r>
      <w:r>
        <w:rPr>
          <w:rFonts w:hint="eastAsia" w:ascii="仿宋" w:hAnsi="仿宋" w:eastAsia="仿宋" w:cs="仿宋"/>
          <w:sz w:val="32"/>
          <w:szCs w:val="32"/>
        </w:rPr>
        <w:t>《江西省人民政府关于进一步完善城乡义务教育经费保障机制的实施意见》和《关于印发江西省教育领域省与市县财政事权和支出责任划分改革实施方案的通知》（赣财教【2020】2号）文件要求，设立该项目。</w:t>
      </w:r>
    </w:p>
    <w:p>
      <w:pPr>
        <w:ind w:firstLine="643" w:firstLineChars="200"/>
        <w:rPr>
          <w:rFonts w:ascii="仿宋" w:hAnsi="仿宋" w:eastAsia="仿宋" w:cs="仿宋"/>
          <w:sz w:val="32"/>
          <w:szCs w:val="32"/>
        </w:rPr>
      </w:pPr>
      <w:r>
        <w:rPr>
          <w:rFonts w:hint="eastAsia" w:ascii="仿宋" w:hAnsi="仿宋" w:eastAsia="仿宋" w:cs="仿宋"/>
          <w:b/>
          <w:bCs/>
          <w:sz w:val="32"/>
          <w:szCs w:val="32"/>
        </w:rPr>
        <w:t>3.实施主体</w:t>
      </w:r>
      <w:r>
        <w:rPr>
          <w:rFonts w:hint="eastAsia" w:ascii="仿宋" w:hAnsi="仿宋" w:eastAsia="仿宋" w:cs="仿宋"/>
          <w:sz w:val="32"/>
          <w:szCs w:val="32"/>
        </w:rPr>
        <w:t>:全县440所义务教育学校。</w:t>
      </w:r>
    </w:p>
    <w:p>
      <w:pPr>
        <w:ind w:firstLine="643" w:firstLineChars="200"/>
        <w:rPr>
          <w:rFonts w:ascii="仿宋" w:hAnsi="仿宋" w:eastAsia="仿宋" w:cs="仿宋"/>
          <w:sz w:val="32"/>
          <w:szCs w:val="32"/>
        </w:rPr>
      </w:pPr>
      <w:r>
        <w:rPr>
          <w:rFonts w:hint="eastAsia" w:ascii="仿宋" w:hAnsi="仿宋" w:eastAsia="仿宋" w:cs="仿宋"/>
          <w:b/>
          <w:bCs/>
          <w:sz w:val="32"/>
          <w:szCs w:val="32"/>
        </w:rPr>
        <w:t>4.实施周期</w:t>
      </w:r>
      <w:r>
        <w:rPr>
          <w:rFonts w:hint="eastAsia" w:ascii="仿宋" w:hAnsi="仿宋" w:eastAsia="仿宋" w:cs="仿宋"/>
          <w:sz w:val="32"/>
          <w:szCs w:val="32"/>
        </w:rPr>
        <w:t>：2021年1月1日至2021年12月31日。</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5.年度预算安排：668.4万元。</w:t>
      </w:r>
    </w:p>
    <w:p>
      <w:pPr>
        <w:spacing w:line="560" w:lineRule="exact"/>
        <w:ind w:firstLine="607" w:firstLineChars="189"/>
        <w:rPr>
          <w:rFonts w:ascii="仿宋" w:hAnsi="仿宋" w:eastAsia="仿宋" w:cs="仿宋"/>
          <w:sz w:val="30"/>
          <w:szCs w:val="30"/>
        </w:rPr>
      </w:pPr>
      <w:r>
        <w:rPr>
          <w:rFonts w:hint="eastAsia" w:ascii="仿宋" w:hAnsi="仿宋" w:eastAsia="仿宋" w:cs="仿宋"/>
          <w:b/>
          <w:bCs/>
          <w:sz w:val="32"/>
          <w:szCs w:val="32"/>
        </w:rPr>
        <w:t>6.年度绩效目标：</w:t>
      </w:r>
      <w:r>
        <w:rPr>
          <w:rFonts w:hint="eastAsia" w:ascii="仿宋" w:hAnsi="仿宋" w:eastAsia="仿宋" w:cs="仿宋"/>
          <w:sz w:val="32"/>
          <w:szCs w:val="32"/>
        </w:rPr>
        <w:t>配套保障全县义务教育阶段学校正常运转、完成教育教学活动和其他日常工作任务等方面的支出。</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二、2021年“三公”经费预算情况说明</w:t>
      </w:r>
    </w:p>
    <w:p>
      <w:pPr>
        <w:ind w:firstLine="567" w:firstLineChars="189"/>
        <w:rPr>
          <w:rFonts w:ascii="仿宋" w:hAnsi="仿宋" w:eastAsia="仿宋" w:cs="仿宋"/>
          <w:sz w:val="30"/>
          <w:szCs w:val="30"/>
        </w:rPr>
      </w:pPr>
      <w:r>
        <w:rPr>
          <w:rFonts w:hint="eastAsia" w:ascii="仿宋" w:hAnsi="仿宋" w:eastAsia="仿宋" w:cs="仿宋"/>
          <w:sz w:val="30"/>
          <w:szCs w:val="30"/>
        </w:rPr>
        <w:t>2021年兴国县教育部门或单位“三公”经费一般公共预算安排354.1万元。其中：</w:t>
      </w:r>
    </w:p>
    <w:p>
      <w:pPr>
        <w:ind w:firstLine="567" w:firstLineChars="189"/>
        <w:rPr>
          <w:rFonts w:ascii="仿宋" w:hAnsi="仿宋" w:eastAsia="仿宋" w:cs="仿宋"/>
          <w:sz w:val="30"/>
          <w:szCs w:val="30"/>
        </w:rPr>
      </w:pPr>
      <w:r>
        <w:rPr>
          <w:rFonts w:hint="eastAsia" w:ascii="仿宋" w:hAnsi="仿宋" w:eastAsia="仿宋" w:cs="仿宋"/>
          <w:sz w:val="30"/>
          <w:szCs w:val="30"/>
        </w:rPr>
        <w:t>因公出国（境）费20万元，比上年增加20万元，主要原因是：兴国中等专业学校做了15万元教师出国交流学习经费，平川中学做了5万元教师出国交流学习经费。</w:t>
      </w:r>
    </w:p>
    <w:p>
      <w:pPr>
        <w:ind w:firstLine="567" w:firstLineChars="189"/>
        <w:rPr>
          <w:rFonts w:ascii="仿宋" w:hAnsi="仿宋" w:eastAsia="仿宋" w:cs="仿宋"/>
          <w:sz w:val="30"/>
          <w:szCs w:val="30"/>
        </w:rPr>
      </w:pPr>
      <w:r>
        <w:rPr>
          <w:rFonts w:hint="eastAsia" w:ascii="仿宋" w:hAnsi="仿宋" w:eastAsia="仿宋" w:cs="仿宋"/>
          <w:sz w:val="30"/>
          <w:szCs w:val="30"/>
        </w:rPr>
        <w:t>公务接待费324.1万元，比上年增加106.88万元，主要原因是：往年预算单位没有按实际支出做好公务接待费的预算，尽量压缩，导致与实际不符。</w:t>
      </w:r>
    </w:p>
    <w:p>
      <w:pPr>
        <w:ind w:firstLine="567" w:firstLineChars="189"/>
        <w:rPr>
          <w:rFonts w:ascii="仿宋" w:hAnsi="仿宋" w:eastAsia="仿宋" w:cs="仿宋"/>
          <w:sz w:val="30"/>
          <w:szCs w:val="30"/>
        </w:rPr>
      </w:pPr>
      <w:r>
        <w:rPr>
          <w:rFonts w:hint="eastAsia" w:ascii="仿宋" w:hAnsi="仿宋" w:eastAsia="仿宋" w:cs="仿宋"/>
          <w:sz w:val="30"/>
          <w:szCs w:val="30"/>
        </w:rPr>
        <w:t>公务用车运行维护费10万元，比上年预算减少5万元，主要原因是：平川中学的公务用车运行维护费预算减少了。</w:t>
      </w:r>
    </w:p>
    <w:p>
      <w:pPr>
        <w:ind w:firstLine="567" w:firstLineChars="189"/>
        <w:rPr>
          <w:rFonts w:ascii="仿宋" w:hAnsi="仿宋" w:eastAsia="仿宋" w:cs="仿宋"/>
          <w:sz w:val="30"/>
          <w:szCs w:val="30"/>
        </w:rPr>
      </w:pPr>
      <w:r>
        <w:rPr>
          <w:rFonts w:hint="eastAsia" w:ascii="仿宋" w:hAnsi="仿宋" w:eastAsia="仿宋" w:cs="仿宋"/>
          <w:sz w:val="30"/>
          <w:szCs w:val="30"/>
        </w:rPr>
        <w:t>公务用车购置费0万元，比上年增（减）0万元，主要</w:t>
      </w:r>
    </w:p>
    <w:p>
      <w:pPr>
        <w:rPr>
          <w:rFonts w:ascii="仿宋" w:hAnsi="仿宋" w:eastAsia="仿宋" w:cs="仿宋"/>
          <w:sz w:val="30"/>
          <w:szCs w:val="30"/>
        </w:rPr>
      </w:pPr>
      <w:r>
        <w:rPr>
          <w:rFonts w:hint="eastAsia" w:ascii="仿宋" w:hAnsi="仿宋" w:eastAsia="仿宋" w:cs="仿宋"/>
          <w:sz w:val="30"/>
          <w:szCs w:val="30"/>
        </w:rPr>
        <w:t>原因是：</w:t>
      </w:r>
      <w:r>
        <w:rPr>
          <w:rFonts w:hint="eastAsia" w:ascii="仿宋" w:hAnsi="仿宋" w:eastAsia="仿宋" w:cs="仿宋"/>
          <w:sz w:val="30"/>
          <w:szCs w:val="30"/>
          <w:lang w:val="en-US" w:eastAsia="zh-CN"/>
        </w:rPr>
        <w:t>未进行公务用车购置</w:t>
      </w:r>
      <w:r>
        <w:rPr>
          <w:rFonts w:hint="eastAsia" w:ascii="仿宋" w:hAnsi="仿宋" w:eastAsia="仿宋" w:cs="仿宋"/>
          <w:sz w:val="30"/>
          <w:szCs w:val="30"/>
        </w:rPr>
        <w:t>。</w:t>
      </w:r>
    </w:p>
    <w:p>
      <w:pPr>
        <w:pStyle w:val="2"/>
        <w:rPr>
          <w:rFonts w:ascii="仿宋" w:hAnsi="仿宋" w:eastAsia="仿宋" w:cs="仿宋"/>
          <w:b/>
          <w:bCs/>
          <w:sz w:val="30"/>
          <w:szCs w:val="30"/>
        </w:rPr>
      </w:pPr>
    </w:p>
    <w:p>
      <w:pPr>
        <w:pStyle w:val="2"/>
        <w:jc w:val="center"/>
        <w:rPr>
          <w:rFonts w:hint="default" w:ascii="仿宋" w:hAnsi="仿宋" w:eastAsia="仿宋_GB2312" w:cs="仿宋"/>
          <w:b/>
          <w:bCs/>
          <w:sz w:val="32"/>
          <w:szCs w:val="32"/>
          <w:lang w:val="en-US" w:eastAsia="zh-CN"/>
        </w:rPr>
      </w:pPr>
      <w:r>
        <w:rPr>
          <w:b/>
          <w:bCs/>
          <w:sz w:val="32"/>
          <w:szCs w:val="32"/>
          <w:lang w:val="en-US" w:bidi="ar-SA"/>
        </w:rPr>
        <w:drawing>
          <wp:anchor distT="0" distB="0" distL="114300" distR="114300" simplePos="0" relativeHeight="251659264" behindDoc="0" locked="0" layoutInCell="1" allowOverlap="0">
            <wp:simplePos x="0" y="0"/>
            <wp:positionH relativeFrom="column">
              <wp:posOffset>-47625</wp:posOffset>
            </wp:positionH>
            <wp:positionV relativeFrom="paragraph">
              <wp:posOffset>533400</wp:posOffset>
            </wp:positionV>
            <wp:extent cx="5267325" cy="7848600"/>
            <wp:effectExtent l="0" t="0" r="9525" b="0"/>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5267325" cy="7848600"/>
                    </a:xfrm>
                    <a:prstGeom prst="rect">
                      <a:avLst/>
                    </a:prstGeom>
                    <a:noFill/>
                    <a:ln>
                      <a:noFill/>
                    </a:ln>
                  </pic:spPr>
                </pic:pic>
              </a:graphicData>
            </a:graphic>
          </wp:anchor>
        </w:drawing>
      </w:r>
      <w:r>
        <w:rPr>
          <w:rFonts w:hint="eastAsia"/>
          <w:b/>
          <w:bCs/>
          <w:sz w:val="32"/>
          <w:szCs w:val="32"/>
          <w:lang w:val="en-US" w:eastAsia="zh-CN" w:bidi="ar-SA"/>
        </w:rPr>
        <w:t>兴国县教育科技体育局2021年部门预算表</w:t>
      </w:r>
    </w:p>
    <w:p>
      <w:pPr>
        <w:pStyle w:val="2"/>
        <w:rPr>
          <w:rFonts w:ascii="仿宋" w:hAnsi="仿宋" w:eastAsia="仿宋" w:cs="仿宋"/>
          <w:b/>
          <w:bCs/>
          <w:sz w:val="30"/>
          <w:szCs w:val="30"/>
        </w:rPr>
      </w:pPr>
      <w:r>
        <w:rPr>
          <w:lang w:val="en-US" w:bidi="ar-SA"/>
        </w:rPr>
        <w:drawing>
          <wp:anchor distT="0" distB="0" distL="114300" distR="114300" simplePos="0" relativeHeight="251660288" behindDoc="0" locked="0" layoutInCell="1" allowOverlap="1">
            <wp:simplePos x="0" y="0"/>
            <wp:positionH relativeFrom="column">
              <wp:posOffset>-219075</wp:posOffset>
            </wp:positionH>
            <wp:positionV relativeFrom="paragraph">
              <wp:posOffset>19050</wp:posOffset>
            </wp:positionV>
            <wp:extent cx="5543550" cy="8239125"/>
            <wp:effectExtent l="9525" t="9525" r="9525" b="19050"/>
            <wp:wrapSquare wrapText="bothSides"/>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6"/>
                    <a:stretch>
                      <a:fillRect/>
                    </a:stretch>
                  </pic:blipFill>
                  <pic:spPr>
                    <a:xfrm>
                      <a:off x="0" y="0"/>
                      <a:ext cx="5543550" cy="8239125"/>
                    </a:xfrm>
                    <a:prstGeom prst="rect">
                      <a:avLst/>
                    </a:prstGeom>
                    <a:noFill/>
                    <a:ln w="9525" cap="flat" cmpd="sng">
                      <a:solidFill>
                        <a:srgbClr val="000000"/>
                      </a:solidFill>
                      <a:prstDash val="solid"/>
                      <a:miter/>
                      <a:headEnd type="none" w="med" len="med"/>
                      <a:tailEnd type="none" w="med" len="med"/>
                    </a:ln>
                  </pic:spPr>
                </pic:pic>
              </a:graphicData>
            </a:graphic>
          </wp:anchor>
        </w:drawing>
      </w:r>
    </w:p>
    <w:p>
      <w:pPr>
        <w:pStyle w:val="2"/>
        <w:rPr>
          <w:rFonts w:ascii="仿宋" w:hAnsi="仿宋" w:eastAsia="仿宋" w:cs="仿宋"/>
          <w:b/>
          <w:bCs/>
          <w:sz w:val="30"/>
          <w:szCs w:val="30"/>
        </w:rPr>
      </w:pPr>
    </w:p>
    <w:p>
      <w:pPr>
        <w:pStyle w:val="2"/>
        <w:rPr>
          <w:rFonts w:ascii="仿宋" w:hAnsi="仿宋" w:eastAsia="仿宋" w:cs="仿宋"/>
          <w:b/>
          <w:bCs/>
          <w:sz w:val="30"/>
          <w:szCs w:val="30"/>
        </w:rPr>
      </w:pPr>
      <w:r>
        <w:rPr>
          <w:lang w:val="en-US" w:bidi="ar-SA"/>
        </w:rPr>
        <w:drawing>
          <wp:anchor distT="0" distB="0" distL="114300" distR="114300" simplePos="0" relativeHeight="251661312" behindDoc="1" locked="0" layoutInCell="1" allowOverlap="1">
            <wp:simplePos x="0" y="0"/>
            <wp:positionH relativeFrom="column">
              <wp:posOffset>76200</wp:posOffset>
            </wp:positionH>
            <wp:positionV relativeFrom="paragraph">
              <wp:posOffset>-148590</wp:posOffset>
            </wp:positionV>
            <wp:extent cx="5191125" cy="8020050"/>
            <wp:effectExtent l="9525" t="9525" r="19050" b="9525"/>
            <wp:wrapTight wrapText="bothSides">
              <wp:wrapPolygon>
                <wp:start x="-40" y="-26"/>
                <wp:lineTo x="-40" y="21574"/>
                <wp:lineTo x="119" y="21574"/>
                <wp:lineTo x="19539" y="21574"/>
                <wp:lineTo x="19381" y="21318"/>
                <wp:lineTo x="21600" y="21061"/>
                <wp:lineTo x="21600" y="20959"/>
                <wp:lineTo x="19381" y="20497"/>
                <wp:lineTo x="21600" y="20497"/>
                <wp:lineTo x="21600" y="19830"/>
                <wp:lineTo x="19381" y="19676"/>
                <wp:lineTo x="21600" y="19419"/>
                <wp:lineTo x="21600" y="19317"/>
                <wp:lineTo x="19381" y="18855"/>
                <wp:lineTo x="21600" y="18855"/>
                <wp:lineTo x="21600" y="18188"/>
                <wp:lineTo x="19381" y="18034"/>
                <wp:lineTo x="21600" y="17778"/>
                <wp:lineTo x="21600" y="17675"/>
                <wp:lineTo x="19381" y="17213"/>
                <wp:lineTo x="21600" y="17213"/>
                <wp:lineTo x="21600" y="16546"/>
                <wp:lineTo x="19381" y="16392"/>
                <wp:lineTo x="21600" y="16085"/>
                <wp:lineTo x="21600" y="15982"/>
                <wp:lineTo x="19381" y="15571"/>
                <wp:lineTo x="21600" y="15571"/>
                <wp:lineTo x="21600" y="14905"/>
                <wp:lineTo x="19381" y="14751"/>
                <wp:lineTo x="21600" y="14443"/>
                <wp:lineTo x="21600" y="14340"/>
                <wp:lineTo x="19381" y="13930"/>
                <wp:lineTo x="21600" y="13930"/>
                <wp:lineTo x="21600" y="13263"/>
                <wp:lineTo x="19381" y="13109"/>
                <wp:lineTo x="21600" y="12801"/>
                <wp:lineTo x="21600" y="12698"/>
                <wp:lineTo x="19381" y="12288"/>
                <wp:lineTo x="21600" y="12237"/>
                <wp:lineTo x="21600" y="11621"/>
                <wp:lineTo x="19381" y="11467"/>
                <wp:lineTo x="21600" y="11159"/>
                <wp:lineTo x="21600" y="11057"/>
                <wp:lineTo x="19381" y="10646"/>
                <wp:lineTo x="21600" y="10595"/>
                <wp:lineTo x="21600" y="9979"/>
                <wp:lineTo x="19381" y="9825"/>
                <wp:lineTo x="21600" y="9517"/>
                <wp:lineTo x="21600" y="9415"/>
                <wp:lineTo x="19381" y="9004"/>
                <wp:lineTo x="21600" y="8953"/>
                <wp:lineTo x="21600" y="8286"/>
                <wp:lineTo x="19381" y="8183"/>
                <wp:lineTo x="21600" y="7876"/>
                <wp:lineTo x="21600" y="7773"/>
                <wp:lineTo x="19381" y="7362"/>
                <wp:lineTo x="21600" y="7311"/>
                <wp:lineTo x="21600" y="6644"/>
                <wp:lineTo x="19381" y="6542"/>
                <wp:lineTo x="21600" y="6234"/>
                <wp:lineTo x="21600" y="6131"/>
                <wp:lineTo x="19381" y="5721"/>
                <wp:lineTo x="21600" y="5669"/>
                <wp:lineTo x="21600" y="5002"/>
                <wp:lineTo x="19381" y="4900"/>
                <wp:lineTo x="21600" y="4541"/>
                <wp:lineTo x="21600" y="4438"/>
                <wp:lineTo x="19381" y="4079"/>
                <wp:lineTo x="21600" y="4028"/>
                <wp:lineTo x="21600" y="3309"/>
                <wp:lineTo x="20173" y="3258"/>
                <wp:lineTo x="21521" y="2745"/>
                <wp:lineTo x="21600" y="1821"/>
                <wp:lineTo x="21045" y="1667"/>
                <wp:lineTo x="119" y="1616"/>
                <wp:lineTo x="12484" y="1411"/>
                <wp:lineTo x="12484" y="795"/>
                <wp:lineTo x="119" y="795"/>
                <wp:lineTo x="21600" y="26"/>
                <wp:lineTo x="21600" y="-26"/>
                <wp:lineTo x="-40" y="-26"/>
              </wp:wrapPolygon>
            </wp:wrapTight>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7"/>
                    <a:stretch>
                      <a:fillRect/>
                    </a:stretch>
                  </pic:blipFill>
                  <pic:spPr>
                    <a:xfrm>
                      <a:off x="0" y="0"/>
                      <a:ext cx="5191125" cy="8020050"/>
                    </a:xfrm>
                    <a:prstGeom prst="rect">
                      <a:avLst/>
                    </a:prstGeom>
                    <a:noFill/>
                    <a:ln w="9525" cap="flat" cmpd="sng">
                      <a:solidFill>
                        <a:srgbClr val="000000"/>
                      </a:solidFill>
                      <a:prstDash val="solid"/>
                      <a:miter/>
                      <a:headEnd type="none" w="med" len="med"/>
                      <a:tailEnd type="none" w="med" len="med"/>
                    </a:ln>
                  </pic:spPr>
                </pic:pic>
              </a:graphicData>
            </a:graphic>
          </wp:anchor>
        </w:drawing>
      </w:r>
    </w:p>
    <w:p>
      <w:pPr>
        <w:pStyle w:val="2"/>
        <w:rPr>
          <w:rFonts w:ascii="仿宋" w:hAnsi="仿宋" w:eastAsia="仿宋" w:cs="仿宋"/>
          <w:b/>
          <w:bCs/>
          <w:sz w:val="30"/>
          <w:szCs w:val="30"/>
        </w:rPr>
      </w:pPr>
    </w:p>
    <w:p>
      <w:pPr>
        <w:pStyle w:val="2"/>
        <w:rPr>
          <w:rFonts w:ascii="仿宋" w:hAnsi="仿宋" w:eastAsia="仿宋" w:cs="仿宋"/>
          <w:b/>
          <w:bCs/>
          <w:sz w:val="30"/>
          <w:szCs w:val="30"/>
        </w:rPr>
      </w:pPr>
      <w:r>
        <w:rPr>
          <w:lang w:val="en-US" w:bidi="ar-SA"/>
        </w:rPr>
        <w:drawing>
          <wp:anchor distT="0" distB="0" distL="114300" distR="114300" simplePos="0" relativeHeight="251662336" behindDoc="1" locked="0" layoutInCell="1" allowOverlap="1">
            <wp:simplePos x="0" y="0"/>
            <wp:positionH relativeFrom="column">
              <wp:posOffset>0</wp:posOffset>
            </wp:positionH>
            <wp:positionV relativeFrom="paragraph">
              <wp:posOffset>-47625</wp:posOffset>
            </wp:positionV>
            <wp:extent cx="5429250" cy="8524875"/>
            <wp:effectExtent l="0" t="0" r="0" b="9525"/>
            <wp:wrapTight wrapText="bothSides">
              <wp:wrapPolygon>
                <wp:start x="8867" y="676"/>
                <wp:lineTo x="909" y="1158"/>
                <wp:lineTo x="0" y="1255"/>
                <wp:lineTo x="0" y="21576"/>
                <wp:lineTo x="18493" y="21576"/>
                <wp:lineTo x="21524" y="21190"/>
                <wp:lineTo x="21524" y="1303"/>
                <wp:lineTo x="20160" y="1158"/>
                <wp:lineTo x="12808" y="676"/>
                <wp:lineTo x="8867" y="676"/>
              </wp:wrapPolygon>
            </wp:wrapTight>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8"/>
                    <a:stretch>
                      <a:fillRect/>
                    </a:stretch>
                  </pic:blipFill>
                  <pic:spPr>
                    <a:xfrm>
                      <a:off x="0" y="0"/>
                      <a:ext cx="5429250" cy="8524875"/>
                    </a:xfrm>
                    <a:prstGeom prst="rect">
                      <a:avLst/>
                    </a:prstGeom>
                    <a:noFill/>
                    <a:ln>
                      <a:noFill/>
                    </a:ln>
                  </pic:spPr>
                </pic:pic>
              </a:graphicData>
            </a:graphic>
          </wp:anchor>
        </w:drawing>
      </w:r>
    </w:p>
    <w:p>
      <w:pPr>
        <w:pStyle w:val="2"/>
        <w:rPr>
          <w:rFonts w:ascii="仿宋" w:hAnsi="仿宋" w:eastAsia="仿宋" w:cs="仿宋"/>
          <w:b/>
          <w:bCs/>
          <w:sz w:val="30"/>
          <w:szCs w:val="30"/>
        </w:rPr>
      </w:pPr>
    </w:p>
    <w:p>
      <w:pPr>
        <w:pStyle w:val="2"/>
        <w:rPr>
          <w:rFonts w:ascii="仿宋" w:hAnsi="仿宋" w:eastAsia="仿宋" w:cs="仿宋"/>
          <w:b/>
          <w:bCs/>
          <w:sz w:val="30"/>
          <w:szCs w:val="30"/>
        </w:rPr>
      </w:pPr>
      <w:r>
        <w:rPr>
          <w:lang w:val="en-US" w:bidi="ar-SA"/>
        </w:rPr>
        <w:drawing>
          <wp:anchor distT="0" distB="0" distL="114300" distR="114300" simplePos="0" relativeHeight="251663360" behindDoc="1" locked="0" layoutInCell="1" allowOverlap="1">
            <wp:simplePos x="0" y="0"/>
            <wp:positionH relativeFrom="column">
              <wp:posOffset>9525</wp:posOffset>
            </wp:positionH>
            <wp:positionV relativeFrom="paragraph">
              <wp:posOffset>133350</wp:posOffset>
            </wp:positionV>
            <wp:extent cx="5267325" cy="7877175"/>
            <wp:effectExtent l="0" t="0" r="9525" b="8890"/>
            <wp:wrapTight wrapText="bothSides">
              <wp:wrapPolygon>
                <wp:start x="8593" y="836"/>
                <wp:lineTo x="2344" y="1358"/>
                <wp:lineTo x="0" y="1619"/>
                <wp:lineTo x="0" y="21574"/>
                <wp:lineTo x="17577" y="21574"/>
                <wp:lineTo x="21561" y="21052"/>
                <wp:lineTo x="21561" y="20947"/>
                <wp:lineTo x="17577" y="20895"/>
                <wp:lineTo x="21561" y="20477"/>
                <wp:lineTo x="21561" y="20372"/>
                <wp:lineTo x="17577" y="20059"/>
                <wp:lineTo x="21561" y="19955"/>
                <wp:lineTo x="21561" y="19275"/>
                <wp:lineTo x="17577" y="19223"/>
                <wp:lineTo x="21561" y="18858"/>
                <wp:lineTo x="21561" y="18753"/>
                <wp:lineTo x="17577" y="18387"/>
                <wp:lineTo x="21561" y="18283"/>
                <wp:lineTo x="21561" y="17604"/>
                <wp:lineTo x="17577" y="17552"/>
                <wp:lineTo x="21561" y="17186"/>
                <wp:lineTo x="21561" y="17081"/>
                <wp:lineTo x="17577" y="16716"/>
                <wp:lineTo x="21561" y="16611"/>
                <wp:lineTo x="21561" y="3813"/>
                <wp:lineTo x="19608" y="3448"/>
                <wp:lineTo x="21561" y="3291"/>
                <wp:lineTo x="21561" y="2560"/>
                <wp:lineTo x="15858" y="2507"/>
                <wp:lineTo x="21561" y="2142"/>
                <wp:lineTo x="21561" y="1881"/>
                <wp:lineTo x="21092" y="1672"/>
                <wp:lineTo x="21170" y="1463"/>
                <wp:lineTo x="13280" y="836"/>
                <wp:lineTo x="10234" y="836"/>
                <wp:lineTo x="8593" y="836"/>
              </wp:wrapPolygon>
            </wp:wrapTight>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9"/>
                    <a:stretch>
                      <a:fillRect/>
                    </a:stretch>
                  </pic:blipFill>
                  <pic:spPr>
                    <a:xfrm>
                      <a:off x="0" y="0"/>
                      <a:ext cx="5267325" cy="7877175"/>
                    </a:xfrm>
                    <a:prstGeom prst="rect">
                      <a:avLst/>
                    </a:prstGeom>
                    <a:noFill/>
                    <a:ln>
                      <a:noFill/>
                    </a:ln>
                  </pic:spPr>
                </pic:pic>
              </a:graphicData>
            </a:graphic>
          </wp:anchor>
        </w:drawing>
      </w: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rPr>
      </w:pPr>
      <w:r>
        <w:rPr>
          <w:lang w:val="en-US" w:bidi="ar-SA"/>
        </w:rPr>
        <w:drawing>
          <wp:anchor distT="0" distB="0" distL="114300" distR="114300" simplePos="0" relativeHeight="251664384" behindDoc="1" locked="0" layoutInCell="1" allowOverlap="1">
            <wp:simplePos x="0" y="0"/>
            <wp:positionH relativeFrom="column">
              <wp:posOffset>47625</wp:posOffset>
            </wp:positionH>
            <wp:positionV relativeFrom="paragraph">
              <wp:posOffset>171450</wp:posOffset>
            </wp:positionV>
            <wp:extent cx="5267325" cy="7800975"/>
            <wp:effectExtent l="0" t="0" r="9525" b="8890"/>
            <wp:wrapTight wrapText="bothSides">
              <wp:wrapPolygon>
                <wp:start x="8046" y="1108"/>
                <wp:lineTo x="7421" y="1477"/>
                <wp:lineTo x="7890" y="1899"/>
                <wp:lineTo x="10780" y="1952"/>
                <wp:lineTo x="0" y="2268"/>
                <wp:lineTo x="0" y="21574"/>
                <wp:lineTo x="21561" y="21574"/>
                <wp:lineTo x="21561" y="21468"/>
                <wp:lineTo x="17655" y="21363"/>
                <wp:lineTo x="21561" y="20835"/>
                <wp:lineTo x="21561" y="20730"/>
                <wp:lineTo x="17655" y="20519"/>
                <wp:lineTo x="19999" y="20360"/>
                <wp:lineTo x="21561" y="20044"/>
                <wp:lineTo x="21561" y="13820"/>
                <wp:lineTo x="21405" y="13767"/>
                <wp:lineTo x="17655" y="13767"/>
                <wp:lineTo x="21561" y="13134"/>
                <wp:lineTo x="21561" y="13029"/>
                <wp:lineTo x="17655" y="12923"/>
                <wp:lineTo x="21561" y="12343"/>
                <wp:lineTo x="21561" y="12237"/>
                <wp:lineTo x="17655" y="12079"/>
                <wp:lineTo x="21561" y="11552"/>
                <wp:lineTo x="21561" y="11446"/>
                <wp:lineTo x="17655" y="11235"/>
                <wp:lineTo x="21561" y="10813"/>
                <wp:lineTo x="21561" y="10708"/>
                <wp:lineTo x="17655" y="10391"/>
                <wp:lineTo x="21561" y="10022"/>
                <wp:lineTo x="21561" y="9916"/>
                <wp:lineTo x="17655" y="9547"/>
                <wp:lineTo x="21561" y="9284"/>
                <wp:lineTo x="21561" y="9178"/>
                <wp:lineTo x="17655" y="8703"/>
                <wp:lineTo x="21561" y="8492"/>
                <wp:lineTo x="21561" y="8387"/>
                <wp:lineTo x="17655" y="7859"/>
                <wp:lineTo x="21561" y="7701"/>
                <wp:lineTo x="21561" y="7596"/>
                <wp:lineTo x="17655" y="7015"/>
                <wp:lineTo x="21561" y="6963"/>
                <wp:lineTo x="21561" y="6857"/>
                <wp:lineTo x="17655" y="6171"/>
                <wp:lineTo x="21561" y="6171"/>
                <wp:lineTo x="21561" y="5327"/>
                <wp:lineTo x="18514" y="5327"/>
                <wp:lineTo x="21561" y="4695"/>
                <wp:lineTo x="21561" y="2848"/>
                <wp:lineTo x="21483" y="2268"/>
                <wp:lineTo x="10780" y="1952"/>
                <wp:lineTo x="14218" y="1899"/>
                <wp:lineTo x="14296" y="1108"/>
                <wp:lineTo x="11718" y="1108"/>
                <wp:lineTo x="8046" y="1108"/>
              </wp:wrapPolygon>
            </wp:wrapTight>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0"/>
                    <a:stretch>
                      <a:fillRect/>
                    </a:stretch>
                  </pic:blipFill>
                  <pic:spPr>
                    <a:xfrm>
                      <a:off x="0" y="0"/>
                      <a:ext cx="5267325" cy="7800975"/>
                    </a:xfrm>
                    <a:prstGeom prst="rect">
                      <a:avLst/>
                    </a:prstGeom>
                    <a:noFill/>
                    <a:ln>
                      <a:noFill/>
                    </a:ln>
                  </pic:spPr>
                </pic:pic>
              </a:graphicData>
            </a:graphic>
          </wp:anchor>
        </w:drawing>
      </w: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rPr>
      </w:pPr>
      <w:r>
        <w:rPr>
          <w:lang w:val="en-US" w:bidi="ar-SA"/>
        </w:rPr>
        <w:drawing>
          <wp:anchor distT="0" distB="0" distL="114300" distR="114300" simplePos="0" relativeHeight="251665408" behindDoc="1" locked="0" layoutInCell="1" allowOverlap="1">
            <wp:simplePos x="0" y="0"/>
            <wp:positionH relativeFrom="column">
              <wp:posOffset>-161925</wp:posOffset>
            </wp:positionH>
            <wp:positionV relativeFrom="paragraph">
              <wp:posOffset>361950</wp:posOffset>
            </wp:positionV>
            <wp:extent cx="5448300" cy="3295650"/>
            <wp:effectExtent l="0" t="0" r="0" b="0"/>
            <wp:wrapTight wrapText="bothSides">
              <wp:wrapPolygon>
                <wp:start x="11404" y="2622"/>
                <wp:lineTo x="8610" y="2622"/>
                <wp:lineTo x="8308" y="2872"/>
                <wp:lineTo x="8610" y="4620"/>
                <wp:lineTo x="906" y="5618"/>
                <wp:lineTo x="0" y="5868"/>
                <wp:lineTo x="0" y="19852"/>
                <wp:lineTo x="21524" y="19852"/>
                <wp:lineTo x="21524" y="19477"/>
                <wp:lineTo x="20392" y="19103"/>
                <wp:lineTo x="19183" y="18603"/>
                <wp:lineTo x="21524" y="16980"/>
                <wp:lineTo x="21524" y="16731"/>
                <wp:lineTo x="19183" y="16606"/>
                <wp:lineTo x="19183" y="14608"/>
                <wp:lineTo x="21449" y="14234"/>
                <wp:lineTo x="21524" y="14109"/>
                <wp:lineTo x="20392" y="12610"/>
                <wp:lineTo x="21524" y="11487"/>
                <wp:lineTo x="21449" y="11362"/>
                <wp:lineTo x="19183" y="10613"/>
                <wp:lineTo x="21222" y="10113"/>
                <wp:lineTo x="21222" y="8865"/>
                <wp:lineTo x="20543" y="8490"/>
                <wp:lineTo x="21524" y="7741"/>
                <wp:lineTo x="21524" y="5993"/>
                <wp:lineTo x="20618" y="5743"/>
                <wp:lineTo x="13066" y="4620"/>
                <wp:lineTo x="12990" y="2872"/>
                <wp:lineTo x="12915" y="2622"/>
                <wp:lineTo x="11404" y="2622"/>
              </wp:wrapPolygon>
            </wp:wrapTight>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1"/>
                    <a:stretch>
                      <a:fillRect/>
                    </a:stretch>
                  </pic:blipFill>
                  <pic:spPr>
                    <a:xfrm>
                      <a:off x="0" y="0"/>
                      <a:ext cx="5448300" cy="3295650"/>
                    </a:xfrm>
                    <a:prstGeom prst="rect">
                      <a:avLst/>
                    </a:prstGeom>
                    <a:noFill/>
                    <a:ln>
                      <a:noFill/>
                    </a:ln>
                  </pic:spPr>
                </pic:pic>
              </a:graphicData>
            </a:graphic>
          </wp:anchor>
        </w:drawing>
      </w: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rPr>
      </w:pPr>
      <w:r>
        <w:rPr>
          <w:lang w:val="en-US" w:bidi="ar-SA"/>
        </w:rPr>
        <w:drawing>
          <wp:anchor distT="0" distB="0" distL="114300" distR="114300" simplePos="0" relativeHeight="251666432" behindDoc="1" locked="0" layoutInCell="1" allowOverlap="1">
            <wp:simplePos x="0" y="0"/>
            <wp:positionH relativeFrom="column">
              <wp:posOffset>-152400</wp:posOffset>
            </wp:positionH>
            <wp:positionV relativeFrom="paragraph">
              <wp:posOffset>-408940</wp:posOffset>
            </wp:positionV>
            <wp:extent cx="5448300" cy="2428875"/>
            <wp:effectExtent l="0" t="0" r="0" b="7620"/>
            <wp:wrapTight wrapText="bothSides">
              <wp:wrapPolygon>
                <wp:start x="8836" y="3896"/>
                <wp:lineTo x="7628" y="3896"/>
                <wp:lineTo x="7628" y="6607"/>
                <wp:lineTo x="8836" y="6607"/>
                <wp:lineTo x="906" y="7793"/>
                <wp:lineTo x="0" y="8132"/>
                <wp:lineTo x="0" y="21515"/>
                <wp:lineTo x="21524" y="21515"/>
                <wp:lineTo x="21524" y="21176"/>
                <wp:lineTo x="17597" y="20160"/>
                <wp:lineTo x="21449" y="18805"/>
                <wp:lineTo x="21524" y="18466"/>
                <wp:lineTo x="19636" y="17449"/>
                <wp:lineTo x="21524" y="15925"/>
                <wp:lineTo x="21524" y="15586"/>
                <wp:lineTo x="20165" y="14739"/>
                <wp:lineTo x="21449" y="12706"/>
                <wp:lineTo x="21298" y="12536"/>
                <wp:lineTo x="15936" y="12028"/>
                <wp:lineTo x="19410" y="11351"/>
                <wp:lineTo x="21524" y="10334"/>
                <wp:lineTo x="21524" y="8301"/>
                <wp:lineTo x="20316" y="7962"/>
                <wp:lineTo x="12235" y="6607"/>
                <wp:lineTo x="13972" y="6607"/>
                <wp:lineTo x="13821" y="3896"/>
                <wp:lineTo x="9214" y="3896"/>
                <wp:lineTo x="8836" y="3896"/>
              </wp:wrapPolygon>
            </wp:wrapTight>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12"/>
                    <a:stretch>
                      <a:fillRect/>
                    </a:stretch>
                  </pic:blipFill>
                  <pic:spPr>
                    <a:xfrm>
                      <a:off x="0" y="0"/>
                      <a:ext cx="5448300" cy="2428875"/>
                    </a:xfrm>
                    <a:prstGeom prst="rect">
                      <a:avLst/>
                    </a:prstGeom>
                    <a:noFill/>
                    <a:ln>
                      <a:noFill/>
                    </a:ln>
                  </pic:spPr>
                </pic:pic>
              </a:graphicData>
            </a:graphic>
          </wp:anchor>
        </w:drawing>
      </w: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rPr>
      </w:pPr>
      <w:r>
        <w:rPr>
          <w:lang w:val="en-US" w:bidi="ar-SA"/>
        </w:rPr>
        <w:drawing>
          <wp:inline distT="0" distB="0" distL="114300" distR="114300">
            <wp:extent cx="5271135" cy="7754620"/>
            <wp:effectExtent l="0" t="0" r="5715" b="1778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3"/>
                    <a:stretch>
                      <a:fillRect/>
                    </a:stretch>
                  </pic:blipFill>
                  <pic:spPr>
                    <a:xfrm>
                      <a:off x="0" y="0"/>
                      <a:ext cx="5271135" cy="7754620"/>
                    </a:xfrm>
                    <a:prstGeom prst="rect">
                      <a:avLst/>
                    </a:prstGeom>
                    <a:noFill/>
                    <a:ln>
                      <a:noFill/>
                    </a:ln>
                  </pic:spPr>
                </pic:pic>
              </a:graphicData>
            </a:graphic>
          </wp:inline>
        </w:drawing>
      </w:r>
    </w:p>
    <w:p>
      <w:pPr>
        <w:pStyle w:val="2"/>
        <w:rPr>
          <w:rFonts w:ascii="仿宋" w:hAnsi="仿宋" w:eastAsia="仿宋" w:cs="仿宋"/>
          <w:b/>
          <w:bCs/>
          <w:sz w:val="30"/>
          <w:szCs w:val="30"/>
        </w:rPr>
      </w:pPr>
    </w:p>
    <w:p>
      <w:pPr>
        <w:pStyle w:val="2"/>
        <w:rPr>
          <w:rFonts w:ascii="仿宋" w:hAnsi="仿宋" w:eastAsia="仿宋" w:cs="仿宋"/>
          <w:b/>
          <w:bCs/>
          <w:sz w:val="30"/>
          <w:szCs w:val="30"/>
        </w:rPr>
      </w:pPr>
    </w:p>
    <w:p>
      <w:pPr>
        <w:pStyle w:val="2"/>
        <w:rPr>
          <w:rFonts w:ascii="仿宋" w:hAnsi="仿宋" w:eastAsia="仿宋" w:cs="仿宋"/>
          <w:b/>
          <w:bCs/>
          <w:sz w:val="30"/>
          <w:szCs w:val="30"/>
          <w:lang w:val="en-US"/>
        </w:rPr>
      </w:pPr>
      <w:r>
        <w:rPr>
          <w:lang w:val="en-US" w:bidi="ar-SA"/>
        </w:rPr>
        <w:drawing>
          <wp:inline distT="0" distB="0" distL="114300" distR="114300">
            <wp:extent cx="5267960" cy="8350250"/>
            <wp:effectExtent l="0" t="0" r="8890" b="1270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4"/>
                    <a:stretch>
                      <a:fillRect/>
                    </a:stretch>
                  </pic:blipFill>
                  <pic:spPr>
                    <a:xfrm>
                      <a:off x="0" y="0"/>
                      <a:ext cx="5267960" cy="8350250"/>
                    </a:xfrm>
                    <a:prstGeom prst="rect">
                      <a:avLst/>
                    </a:prstGeom>
                    <a:noFill/>
                    <a:ln>
                      <a:noFill/>
                    </a:ln>
                  </pic:spPr>
                </pic:pic>
              </a:graphicData>
            </a:graphic>
          </wp:inline>
        </w:drawing>
      </w:r>
    </w:p>
    <w:p>
      <w:pPr>
        <w:ind w:firstLine="2226" w:firstLineChars="739"/>
        <w:rPr>
          <w:rFonts w:ascii="仿宋" w:hAnsi="仿宋" w:eastAsia="仿宋" w:cs="仿宋"/>
          <w:b/>
          <w:bCs/>
          <w:sz w:val="30"/>
          <w:szCs w:val="30"/>
        </w:rPr>
      </w:pPr>
    </w:p>
    <w:p>
      <w:pPr>
        <w:ind w:firstLine="2226" w:firstLineChars="739"/>
        <w:rPr>
          <w:rFonts w:ascii="仿宋" w:hAnsi="仿宋" w:eastAsia="仿宋" w:cs="仿宋"/>
          <w:b/>
          <w:bCs/>
          <w:sz w:val="30"/>
          <w:szCs w:val="30"/>
        </w:rPr>
      </w:pPr>
      <w:r>
        <w:rPr>
          <w:rFonts w:hint="eastAsia" w:ascii="仿宋" w:hAnsi="仿宋" w:eastAsia="仿宋" w:cs="仿宋"/>
          <w:b/>
          <w:bCs/>
          <w:sz w:val="30"/>
          <w:szCs w:val="30"/>
        </w:rPr>
        <w:t>第四部分 名词解释</w:t>
      </w:r>
    </w:p>
    <w:p>
      <w:pPr>
        <w:ind w:firstLine="567" w:firstLineChars="189"/>
        <w:jc w:val="center"/>
        <w:rPr>
          <w:rFonts w:ascii="仿宋" w:hAnsi="仿宋" w:eastAsia="仿宋" w:cs="仿宋"/>
          <w:sz w:val="30"/>
          <w:szCs w:val="30"/>
        </w:rPr>
      </w:pP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一、收入科目</w:t>
      </w:r>
    </w:p>
    <w:p>
      <w:pPr>
        <w:ind w:firstLine="567" w:firstLineChars="189"/>
        <w:rPr>
          <w:rFonts w:ascii="仿宋" w:hAnsi="仿宋" w:eastAsia="仿宋" w:cs="仿宋"/>
          <w:sz w:val="30"/>
          <w:szCs w:val="30"/>
        </w:rPr>
      </w:pPr>
      <w:r>
        <w:rPr>
          <w:rFonts w:hint="eastAsia" w:ascii="仿宋" w:hAnsi="仿宋" w:eastAsia="仿宋" w:cs="仿宋"/>
          <w:sz w:val="30"/>
          <w:szCs w:val="30"/>
        </w:rPr>
        <w:t>（一）财政拨款：指县本级财政当年拨付的资金。</w:t>
      </w:r>
    </w:p>
    <w:p>
      <w:pPr>
        <w:ind w:firstLine="567" w:firstLineChars="189"/>
        <w:rPr>
          <w:rFonts w:ascii="仿宋" w:hAnsi="仿宋" w:eastAsia="仿宋" w:cs="仿宋"/>
          <w:sz w:val="30"/>
          <w:szCs w:val="30"/>
        </w:rPr>
      </w:pPr>
      <w:r>
        <w:rPr>
          <w:rFonts w:hint="eastAsia" w:ascii="仿宋" w:hAnsi="仿宋" w:eastAsia="仿宋" w:cs="仿宋"/>
          <w:sz w:val="30"/>
          <w:szCs w:val="30"/>
        </w:rPr>
        <w:t>（二）事业收入：指事业单位开展专业业务活动及辅助活动</w:t>
      </w:r>
    </w:p>
    <w:p>
      <w:pPr>
        <w:rPr>
          <w:rFonts w:ascii="仿宋" w:hAnsi="仿宋" w:eastAsia="仿宋" w:cs="仿宋"/>
          <w:sz w:val="30"/>
          <w:szCs w:val="30"/>
        </w:rPr>
      </w:pPr>
      <w:r>
        <w:rPr>
          <w:rFonts w:hint="eastAsia" w:ascii="仿宋" w:hAnsi="仿宋" w:eastAsia="仿宋" w:cs="仿宋"/>
          <w:sz w:val="30"/>
          <w:szCs w:val="30"/>
        </w:rPr>
        <w:t>取得的收入。</w:t>
      </w:r>
    </w:p>
    <w:p>
      <w:pPr>
        <w:ind w:firstLine="567" w:firstLineChars="189"/>
        <w:rPr>
          <w:rFonts w:ascii="仿宋" w:hAnsi="仿宋" w:eastAsia="仿宋" w:cs="仿宋"/>
          <w:sz w:val="30"/>
          <w:szCs w:val="30"/>
        </w:rPr>
      </w:pPr>
      <w:r>
        <w:rPr>
          <w:rFonts w:hint="eastAsia" w:ascii="仿宋" w:hAnsi="仿宋" w:eastAsia="仿宋" w:cs="仿宋"/>
          <w:sz w:val="30"/>
          <w:szCs w:val="30"/>
        </w:rPr>
        <w:t>（三）事业单位经营收入：指事业单位在专业业务活动及辅</w:t>
      </w:r>
    </w:p>
    <w:p>
      <w:pPr>
        <w:rPr>
          <w:rFonts w:ascii="仿宋" w:hAnsi="仿宋" w:eastAsia="仿宋" w:cs="仿宋"/>
          <w:sz w:val="30"/>
          <w:szCs w:val="30"/>
        </w:rPr>
      </w:pPr>
      <w:r>
        <w:rPr>
          <w:rFonts w:hint="eastAsia" w:ascii="仿宋" w:hAnsi="仿宋" w:eastAsia="仿宋" w:cs="仿宋"/>
          <w:sz w:val="30"/>
          <w:szCs w:val="30"/>
        </w:rPr>
        <w:t>助活动之外开展非独立核算经营活动取得的收入。</w:t>
      </w:r>
    </w:p>
    <w:p>
      <w:pPr>
        <w:ind w:firstLine="567" w:firstLineChars="189"/>
        <w:rPr>
          <w:rFonts w:ascii="仿宋" w:hAnsi="仿宋" w:eastAsia="仿宋" w:cs="仿宋"/>
          <w:sz w:val="30"/>
          <w:szCs w:val="30"/>
        </w:rPr>
      </w:pPr>
      <w:r>
        <w:rPr>
          <w:rFonts w:hint="eastAsia" w:ascii="仿宋" w:hAnsi="仿宋" w:eastAsia="仿宋" w:cs="仿宋"/>
          <w:sz w:val="30"/>
          <w:szCs w:val="30"/>
        </w:rPr>
        <w:t>（四）其他收入：指除财政拨款、事业收入、事业单位经营</w:t>
      </w:r>
    </w:p>
    <w:p>
      <w:pPr>
        <w:rPr>
          <w:rFonts w:ascii="仿宋" w:hAnsi="仿宋" w:eastAsia="仿宋" w:cs="仿宋"/>
          <w:sz w:val="30"/>
          <w:szCs w:val="30"/>
        </w:rPr>
      </w:pPr>
      <w:r>
        <w:rPr>
          <w:rFonts w:hint="eastAsia" w:ascii="仿宋" w:hAnsi="仿宋" w:eastAsia="仿宋" w:cs="仿宋"/>
          <w:sz w:val="30"/>
          <w:szCs w:val="30"/>
        </w:rPr>
        <w:t>收入等以外的各项收入。</w:t>
      </w:r>
    </w:p>
    <w:p>
      <w:pPr>
        <w:ind w:firstLine="567" w:firstLineChars="189"/>
        <w:rPr>
          <w:rFonts w:ascii="仿宋" w:hAnsi="仿宋" w:eastAsia="仿宋" w:cs="仿宋"/>
          <w:sz w:val="30"/>
          <w:szCs w:val="30"/>
        </w:rPr>
      </w:pPr>
      <w:r>
        <w:rPr>
          <w:rFonts w:hint="eastAsia" w:ascii="仿宋" w:hAnsi="仿宋" w:eastAsia="仿宋" w:cs="仿宋"/>
          <w:sz w:val="30"/>
          <w:szCs w:val="30"/>
        </w:rPr>
        <w:t>（五）附属单位上缴收入：反映事业单位附属的独立核算单</w:t>
      </w:r>
    </w:p>
    <w:p>
      <w:pPr>
        <w:rPr>
          <w:rFonts w:ascii="仿宋" w:hAnsi="仿宋" w:eastAsia="仿宋" w:cs="仿宋"/>
          <w:sz w:val="30"/>
          <w:szCs w:val="30"/>
        </w:rPr>
      </w:pPr>
      <w:r>
        <w:rPr>
          <w:rFonts w:hint="eastAsia" w:ascii="仿宋" w:hAnsi="仿宋" w:eastAsia="仿宋" w:cs="仿宋"/>
          <w:sz w:val="30"/>
          <w:szCs w:val="30"/>
        </w:rPr>
        <w:t>位按规定标准或比例缴纳的各项收入。包括附属的事业单位上缴</w:t>
      </w:r>
    </w:p>
    <w:p>
      <w:pPr>
        <w:rPr>
          <w:rFonts w:ascii="仿宋" w:hAnsi="仿宋" w:eastAsia="仿宋" w:cs="仿宋"/>
          <w:sz w:val="30"/>
          <w:szCs w:val="30"/>
        </w:rPr>
      </w:pPr>
      <w:r>
        <w:rPr>
          <w:rFonts w:hint="eastAsia" w:ascii="仿宋" w:hAnsi="仿宋" w:eastAsia="仿宋" w:cs="仿宋"/>
          <w:sz w:val="30"/>
          <w:szCs w:val="30"/>
        </w:rPr>
        <w:t>的收入和附属的企业上缴的利润等。</w:t>
      </w:r>
    </w:p>
    <w:p>
      <w:pPr>
        <w:ind w:firstLine="567" w:firstLineChars="189"/>
        <w:rPr>
          <w:rFonts w:ascii="仿宋" w:hAnsi="仿宋" w:eastAsia="仿宋" w:cs="仿宋"/>
          <w:sz w:val="30"/>
          <w:szCs w:val="30"/>
        </w:rPr>
      </w:pPr>
      <w:r>
        <w:rPr>
          <w:rFonts w:hint="eastAsia" w:ascii="仿宋" w:hAnsi="仿宋" w:eastAsia="仿宋" w:cs="仿宋"/>
          <w:sz w:val="30"/>
          <w:szCs w:val="30"/>
        </w:rPr>
        <w:t>（六）上级补助收入：反映事业单位从主管部门和上级单位</w:t>
      </w:r>
    </w:p>
    <w:p>
      <w:pPr>
        <w:rPr>
          <w:rFonts w:ascii="仿宋" w:hAnsi="仿宋" w:eastAsia="仿宋" w:cs="仿宋"/>
          <w:sz w:val="30"/>
          <w:szCs w:val="30"/>
        </w:rPr>
      </w:pPr>
      <w:r>
        <w:rPr>
          <w:rFonts w:hint="eastAsia" w:ascii="仿宋" w:hAnsi="仿宋" w:eastAsia="仿宋" w:cs="仿宋"/>
          <w:sz w:val="30"/>
          <w:szCs w:val="30"/>
        </w:rPr>
        <w:t>取得的非财政补助收入。</w:t>
      </w:r>
    </w:p>
    <w:p>
      <w:pPr>
        <w:ind w:firstLine="567" w:firstLineChars="189"/>
        <w:rPr>
          <w:rFonts w:ascii="仿宋" w:hAnsi="仿宋" w:eastAsia="仿宋" w:cs="仿宋"/>
          <w:sz w:val="30"/>
          <w:szCs w:val="30"/>
        </w:rPr>
      </w:pPr>
      <w:r>
        <w:rPr>
          <w:rFonts w:hint="eastAsia" w:ascii="仿宋" w:hAnsi="仿宋" w:eastAsia="仿宋" w:cs="仿宋"/>
          <w:sz w:val="30"/>
          <w:szCs w:val="30"/>
        </w:rPr>
        <w:t>（七）使用非财政拨款结余：填列历年滚存的非限定用途的</w:t>
      </w:r>
    </w:p>
    <w:p>
      <w:pPr>
        <w:jc w:val="left"/>
        <w:rPr>
          <w:rFonts w:ascii="仿宋" w:hAnsi="仿宋" w:eastAsia="仿宋" w:cs="仿宋"/>
          <w:sz w:val="30"/>
          <w:szCs w:val="30"/>
        </w:rPr>
      </w:pPr>
      <w:r>
        <w:rPr>
          <w:rFonts w:hint="eastAsia" w:ascii="仿宋" w:hAnsi="仿宋" w:eastAsia="仿宋" w:cs="仿宋"/>
          <w:sz w:val="30"/>
          <w:szCs w:val="30"/>
        </w:rPr>
        <w:t>非统计财政拨款结余弥补2020年收支差额的数额。</w:t>
      </w:r>
    </w:p>
    <w:p>
      <w:pPr>
        <w:ind w:firstLine="567" w:firstLineChars="189"/>
        <w:jc w:val="left"/>
        <w:rPr>
          <w:rFonts w:ascii="仿宋" w:hAnsi="仿宋" w:eastAsia="仿宋" w:cs="仿宋"/>
          <w:sz w:val="30"/>
          <w:szCs w:val="30"/>
        </w:rPr>
      </w:pPr>
      <w:r>
        <w:rPr>
          <w:rFonts w:hint="eastAsia" w:ascii="仿宋" w:hAnsi="仿宋" w:eastAsia="仿宋" w:cs="仿宋"/>
          <w:sz w:val="30"/>
          <w:szCs w:val="30"/>
        </w:rPr>
        <w:t>（八）上年结转和结余：填列2020年全部结转和结余的资金数，包括当年结转结余资金和历年滚存结转结余资金。</w:t>
      </w:r>
    </w:p>
    <w:p>
      <w:pPr>
        <w:ind w:firstLine="569" w:firstLineChars="189"/>
        <w:rPr>
          <w:rFonts w:ascii="仿宋" w:hAnsi="仿宋" w:eastAsia="仿宋" w:cs="仿宋"/>
          <w:b/>
          <w:bCs/>
          <w:sz w:val="30"/>
          <w:szCs w:val="30"/>
        </w:rPr>
      </w:pPr>
      <w:r>
        <w:rPr>
          <w:rFonts w:hint="eastAsia" w:ascii="仿宋" w:hAnsi="仿宋" w:eastAsia="仿宋" w:cs="仿宋"/>
          <w:b/>
          <w:bCs/>
          <w:sz w:val="30"/>
          <w:szCs w:val="30"/>
        </w:rPr>
        <w:t>二、支出科目</w:t>
      </w:r>
    </w:p>
    <w:p>
      <w:pPr>
        <w:ind w:firstLine="567" w:firstLineChars="189"/>
        <w:rPr>
          <w:rFonts w:ascii="仿宋" w:hAnsi="仿宋" w:eastAsia="仿宋" w:cs="仿宋"/>
          <w:sz w:val="30"/>
          <w:szCs w:val="30"/>
        </w:rPr>
      </w:pPr>
      <w:r>
        <w:rPr>
          <w:rFonts w:hint="eastAsia" w:ascii="仿宋" w:hAnsi="仿宋" w:eastAsia="仿宋" w:cs="仿宋"/>
          <w:sz w:val="30"/>
          <w:szCs w:val="30"/>
        </w:rPr>
        <w:t>（一）、基本支出：指为保障机构正常运转、完成日常工作任务而发生的人员支出和公用支出。</w:t>
      </w:r>
      <w:r>
        <w:rPr>
          <w:rFonts w:hint="eastAsia" w:ascii="宋体" w:hAnsi="宋体" w:eastAsia="宋体" w:cs="宋体"/>
          <w:sz w:val="30"/>
          <w:szCs w:val="30"/>
        </w:rPr>
        <w:t> </w:t>
      </w:r>
    </w:p>
    <w:p>
      <w:pPr>
        <w:ind w:firstLine="567" w:firstLineChars="189"/>
        <w:rPr>
          <w:rFonts w:ascii="仿宋" w:hAnsi="仿宋" w:eastAsia="仿宋" w:cs="仿宋"/>
          <w:sz w:val="30"/>
          <w:szCs w:val="30"/>
        </w:rPr>
      </w:pPr>
      <w:r>
        <w:rPr>
          <w:rFonts w:hint="eastAsia" w:ascii="仿宋" w:hAnsi="仿宋" w:eastAsia="仿宋" w:cs="仿宋"/>
          <w:sz w:val="30"/>
          <w:szCs w:val="30"/>
        </w:rPr>
        <w:t>（二）、项目支出：指在基本支出之外为完成特定的行政任务或事业发展目标所发生的支出。</w:t>
      </w:r>
      <w:r>
        <w:rPr>
          <w:rFonts w:hint="eastAsia" w:ascii="宋体" w:hAnsi="宋体" w:eastAsia="宋体" w:cs="宋体"/>
          <w:sz w:val="30"/>
          <w:szCs w:val="30"/>
        </w:rPr>
        <w:t> </w:t>
      </w:r>
    </w:p>
    <w:p>
      <w:pPr>
        <w:ind w:firstLine="567" w:firstLineChars="189"/>
        <w:rPr>
          <w:rFonts w:ascii="仿宋" w:hAnsi="仿宋" w:eastAsia="仿宋" w:cs="仿宋"/>
          <w:sz w:val="30"/>
          <w:szCs w:val="30"/>
        </w:rPr>
      </w:pPr>
      <w:r>
        <w:rPr>
          <w:rFonts w:hint="eastAsia" w:ascii="仿宋" w:hAnsi="仿宋" w:eastAsia="仿宋" w:cs="仿宋"/>
          <w:sz w:val="30"/>
          <w:szCs w:val="30"/>
        </w:rPr>
        <w:t>（三）、上缴上级支出：指事业单位按照财政部门和主管部门的规定上缴上级单位的支出。</w:t>
      </w:r>
    </w:p>
    <w:p>
      <w:pPr>
        <w:ind w:firstLine="567" w:firstLineChars="189"/>
        <w:rPr>
          <w:rFonts w:ascii="仿宋" w:hAnsi="仿宋" w:eastAsia="仿宋" w:cs="仿宋"/>
          <w:sz w:val="30"/>
          <w:szCs w:val="30"/>
        </w:rPr>
      </w:pPr>
      <w:r>
        <w:rPr>
          <w:rFonts w:hint="eastAsia" w:ascii="仿宋" w:hAnsi="仿宋" w:eastAsia="仿宋" w:cs="仿宋"/>
          <w:sz w:val="30"/>
          <w:szCs w:val="30"/>
        </w:rPr>
        <w:t>（四）、经营支出：指事业单位在专业业务活动及其辅助活动之外开展非独立核算经营活动发生的支出。</w:t>
      </w:r>
    </w:p>
    <w:p>
      <w:pPr>
        <w:ind w:firstLine="567" w:firstLineChars="189"/>
        <w:rPr>
          <w:rFonts w:ascii="仿宋" w:hAnsi="仿宋" w:eastAsia="仿宋" w:cs="仿宋"/>
          <w:sz w:val="30"/>
          <w:szCs w:val="30"/>
        </w:rPr>
      </w:pPr>
      <w:r>
        <w:rPr>
          <w:rFonts w:hint="eastAsia" w:ascii="仿宋" w:hAnsi="仿宋" w:eastAsia="仿宋" w:cs="仿宋"/>
          <w:sz w:val="30"/>
          <w:szCs w:val="30"/>
        </w:rPr>
        <w:t>（五）、对附属单位补助支出：指事业单位用财政补助收入之外的收入对附属单位补助发生的支出。</w:t>
      </w:r>
    </w:p>
    <w:p>
      <w:pPr>
        <w:ind w:firstLine="567" w:firstLineChars="189"/>
        <w:rPr>
          <w:rFonts w:ascii="仿宋" w:hAnsi="仿宋" w:eastAsia="仿宋" w:cs="仿宋"/>
          <w:sz w:val="30"/>
          <w:szCs w:val="30"/>
        </w:rPr>
      </w:pPr>
      <w:r>
        <w:rPr>
          <w:rFonts w:hint="eastAsia" w:ascii="仿宋" w:hAnsi="仿宋" w:eastAsia="仿宋" w:cs="仿宋"/>
          <w:sz w:val="30"/>
          <w:szCs w:val="30"/>
        </w:rPr>
        <w:t>（六）、“三公”经费：指各部门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r>
        <w:rPr>
          <w:rFonts w:hint="eastAsia" w:ascii="宋体" w:hAnsi="宋体" w:eastAsia="宋体" w:cs="宋体"/>
          <w:sz w:val="30"/>
          <w:szCs w:val="30"/>
        </w:rPr>
        <w:t> </w:t>
      </w:r>
    </w:p>
    <w:p>
      <w:pPr>
        <w:ind w:firstLine="567" w:firstLineChars="189"/>
        <w:rPr>
          <w:rFonts w:ascii="仿宋" w:hAnsi="仿宋" w:eastAsia="仿宋" w:cs="仿宋"/>
          <w:sz w:val="30"/>
          <w:szCs w:val="30"/>
        </w:rPr>
      </w:pPr>
      <w:r>
        <w:rPr>
          <w:rFonts w:hint="eastAsia" w:ascii="仿宋" w:hAnsi="仿宋" w:eastAsia="仿宋" w:cs="仿宋"/>
          <w:sz w:val="30"/>
          <w:szCs w:val="30"/>
        </w:rPr>
        <w:t>（七）、机关运行经费：指为保障行政单位（含参照公务员法管理的事业单位）运行用于购买货物和服务的各项资金，包括办公费、印刷费、差旅费、会议费、日常维修费、专用材料及办公用房水电费、物业管理费、公务用车运行维护费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Y0ZjBlMDY4ZTY5MzMxNzdiNjQzMzRkYzAwYWY4ZmMifQ=="/>
  </w:docVars>
  <w:rsids>
    <w:rsidRoot w:val="009C0F2D"/>
    <w:rsid w:val="00005D98"/>
    <w:rsid w:val="000211CA"/>
    <w:rsid w:val="000375D5"/>
    <w:rsid w:val="00041C38"/>
    <w:rsid w:val="0005300C"/>
    <w:rsid w:val="00053C0C"/>
    <w:rsid w:val="00054AE0"/>
    <w:rsid w:val="000648F9"/>
    <w:rsid w:val="00086265"/>
    <w:rsid w:val="000C088B"/>
    <w:rsid w:val="000C1C56"/>
    <w:rsid w:val="000D51AE"/>
    <w:rsid w:val="0012583C"/>
    <w:rsid w:val="001504F2"/>
    <w:rsid w:val="0019403E"/>
    <w:rsid w:val="001C5AB3"/>
    <w:rsid w:val="001D49E9"/>
    <w:rsid w:val="00243AC9"/>
    <w:rsid w:val="00251ADC"/>
    <w:rsid w:val="00252368"/>
    <w:rsid w:val="00252C47"/>
    <w:rsid w:val="00281C6F"/>
    <w:rsid w:val="002E0B6A"/>
    <w:rsid w:val="00306B18"/>
    <w:rsid w:val="003976ED"/>
    <w:rsid w:val="003A7A3D"/>
    <w:rsid w:val="003E4A98"/>
    <w:rsid w:val="00427265"/>
    <w:rsid w:val="004539E4"/>
    <w:rsid w:val="00465694"/>
    <w:rsid w:val="004821C1"/>
    <w:rsid w:val="00482AA6"/>
    <w:rsid w:val="004E3A70"/>
    <w:rsid w:val="0058075B"/>
    <w:rsid w:val="005C6C73"/>
    <w:rsid w:val="005D0568"/>
    <w:rsid w:val="005E7552"/>
    <w:rsid w:val="0060134A"/>
    <w:rsid w:val="00637795"/>
    <w:rsid w:val="006558ED"/>
    <w:rsid w:val="00660543"/>
    <w:rsid w:val="00671F6A"/>
    <w:rsid w:val="006C7A8C"/>
    <w:rsid w:val="006F3725"/>
    <w:rsid w:val="007132B5"/>
    <w:rsid w:val="00732EF2"/>
    <w:rsid w:val="007359D1"/>
    <w:rsid w:val="00752837"/>
    <w:rsid w:val="00771D27"/>
    <w:rsid w:val="00772170"/>
    <w:rsid w:val="0078002E"/>
    <w:rsid w:val="00781176"/>
    <w:rsid w:val="00791BD3"/>
    <w:rsid w:val="007A553E"/>
    <w:rsid w:val="007B1012"/>
    <w:rsid w:val="007C6B89"/>
    <w:rsid w:val="007D2EB3"/>
    <w:rsid w:val="00802C96"/>
    <w:rsid w:val="0081772E"/>
    <w:rsid w:val="008341EB"/>
    <w:rsid w:val="00847EFE"/>
    <w:rsid w:val="00854095"/>
    <w:rsid w:val="00872A01"/>
    <w:rsid w:val="008C78CF"/>
    <w:rsid w:val="00965261"/>
    <w:rsid w:val="009A54BD"/>
    <w:rsid w:val="009B584C"/>
    <w:rsid w:val="009C0F2D"/>
    <w:rsid w:val="009E3A3D"/>
    <w:rsid w:val="00A00614"/>
    <w:rsid w:val="00A00D9A"/>
    <w:rsid w:val="00A05249"/>
    <w:rsid w:val="00A30170"/>
    <w:rsid w:val="00A42E5C"/>
    <w:rsid w:val="00A527C2"/>
    <w:rsid w:val="00A62F52"/>
    <w:rsid w:val="00A93177"/>
    <w:rsid w:val="00AA7AAC"/>
    <w:rsid w:val="00AC0C70"/>
    <w:rsid w:val="00AC27E8"/>
    <w:rsid w:val="00AF7A87"/>
    <w:rsid w:val="00B0057D"/>
    <w:rsid w:val="00B02E89"/>
    <w:rsid w:val="00B12CFD"/>
    <w:rsid w:val="00B518A8"/>
    <w:rsid w:val="00B5456B"/>
    <w:rsid w:val="00B65776"/>
    <w:rsid w:val="00B6607E"/>
    <w:rsid w:val="00B85CAD"/>
    <w:rsid w:val="00BB5D73"/>
    <w:rsid w:val="00BF21AB"/>
    <w:rsid w:val="00BF301F"/>
    <w:rsid w:val="00C00986"/>
    <w:rsid w:val="00C159F7"/>
    <w:rsid w:val="00C65CD3"/>
    <w:rsid w:val="00C71281"/>
    <w:rsid w:val="00CA00EC"/>
    <w:rsid w:val="00CC5581"/>
    <w:rsid w:val="00CD3E88"/>
    <w:rsid w:val="00D277F5"/>
    <w:rsid w:val="00D92A81"/>
    <w:rsid w:val="00D96C77"/>
    <w:rsid w:val="00DB6943"/>
    <w:rsid w:val="00E11AE2"/>
    <w:rsid w:val="00E37FC2"/>
    <w:rsid w:val="00E70B41"/>
    <w:rsid w:val="00E81B28"/>
    <w:rsid w:val="00E875C0"/>
    <w:rsid w:val="00E92CB1"/>
    <w:rsid w:val="00ED2842"/>
    <w:rsid w:val="00F136D9"/>
    <w:rsid w:val="00F9602D"/>
    <w:rsid w:val="00FB6B19"/>
    <w:rsid w:val="00FC7409"/>
    <w:rsid w:val="00FD200D"/>
    <w:rsid w:val="056E4A68"/>
    <w:rsid w:val="06EA1A6E"/>
    <w:rsid w:val="077B4922"/>
    <w:rsid w:val="0A5C1673"/>
    <w:rsid w:val="0B2C665E"/>
    <w:rsid w:val="131661D2"/>
    <w:rsid w:val="13FA49DE"/>
    <w:rsid w:val="17173A0F"/>
    <w:rsid w:val="1928468B"/>
    <w:rsid w:val="1A7D6DBD"/>
    <w:rsid w:val="1DC35CFF"/>
    <w:rsid w:val="1E731F5D"/>
    <w:rsid w:val="2A84395A"/>
    <w:rsid w:val="2A907DAF"/>
    <w:rsid w:val="2D1E563E"/>
    <w:rsid w:val="378B7578"/>
    <w:rsid w:val="3BA37093"/>
    <w:rsid w:val="43DC6388"/>
    <w:rsid w:val="534010DE"/>
    <w:rsid w:val="538D4D80"/>
    <w:rsid w:val="54F76E33"/>
    <w:rsid w:val="57396ACF"/>
    <w:rsid w:val="58801DB1"/>
    <w:rsid w:val="5BB80B84"/>
    <w:rsid w:val="5E85579D"/>
    <w:rsid w:val="62802482"/>
    <w:rsid w:val="643F7E63"/>
    <w:rsid w:val="688F2C9B"/>
    <w:rsid w:val="6BF30C43"/>
    <w:rsid w:val="71324139"/>
    <w:rsid w:val="729A5BE1"/>
    <w:rsid w:val="72B60845"/>
    <w:rsid w:val="76A249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alloon Text"/>
    <w:basedOn w:val="1"/>
    <w:link w:val="11"/>
    <w:semiHidden/>
    <w:unhideWhenUsed/>
    <w:qFormat/>
    <w:uiPriority w:val="99"/>
    <w:rPr>
      <w:sz w:val="18"/>
      <w:szCs w:val="18"/>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rPr>
      <w:rFonts w:ascii="Times New Roman" w:hAnsi="Times New Roman" w:cs="Times New Roman"/>
      <w:sz w:val="24"/>
      <w:szCs w:val="24"/>
    </w:r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semiHidden/>
    <w:qFormat/>
    <w:uiPriority w:val="99"/>
    <w:rPr>
      <w:sz w:val="18"/>
      <w:szCs w:val="18"/>
    </w:rPr>
  </w:style>
  <w:style w:type="character" w:customStyle="1" w:styleId="11">
    <w:name w:val="批注框文本 Char"/>
    <w:basedOn w:val="8"/>
    <w:link w:val="3"/>
    <w:semiHidden/>
    <w:qFormat/>
    <w:uiPriority w:val="99"/>
    <w:rPr>
      <w:sz w:val="18"/>
      <w:szCs w:val="18"/>
    </w:rPr>
  </w:style>
  <w:style w:type="paragraph" w:customStyle="1" w:styleId="12">
    <w:name w:val="p0"/>
    <w:basedOn w:val="1"/>
    <w:qFormat/>
    <w:uiPriority w:val="0"/>
    <w:pPr>
      <w:widowControl/>
    </w:pPr>
    <w:rPr>
      <w:rFonts w:ascii="Times New Roman" w:hAnsi="Times New Roman" w:eastAsia="宋体" w:cs="Times New Roman"/>
      <w:kern w:val="0"/>
      <w:szCs w:val="21"/>
    </w:rPr>
  </w:style>
  <w:style w:type="character" w:customStyle="1" w:styleId="13">
    <w:name w:val="row_tree_level_4"/>
    <w:basedOn w:val="8"/>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emf"/><Relationship Id="rId8" Type="http://schemas.openxmlformats.org/officeDocument/2006/relationships/image" Target="media/image5.emf"/><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emf"/><Relationship Id="rId11" Type="http://schemas.openxmlformats.org/officeDocument/2006/relationships/image" Target="media/image8.emf"/><Relationship Id="rId10" Type="http://schemas.openxmlformats.org/officeDocument/2006/relationships/image" Target="media/image7.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30</Pages>
  <Words>9320</Words>
  <Characters>10122</Characters>
  <Lines>72</Lines>
  <Paragraphs>20</Paragraphs>
  <TotalTime>2</TotalTime>
  <ScaleCrop>false</ScaleCrop>
  <LinksUpToDate>false</LinksUpToDate>
  <CharactersWithSpaces>10400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2022-09-07T10:19:00Z</dcterms:created>
  <dc:creator>Administrator</dc:creator>
  <cp:lastModifiedBy>海明</cp:lastModifiedBy>
  <dcterms:modified xsi:type="dcterms:W3CDTF">2022-09-09T01:35:29Z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249F6D8A61C540AF8694BA7B8A1B3978</vt:lpwstr>
  </property>
</Properties>
</file>