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lang w:eastAsia="zh-CN"/>
        </w:rPr>
        <w:t>共青团兴国县委员会2021</w:t>
      </w:r>
      <w:r>
        <w:rPr>
          <w:rFonts w:hint="eastAsia" w:ascii="方正小标宋简体" w:hAnsi="方正小标宋简体" w:eastAsia="方正小标宋简体" w:cs="方正小标宋简体"/>
          <w:b w:val="0"/>
          <w:bCs w:val="0"/>
          <w:sz w:val="36"/>
          <w:szCs w:val="36"/>
        </w:rPr>
        <w:t>年</w:t>
      </w:r>
      <w:r>
        <w:rPr>
          <w:rFonts w:hint="eastAsia" w:ascii="方正小标宋简体" w:hAnsi="方正小标宋简体" w:eastAsia="方正小标宋简体" w:cs="方正小标宋简体"/>
          <w:b w:val="0"/>
          <w:bCs w:val="0"/>
          <w:sz w:val="36"/>
          <w:szCs w:val="36"/>
          <w:lang w:eastAsia="zh-CN"/>
        </w:rPr>
        <w:t>部门</w:t>
      </w:r>
      <w:r>
        <w:rPr>
          <w:rFonts w:hint="eastAsia" w:ascii="方正小标宋简体" w:hAnsi="方正小标宋简体" w:eastAsia="方正小标宋简体" w:cs="方正小标宋简体"/>
          <w:b w:val="0"/>
          <w:bCs w:val="0"/>
          <w:sz w:val="36"/>
          <w:szCs w:val="36"/>
        </w:rPr>
        <w:t>预算</w:t>
      </w:r>
    </w:p>
    <w:p>
      <w:pPr>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目  录</w:t>
      </w:r>
    </w:p>
    <w:p>
      <w:pPr>
        <w:jc w:val="center"/>
        <w:rPr>
          <w:rFonts w:hint="eastAsia"/>
          <w:sz w:val="36"/>
          <w:szCs w:val="36"/>
        </w:rPr>
      </w:pP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 xml:space="preserve">第一部分 </w:t>
      </w:r>
      <w:r>
        <w:rPr>
          <w:rFonts w:hint="eastAsia" w:ascii="宋体" w:hAnsi="宋体" w:eastAsia="宋体" w:cs="宋体"/>
          <w:b/>
          <w:bCs/>
          <w:sz w:val="30"/>
          <w:szCs w:val="30"/>
          <w:lang w:eastAsia="zh-CN"/>
        </w:rPr>
        <w:t>共青团兴国县委员会</w:t>
      </w:r>
      <w:r>
        <w:rPr>
          <w:rFonts w:hint="eastAsia" w:ascii="宋体" w:hAnsi="宋体" w:eastAsia="宋体" w:cs="宋体"/>
          <w:b/>
          <w:bCs/>
          <w:sz w:val="30"/>
          <w:szCs w:val="30"/>
        </w:rPr>
        <w:t>概况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一、部门主要职责</w:t>
      </w:r>
    </w:p>
    <w:p>
      <w:pPr>
        <w:pStyle w:val="8"/>
        <w:keepNext w:val="0"/>
        <w:keepLines w:val="0"/>
        <w:pageBreakBefore w:val="0"/>
        <w:widowControl/>
        <w:kinsoku/>
        <w:wordWrap/>
        <w:overflowPunct/>
        <w:topLinePunct w:val="0"/>
        <w:autoSpaceDE/>
        <w:autoSpaceDN/>
        <w:bidi w:val="0"/>
        <w:adjustRightInd/>
        <w:snapToGrid/>
        <w:spacing w:line="560" w:lineRule="atLeast"/>
        <w:ind w:right="0" w:rightChars="0" w:firstLine="640" w:firstLineChars="200"/>
        <w:jc w:val="left"/>
        <w:textAlignment w:val="auto"/>
        <w:outlineLvl w:val="9"/>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二、机构设置及人员情况</w:t>
      </w:r>
    </w:p>
    <w:p>
      <w:pPr>
        <w:ind w:left="641" w:leftChars="0" w:hanging="641" w:hangingChars="213"/>
        <w:rPr>
          <w:rFonts w:hint="eastAsia" w:ascii="宋体" w:hAnsi="宋体" w:eastAsia="宋体" w:cs="宋体"/>
          <w:b/>
          <w:bCs/>
          <w:sz w:val="30"/>
          <w:szCs w:val="30"/>
        </w:rPr>
      </w:pPr>
      <w:r>
        <w:rPr>
          <w:rFonts w:hint="eastAsia" w:ascii="宋体" w:hAnsi="宋体" w:eastAsia="宋体" w:cs="宋体"/>
          <w:b/>
          <w:bCs/>
          <w:sz w:val="30"/>
          <w:szCs w:val="30"/>
        </w:rPr>
        <w:t>第</w:t>
      </w:r>
      <w:r>
        <w:rPr>
          <w:rFonts w:hint="eastAsia" w:ascii="宋体" w:hAnsi="宋体" w:cs="宋体"/>
          <w:b/>
          <w:bCs/>
          <w:sz w:val="30"/>
          <w:szCs w:val="30"/>
          <w:lang w:eastAsia="zh-CN"/>
        </w:rPr>
        <w:t>二</w:t>
      </w:r>
      <w:r>
        <w:rPr>
          <w:rFonts w:hint="eastAsia" w:ascii="宋体" w:hAnsi="宋体" w:eastAsia="宋体" w:cs="宋体"/>
          <w:b/>
          <w:bCs/>
          <w:sz w:val="30"/>
          <w:szCs w:val="30"/>
        </w:rPr>
        <w:t>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共青团兴国县委员会部门</w:t>
      </w:r>
      <w:r>
        <w:rPr>
          <w:rFonts w:hint="eastAsia" w:ascii="宋体" w:hAnsi="宋体" w:eastAsia="宋体" w:cs="宋体"/>
          <w:b/>
          <w:bCs/>
          <w:sz w:val="30"/>
          <w:szCs w:val="30"/>
        </w:rPr>
        <w:t>预算表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一、《收支预算总表》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二、《部门收入总表》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三、《部门支出总表》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四、《财政拨款收支总表》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五、《一般公共预算支出表》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六、《一般公共预算基本支出表》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七、《一般公共预算“三公”经费支出表》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八、《政府性基金预算支出表》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九、《部门整体支出绩效目标表》</w:t>
      </w:r>
    </w:p>
    <w:p>
      <w:pPr>
        <w:ind w:left="676" w:leftChars="30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十、《重点项目绩效目标表》</w:t>
      </w:r>
    </w:p>
    <w:p>
      <w:pPr>
        <w:rPr>
          <w:rFonts w:hint="eastAsia" w:ascii="宋体" w:hAnsi="宋体" w:eastAsia="宋体" w:cs="宋体"/>
          <w:b/>
          <w:bCs/>
          <w:sz w:val="30"/>
          <w:szCs w:val="30"/>
        </w:rPr>
      </w:pPr>
      <w:r>
        <w:rPr>
          <w:rFonts w:hint="eastAsia" w:ascii="宋体" w:hAnsi="宋体" w:eastAsia="宋体" w:cs="宋体"/>
          <w:b/>
          <w:bCs/>
          <w:sz w:val="30"/>
          <w:szCs w:val="30"/>
        </w:rPr>
        <w:t>第</w:t>
      </w:r>
      <w:r>
        <w:rPr>
          <w:rFonts w:hint="eastAsia" w:ascii="宋体" w:hAnsi="宋体" w:cs="宋体"/>
          <w:b/>
          <w:bCs/>
          <w:sz w:val="30"/>
          <w:szCs w:val="30"/>
          <w:lang w:eastAsia="zh-CN"/>
        </w:rPr>
        <w:t>三</w:t>
      </w:r>
      <w:r>
        <w:rPr>
          <w:rFonts w:hint="eastAsia" w:ascii="宋体" w:hAnsi="宋体" w:eastAsia="宋体" w:cs="宋体"/>
          <w:b/>
          <w:bCs/>
          <w:sz w:val="30"/>
          <w:szCs w:val="30"/>
        </w:rPr>
        <w:t>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共青团兴国县委员会</w:t>
      </w:r>
      <w:r>
        <w:rPr>
          <w:rFonts w:hint="eastAsia" w:ascii="宋体" w:hAnsi="宋体" w:cs="宋体"/>
          <w:b/>
          <w:bCs/>
          <w:sz w:val="30"/>
          <w:szCs w:val="30"/>
          <w:lang w:eastAsia="zh-CN"/>
        </w:rPr>
        <w:t>2021</w:t>
      </w:r>
      <w:r>
        <w:rPr>
          <w:rFonts w:hint="eastAsia" w:ascii="宋体" w:hAnsi="宋体" w:eastAsia="宋体" w:cs="宋体"/>
          <w:b/>
          <w:bCs/>
          <w:sz w:val="30"/>
          <w:szCs w:val="30"/>
        </w:rPr>
        <w:t>年预算情况说明</w:t>
      </w:r>
    </w:p>
    <w:p>
      <w:pPr>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rPr>
        <w:t>年部门预算收支情况说明</w:t>
      </w:r>
    </w:p>
    <w:p>
      <w:pPr>
        <w:ind w:left="634" w:leftChars="284" w:hanging="38" w:hangingChars="12"/>
        <w:rPr>
          <w:rFonts w:hint="eastAsia" w:ascii="宋体" w:hAnsi="宋体" w:eastAsia="宋体" w:cs="宋体"/>
          <w:b/>
          <w:bCs/>
          <w:sz w:val="30"/>
          <w:szCs w:val="30"/>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rPr>
        <w:t>年“三公”经费预算情况说明</w:t>
      </w:r>
    </w:p>
    <w:p>
      <w:pPr>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80" w:lineRule="exact"/>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第一部分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共青团兴国县委员会</w:t>
      </w:r>
      <w:r>
        <w:rPr>
          <w:rFonts w:hint="eastAsia" w:ascii="宋体" w:hAnsi="宋体" w:eastAsia="宋体" w:cs="宋体"/>
          <w:b/>
          <w:bCs/>
          <w:sz w:val="30"/>
          <w:szCs w:val="30"/>
        </w:rPr>
        <w:t>概况</w:t>
      </w:r>
    </w:p>
    <w:p>
      <w:pPr>
        <w:keepNext w:val="0"/>
        <w:keepLines w:val="0"/>
        <w:pageBreakBefore w:val="0"/>
        <w:kinsoku/>
        <w:wordWrap/>
        <w:overflowPunct/>
        <w:topLinePunct w:val="0"/>
        <w:bidi w:val="0"/>
        <w:snapToGrid/>
        <w:spacing w:line="580" w:lineRule="exact"/>
        <w:jc w:val="center"/>
        <w:textAlignment w:val="auto"/>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一、部门主要职责</w:t>
      </w:r>
    </w:p>
    <w:p>
      <w:pPr>
        <w:keepNext w:val="0"/>
        <w:keepLines w:val="0"/>
        <w:pageBreakBefore w:val="0"/>
        <w:kinsoku/>
        <w:wordWrap/>
        <w:overflowPunct/>
        <w:topLinePunct w:val="0"/>
        <w:bidi w:val="0"/>
        <w:snapToGri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共青团兴国县委员会（含希望公益服务中心）是县委组成部门，主要职责是贯彻执行党的基本路线、方针和政策，组织实施县委、县政府和团市委部署的以青少年工作为主体的各项任务;组织开展形式多样、适合青少年特点的活动，满足青少年成长成才;领导全县共青团工作、少先队工作，依法对县级青年社团和青少年教育、活动、服务阵地等进行归口管理或业务指导。</w:t>
      </w: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二、部门基本情况</w:t>
      </w:r>
    </w:p>
    <w:p>
      <w:pPr>
        <w:keepNext w:val="0"/>
        <w:keepLines w:val="0"/>
        <w:pageBreakBefore w:val="0"/>
        <w:kinsoku/>
        <w:wordWrap/>
        <w:overflowPunct/>
        <w:topLinePunct w:val="0"/>
        <w:bidi w:val="0"/>
        <w:snapToGrid/>
        <w:spacing w:line="580" w:lineRule="exact"/>
        <w:ind w:left="0" w:leftChars="0" w:firstLine="640" w:firstLineChars="0"/>
        <w:jc w:val="left"/>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2021年</w:t>
      </w:r>
      <w:r>
        <w:rPr>
          <w:rFonts w:hint="eastAsia" w:ascii="仿宋_GB2312" w:hAnsi="仿宋_GB2312" w:eastAsia="仿宋_GB2312" w:cs="仿宋_GB2312"/>
          <w:color w:val="000000"/>
          <w:sz w:val="32"/>
          <w:szCs w:val="32"/>
        </w:rPr>
        <w:t>共青团兴国县委员会（含</w:t>
      </w:r>
      <w:r>
        <w:rPr>
          <w:rFonts w:hint="eastAsia" w:ascii="仿宋_GB2312" w:hAnsi="仿宋_GB2312" w:eastAsia="仿宋_GB2312" w:cs="仿宋_GB2312"/>
          <w:color w:val="000000"/>
          <w:sz w:val="32"/>
          <w:szCs w:val="32"/>
          <w:lang w:eastAsia="zh-CN"/>
        </w:rPr>
        <w:t>兴国县</w:t>
      </w:r>
      <w:r>
        <w:rPr>
          <w:rFonts w:hint="eastAsia" w:ascii="仿宋_GB2312" w:hAnsi="仿宋_GB2312" w:eastAsia="仿宋_GB2312" w:cs="仿宋_GB2312"/>
          <w:color w:val="000000"/>
          <w:sz w:val="32"/>
          <w:szCs w:val="32"/>
        </w:rPr>
        <w:t>希望公益服务中心）</w:t>
      </w:r>
      <w:r>
        <w:rPr>
          <w:rFonts w:hint="eastAsia" w:ascii="仿宋_GB2312" w:hAnsi="仿宋_GB2312" w:eastAsia="仿宋_GB2312" w:cs="仿宋_GB2312"/>
          <w:color w:val="000000"/>
          <w:sz w:val="32"/>
          <w:szCs w:val="32"/>
          <w:lang w:eastAsia="zh-CN"/>
        </w:rPr>
        <w:t>共有预算单位</w:t>
      </w:r>
      <w:r>
        <w:rPr>
          <w:rFonts w:hint="eastAsia" w:ascii="仿宋_GB2312" w:hAnsi="仿宋_GB2312" w:eastAsia="仿宋_GB2312" w:cs="仿宋_GB2312"/>
          <w:color w:val="000000"/>
          <w:sz w:val="32"/>
          <w:szCs w:val="32"/>
          <w:lang w:val="en-US" w:eastAsia="zh-CN"/>
        </w:rPr>
        <w:t>2个，包括：共青团兴国县委员会、兴国县希望公益服务中心。</w:t>
      </w:r>
    </w:p>
    <w:p>
      <w:pPr>
        <w:keepNext w:val="0"/>
        <w:keepLines w:val="0"/>
        <w:pageBreakBefore w:val="0"/>
        <w:kinsoku/>
        <w:wordWrap/>
        <w:overflowPunct/>
        <w:topLinePunct w:val="0"/>
        <w:bidi w:val="0"/>
        <w:snapToGrid/>
        <w:spacing w:line="580" w:lineRule="exact"/>
        <w:ind w:left="0" w:leftChars="0" w:firstLine="640" w:firstLineChars="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color w:val="000000"/>
          <w:sz w:val="32"/>
          <w:szCs w:val="32"/>
        </w:rPr>
        <w:t>编制</w:t>
      </w:r>
      <w:r>
        <w:rPr>
          <w:rFonts w:hint="eastAsia" w:ascii="仿宋_GB2312" w:hAnsi="仿宋_GB2312" w:eastAsia="仿宋_GB2312" w:cs="仿宋_GB2312"/>
          <w:color w:val="000000"/>
          <w:sz w:val="32"/>
          <w:szCs w:val="32"/>
          <w:lang w:eastAsia="zh-CN"/>
        </w:rPr>
        <w:t>人</w:t>
      </w:r>
      <w:r>
        <w:rPr>
          <w:rFonts w:hint="eastAsia" w:ascii="仿宋_GB2312" w:hAnsi="仿宋_GB2312" w:eastAsia="仿宋_GB2312" w:cs="仿宋_GB2312"/>
          <w:color w:val="000000"/>
          <w:sz w:val="32"/>
          <w:szCs w:val="32"/>
        </w:rPr>
        <w:t>数</w:t>
      </w:r>
      <w:r>
        <w:rPr>
          <w:rFonts w:hint="eastAsia" w:ascii="仿宋_GB2312" w:hAnsi="仿宋_GB2312" w:eastAsia="仿宋_GB2312" w:cs="仿宋_GB2312"/>
          <w:color w:val="000000"/>
          <w:sz w:val="32"/>
          <w:szCs w:val="32"/>
          <w:lang w:eastAsia="zh-CN"/>
        </w:rPr>
        <w:t>小计</w:t>
      </w:r>
      <w:r>
        <w:rPr>
          <w:rFonts w:hint="eastAsia" w:ascii="仿宋_GB2312" w:hAnsi="仿宋_GB2312" w:eastAsia="仿宋_GB2312" w:cs="仿宋_GB2312"/>
          <w:color w:val="000000"/>
          <w:sz w:val="32"/>
          <w:szCs w:val="32"/>
        </w:rPr>
        <w:t>8人，其中：行政编制5人、全额事业编制3人；实有人数6人，其中：在职人数6人，包括行政人员4人、全额事业2人。</w:t>
      </w:r>
    </w:p>
    <w:p>
      <w:pPr>
        <w:keepNext w:val="0"/>
        <w:keepLines w:val="0"/>
        <w:pageBreakBefore w:val="0"/>
        <w:kinsoku/>
        <w:wordWrap/>
        <w:overflowPunct/>
        <w:topLinePunct w:val="0"/>
        <w:bidi w:val="0"/>
        <w:snapToGrid/>
        <w:spacing w:line="580" w:lineRule="exact"/>
        <w:ind w:left="0" w:leftChars="0" w:firstLine="0" w:firstLineChars="0"/>
        <w:jc w:val="center"/>
        <w:textAlignment w:val="auto"/>
        <w:rPr>
          <w:rFonts w:hint="eastAsia" w:ascii="宋体" w:hAnsi="宋体" w:eastAsia="宋体" w:cs="宋体"/>
          <w:b/>
          <w:bCs/>
          <w:sz w:val="30"/>
          <w:szCs w:val="30"/>
        </w:rPr>
      </w:pPr>
    </w:p>
    <w:p>
      <w:pPr>
        <w:ind w:left="641" w:leftChars="0" w:hanging="641" w:hangingChars="213"/>
        <w:jc w:val="center"/>
        <w:rPr>
          <w:rFonts w:hint="eastAsia" w:ascii="宋体" w:hAnsi="宋体" w:eastAsia="宋体" w:cs="宋体"/>
          <w:b/>
          <w:bCs/>
          <w:sz w:val="30"/>
          <w:szCs w:val="30"/>
        </w:rPr>
      </w:pPr>
      <w:r>
        <w:rPr>
          <w:rFonts w:hint="eastAsia" w:ascii="宋体" w:hAnsi="宋体" w:eastAsia="宋体" w:cs="宋体"/>
          <w:b/>
          <w:bCs/>
          <w:sz w:val="30"/>
          <w:szCs w:val="30"/>
        </w:rPr>
        <w:t>第</w:t>
      </w:r>
      <w:r>
        <w:rPr>
          <w:rFonts w:hint="eastAsia" w:ascii="宋体" w:hAnsi="宋体" w:cs="宋体"/>
          <w:b/>
          <w:bCs/>
          <w:sz w:val="30"/>
          <w:szCs w:val="30"/>
          <w:lang w:eastAsia="zh-CN"/>
        </w:rPr>
        <w:t>二</w:t>
      </w:r>
      <w:r>
        <w:rPr>
          <w:rFonts w:hint="eastAsia" w:ascii="宋体" w:hAnsi="宋体" w:eastAsia="宋体" w:cs="宋体"/>
          <w:b/>
          <w:bCs/>
          <w:sz w:val="30"/>
          <w:szCs w:val="30"/>
        </w:rPr>
        <w:t>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lang w:eastAsia="zh-CN"/>
        </w:rPr>
        <w:t>共青团兴国县委员会部门</w:t>
      </w:r>
      <w:r>
        <w:rPr>
          <w:rFonts w:hint="eastAsia" w:ascii="宋体" w:hAnsi="宋体" w:eastAsia="宋体" w:cs="宋体"/>
          <w:b/>
          <w:bCs/>
          <w:sz w:val="30"/>
          <w:szCs w:val="30"/>
        </w:rPr>
        <w:t>预算表</w:t>
      </w:r>
    </w:p>
    <w:p>
      <w:pPr>
        <w:keepNext w:val="0"/>
        <w:keepLines w:val="0"/>
        <w:pageBreakBefore w:val="0"/>
        <w:kinsoku/>
        <w:wordWrap/>
        <w:overflowPunct/>
        <w:topLinePunct w:val="0"/>
        <w:bidi w:val="0"/>
        <w:snapToGrid/>
        <w:spacing w:line="580" w:lineRule="exact"/>
        <w:ind w:left="0" w:leftChars="0" w:firstLine="1200" w:firstLineChars="400"/>
        <w:jc w:val="both"/>
        <w:textAlignment w:val="auto"/>
        <w:rPr>
          <w:rFonts w:hint="eastAsia" w:ascii="宋体" w:hAnsi="宋体" w:eastAsia="宋体" w:cs="宋体"/>
          <w:b w:val="0"/>
          <w:bCs w:val="0"/>
          <w:sz w:val="30"/>
          <w:szCs w:val="30"/>
          <w:lang w:eastAsia="zh-CN"/>
        </w:rPr>
      </w:pPr>
      <w:r>
        <w:rPr>
          <w:rFonts w:hint="eastAsia" w:ascii="宋体" w:hAnsi="宋体" w:cs="宋体"/>
          <w:b w:val="0"/>
          <w:bCs w:val="0"/>
          <w:sz w:val="30"/>
          <w:szCs w:val="30"/>
          <w:lang w:eastAsia="zh-CN"/>
        </w:rPr>
        <w:t>（详见附表）</w:t>
      </w:r>
    </w:p>
    <w:p>
      <w:pPr>
        <w:keepNext w:val="0"/>
        <w:keepLines w:val="0"/>
        <w:pageBreakBefore w:val="0"/>
        <w:kinsoku/>
        <w:wordWrap/>
        <w:overflowPunct/>
        <w:topLinePunct w:val="0"/>
        <w:bidi w:val="0"/>
        <w:snapToGrid/>
        <w:spacing w:line="580" w:lineRule="exact"/>
        <w:ind w:left="0" w:leftChars="0" w:firstLine="0" w:firstLineChars="0"/>
        <w:jc w:val="center"/>
        <w:textAlignment w:val="auto"/>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80" w:lineRule="exact"/>
        <w:ind w:left="0" w:leftChars="0" w:firstLine="0" w:firstLineChars="0"/>
        <w:jc w:val="center"/>
        <w:textAlignment w:val="auto"/>
        <w:rPr>
          <w:rFonts w:hint="eastAsia" w:ascii="宋体" w:hAnsi="宋体" w:eastAsia="宋体" w:cs="宋体"/>
          <w:b/>
          <w:bCs/>
          <w:sz w:val="30"/>
          <w:szCs w:val="30"/>
        </w:rPr>
      </w:pPr>
      <w:r>
        <w:rPr>
          <w:rFonts w:hint="eastAsia" w:ascii="宋体" w:hAnsi="宋体" w:eastAsia="宋体" w:cs="宋体"/>
          <w:b/>
          <w:bCs/>
          <w:sz w:val="30"/>
          <w:szCs w:val="30"/>
        </w:rPr>
        <w:t>第</w:t>
      </w:r>
      <w:r>
        <w:rPr>
          <w:rFonts w:hint="eastAsia" w:ascii="宋体" w:hAnsi="宋体" w:cs="宋体"/>
          <w:b/>
          <w:bCs/>
          <w:sz w:val="30"/>
          <w:szCs w:val="30"/>
          <w:lang w:eastAsia="zh-CN"/>
        </w:rPr>
        <w:t>三</w:t>
      </w:r>
      <w:r>
        <w:rPr>
          <w:rFonts w:hint="eastAsia" w:ascii="宋体" w:hAnsi="宋体" w:eastAsia="宋体" w:cs="宋体"/>
          <w:b/>
          <w:bCs/>
          <w:sz w:val="30"/>
          <w:szCs w:val="30"/>
        </w:rPr>
        <w:t xml:space="preserve">部分 </w:t>
      </w:r>
      <w:r>
        <w:rPr>
          <w:rFonts w:hint="eastAsia" w:ascii="宋体" w:hAnsi="宋体" w:eastAsia="宋体" w:cs="宋体"/>
          <w:b/>
          <w:bCs/>
          <w:sz w:val="30"/>
          <w:szCs w:val="30"/>
          <w:lang w:eastAsia="zh-CN"/>
        </w:rPr>
        <w:t>共青团兴国县委员会</w:t>
      </w:r>
      <w:r>
        <w:rPr>
          <w:rFonts w:hint="eastAsia" w:ascii="宋体" w:hAnsi="宋体" w:cs="宋体"/>
          <w:b/>
          <w:bCs/>
          <w:sz w:val="30"/>
          <w:szCs w:val="30"/>
          <w:lang w:eastAsia="zh-CN"/>
        </w:rPr>
        <w:t>2021</w:t>
      </w:r>
      <w:r>
        <w:rPr>
          <w:rFonts w:hint="eastAsia" w:ascii="宋体" w:hAnsi="宋体" w:eastAsia="宋体" w:cs="宋体"/>
          <w:b/>
          <w:bCs/>
          <w:sz w:val="30"/>
          <w:szCs w:val="30"/>
        </w:rPr>
        <w:t>年部门预算情况说明</w:t>
      </w:r>
    </w:p>
    <w:p>
      <w:pPr>
        <w:keepNext w:val="0"/>
        <w:keepLines w:val="0"/>
        <w:pageBreakBefore w:val="0"/>
        <w:kinsoku/>
        <w:wordWrap/>
        <w:overflowPunct/>
        <w:topLinePunct w:val="0"/>
        <w:bidi w:val="0"/>
        <w:snapToGrid/>
        <w:spacing w:line="580" w:lineRule="exact"/>
        <w:ind w:left="0" w:leftChars="0" w:firstLine="0" w:firstLineChars="0"/>
        <w:jc w:val="center"/>
        <w:textAlignment w:val="auto"/>
        <w:rPr>
          <w:rFonts w:hint="eastAsia" w:ascii="宋体" w:hAnsi="宋体" w:eastAsia="宋体" w:cs="宋体"/>
          <w:b/>
          <w:bCs/>
          <w:sz w:val="30"/>
          <w:szCs w:val="30"/>
        </w:rPr>
      </w:pPr>
    </w:p>
    <w:p>
      <w:pPr>
        <w:keepNext w:val="0"/>
        <w:keepLines w:val="0"/>
        <w:pageBreakBefore w:val="0"/>
        <w:kinsoku/>
        <w:wordWrap/>
        <w:overflowPunct/>
        <w:topLinePunct w:val="0"/>
        <w:bidi w:val="0"/>
        <w:snapToGrid/>
        <w:spacing w:line="580" w:lineRule="exact"/>
        <w:ind w:firstLine="602" w:firstLineChars="200"/>
        <w:textAlignment w:val="auto"/>
        <w:rPr>
          <w:rFonts w:hint="eastAsia" w:ascii="宋体" w:hAnsi="宋体" w:eastAsia="宋体" w:cs="宋体"/>
          <w:b/>
          <w:bCs/>
          <w:sz w:val="30"/>
          <w:szCs w:val="30"/>
        </w:rPr>
      </w:pPr>
      <w:r>
        <w:rPr>
          <w:rFonts w:hint="eastAsia" w:ascii="宋体" w:hAnsi="宋体" w:eastAsia="宋体" w:cs="宋体"/>
          <w:b/>
          <w:bCs/>
          <w:sz w:val="30"/>
          <w:szCs w:val="30"/>
        </w:rPr>
        <w:t>一、</w:t>
      </w:r>
      <w:r>
        <w:rPr>
          <w:rFonts w:hint="eastAsia" w:ascii="宋体" w:hAnsi="宋体" w:cs="宋体"/>
          <w:b/>
          <w:bCs/>
          <w:sz w:val="30"/>
          <w:szCs w:val="30"/>
          <w:lang w:eastAsia="zh-CN"/>
        </w:rPr>
        <w:t>2021</w:t>
      </w:r>
      <w:r>
        <w:rPr>
          <w:rFonts w:hint="eastAsia" w:ascii="宋体" w:hAnsi="宋体" w:eastAsia="宋体" w:cs="宋体"/>
          <w:b/>
          <w:bCs/>
          <w:sz w:val="30"/>
          <w:szCs w:val="30"/>
        </w:rPr>
        <w:t>年部门预算收支情况说明</w:t>
      </w:r>
    </w:p>
    <w:p>
      <w:pPr>
        <w:keepNext w:val="0"/>
        <w:keepLines w:val="0"/>
        <w:pageBreakBefore w:val="0"/>
        <w:kinsoku/>
        <w:wordWrap/>
        <w:overflowPunct/>
        <w:topLinePunct w:val="0"/>
        <w:bidi w:val="0"/>
        <w:snapToGrid/>
        <w:spacing w:line="58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（一）收入预算情况</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lang w:eastAsia="zh-CN"/>
        </w:rPr>
        <w:t>2021年共青团兴国县委员会（含团县委和希望公益服务中心）收入预算总额为81.8</w:t>
      </w:r>
      <w:r>
        <w:rPr>
          <w:rFonts w:hint="eastAsia" w:ascii="仿宋_GB2312" w:hAnsi="仿宋_GB2312" w:eastAsia="仿宋_GB2312" w:cs="仿宋_GB2312"/>
          <w:color w:val="000000"/>
          <w:sz w:val="30"/>
          <w:szCs w:val="30"/>
          <w:lang w:val="en-US" w:eastAsia="zh-CN"/>
        </w:rPr>
        <w:t>4</w:t>
      </w:r>
      <w:r>
        <w:rPr>
          <w:rFonts w:hint="eastAsia" w:ascii="仿宋_GB2312" w:hAnsi="仿宋_GB2312" w:eastAsia="仿宋_GB2312" w:cs="仿宋_GB2312"/>
          <w:color w:val="000000"/>
          <w:sz w:val="30"/>
          <w:szCs w:val="30"/>
          <w:lang w:eastAsia="zh-CN"/>
        </w:rPr>
        <w:t>万元，其中：财政拨款收入81.8</w:t>
      </w:r>
      <w:r>
        <w:rPr>
          <w:rFonts w:hint="eastAsia" w:ascii="仿宋_GB2312" w:hAnsi="仿宋_GB2312" w:eastAsia="仿宋_GB2312" w:cs="仿宋_GB2312"/>
          <w:color w:val="000000"/>
          <w:sz w:val="30"/>
          <w:szCs w:val="30"/>
          <w:lang w:val="en-US" w:eastAsia="zh-CN"/>
        </w:rPr>
        <w:t>4</w:t>
      </w:r>
      <w:r>
        <w:rPr>
          <w:rFonts w:hint="eastAsia" w:ascii="仿宋_GB2312" w:hAnsi="仿宋_GB2312" w:eastAsia="仿宋_GB2312" w:cs="仿宋_GB2312"/>
          <w:color w:val="000000"/>
          <w:sz w:val="30"/>
          <w:szCs w:val="30"/>
          <w:lang w:eastAsia="zh-CN"/>
        </w:rPr>
        <w:t>万元，占收入预算总额的100%，包括财政拨款（补助）收入81.8</w:t>
      </w:r>
      <w:r>
        <w:rPr>
          <w:rFonts w:hint="eastAsia" w:ascii="仿宋_GB2312" w:hAnsi="仿宋_GB2312" w:eastAsia="仿宋_GB2312" w:cs="仿宋_GB2312"/>
          <w:color w:val="000000"/>
          <w:sz w:val="30"/>
          <w:szCs w:val="30"/>
          <w:lang w:val="en-US" w:eastAsia="zh-CN"/>
        </w:rPr>
        <w:t>4</w:t>
      </w:r>
      <w:r>
        <w:rPr>
          <w:rFonts w:hint="eastAsia" w:ascii="仿宋_GB2312" w:hAnsi="仿宋_GB2312" w:eastAsia="仿宋_GB2312" w:cs="仿宋_GB2312"/>
          <w:color w:val="000000"/>
          <w:sz w:val="30"/>
          <w:szCs w:val="30"/>
          <w:lang w:eastAsia="zh-CN"/>
        </w:rPr>
        <w:t>万元，占收入预算总额的100%。</w:t>
      </w:r>
      <w:r>
        <w:rPr>
          <w:rFonts w:hint="eastAsia" w:ascii="仿宋_GB2312" w:hAnsi="仿宋_GB2312" w:eastAsia="仿宋_GB2312" w:cs="仿宋_GB2312"/>
          <w:color w:val="000000"/>
          <w:sz w:val="30"/>
          <w:szCs w:val="30"/>
        </w:rPr>
        <w:t>收入预算总额</w:t>
      </w:r>
      <w:r>
        <w:rPr>
          <w:rFonts w:hint="eastAsia" w:ascii="仿宋_GB2312" w:hAnsi="仿宋_GB2312" w:eastAsia="仿宋_GB2312" w:cs="仿宋_GB2312"/>
          <w:color w:val="000000"/>
          <w:sz w:val="30"/>
          <w:szCs w:val="30"/>
          <w:lang w:eastAsia="zh-CN"/>
        </w:rPr>
        <w:t>较</w:t>
      </w:r>
      <w:r>
        <w:rPr>
          <w:rFonts w:hint="eastAsia" w:ascii="仿宋_GB2312" w:hAnsi="仿宋_GB2312" w:eastAsia="仿宋_GB2312" w:cs="仿宋_GB2312"/>
          <w:color w:val="000000"/>
          <w:sz w:val="30"/>
          <w:szCs w:val="30"/>
          <w:lang w:val="en-US" w:eastAsia="zh-CN"/>
        </w:rPr>
        <w:t>2020</w:t>
      </w:r>
      <w:r>
        <w:rPr>
          <w:rFonts w:hint="eastAsia" w:ascii="仿宋_GB2312" w:hAnsi="仿宋_GB2312" w:eastAsia="仿宋_GB2312" w:cs="仿宋_GB2312"/>
          <w:color w:val="000000"/>
          <w:sz w:val="30"/>
          <w:szCs w:val="30"/>
          <w:lang w:eastAsia="zh-CN"/>
        </w:rPr>
        <w:t>年增加</w:t>
      </w:r>
      <w:r>
        <w:rPr>
          <w:rFonts w:hint="eastAsia" w:ascii="仿宋_GB2312" w:hAnsi="仿宋_GB2312" w:eastAsia="仿宋_GB2312" w:cs="仿宋_GB2312"/>
          <w:color w:val="000000"/>
          <w:sz w:val="30"/>
          <w:szCs w:val="30"/>
          <w:lang w:val="en-US" w:eastAsia="zh-CN"/>
        </w:rPr>
        <w:t>30.31万元，主要原因是单位人员变动。</w:t>
      </w:r>
    </w:p>
    <w:p>
      <w:pPr>
        <w:keepNext w:val="0"/>
        <w:keepLines w:val="0"/>
        <w:pageBreakBefore w:val="0"/>
        <w:kinsoku/>
        <w:wordWrap/>
        <w:overflowPunct/>
        <w:topLinePunct w:val="0"/>
        <w:bidi w:val="0"/>
        <w:snapToGrid/>
        <w:spacing w:line="58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（二）支出预算情况</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lang w:eastAsia="zh-CN"/>
        </w:rPr>
        <w:t>2021</w:t>
      </w:r>
      <w:r>
        <w:rPr>
          <w:rFonts w:hint="eastAsia" w:ascii="仿宋_GB2312" w:hAnsi="仿宋_GB2312" w:eastAsia="仿宋_GB2312" w:cs="仿宋_GB2312"/>
          <w:color w:val="000000"/>
          <w:sz w:val="30"/>
          <w:szCs w:val="30"/>
        </w:rPr>
        <w:t>年共青团兴国县委员会支出预算总额为</w:t>
      </w:r>
      <w:r>
        <w:rPr>
          <w:rFonts w:hint="eastAsia" w:ascii="仿宋_GB2312" w:hAnsi="仿宋_GB2312" w:eastAsia="仿宋_GB2312" w:cs="仿宋_GB2312"/>
          <w:color w:val="000000"/>
          <w:sz w:val="30"/>
          <w:szCs w:val="30"/>
          <w:lang w:val="en-US" w:eastAsia="zh-CN"/>
        </w:rPr>
        <w:t>81.84</w:t>
      </w:r>
      <w:r>
        <w:rPr>
          <w:rFonts w:hint="eastAsia" w:ascii="仿宋_GB2312" w:hAnsi="仿宋_GB2312" w:eastAsia="仿宋_GB2312" w:cs="仿宋_GB2312"/>
          <w:color w:val="000000"/>
          <w:sz w:val="30"/>
          <w:szCs w:val="30"/>
        </w:rPr>
        <w:t>万元，</w:t>
      </w:r>
      <w:r>
        <w:rPr>
          <w:rFonts w:hint="eastAsia" w:ascii="仿宋_GB2312" w:hAnsi="仿宋_GB2312" w:eastAsia="仿宋_GB2312" w:cs="仿宋_GB2312"/>
          <w:color w:val="000000"/>
          <w:sz w:val="30"/>
          <w:szCs w:val="30"/>
          <w:lang w:eastAsia="zh-CN"/>
        </w:rPr>
        <w:t>较</w:t>
      </w:r>
      <w:r>
        <w:rPr>
          <w:rFonts w:hint="eastAsia" w:ascii="仿宋_GB2312" w:hAnsi="仿宋_GB2312" w:eastAsia="仿宋_GB2312" w:cs="仿宋_GB2312"/>
          <w:color w:val="000000"/>
          <w:sz w:val="30"/>
          <w:szCs w:val="30"/>
          <w:lang w:val="en-US" w:eastAsia="zh-CN"/>
        </w:rPr>
        <w:t>2020年</w:t>
      </w:r>
      <w:r>
        <w:rPr>
          <w:rFonts w:hint="eastAsia" w:ascii="仿宋_GB2312" w:hAnsi="仿宋_GB2312" w:eastAsia="仿宋_GB2312" w:cs="仿宋_GB2312"/>
          <w:color w:val="000000"/>
          <w:sz w:val="30"/>
          <w:szCs w:val="30"/>
        </w:rPr>
        <w:t>支出预算总额</w:t>
      </w:r>
      <w:r>
        <w:rPr>
          <w:rFonts w:hint="eastAsia" w:ascii="仿宋_GB2312" w:hAnsi="仿宋_GB2312" w:eastAsia="仿宋_GB2312" w:cs="仿宋_GB2312"/>
          <w:color w:val="000000"/>
          <w:sz w:val="30"/>
          <w:szCs w:val="30"/>
          <w:lang w:val="en-US" w:eastAsia="zh-CN"/>
        </w:rPr>
        <w:t>增加30.31万元，</w:t>
      </w:r>
      <w:r>
        <w:rPr>
          <w:rFonts w:hint="eastAsia" w:ascii="仿宋_GB2312" w:hAnsi="仿宋_GB2312" w:eastAsia="仿宋_GB2312" w:cs="仿宋_GB2312"/>
          <w:color w:val="000000"/>
          <w:sz w:val="30"/>
          <w:szCs w:val="30"/>
        </w:rPr>
        <w:t>其中：</w:t>
      </w:r>
    </w:p>
    <w:p>
      <w:pPr>
        <w:keepNext w:val="0"/>
        <w:keepLines w:val="0"/>
        <w:pageBreakBefore w:val="0"/>
        <w:kinsoku/>
        <w:wordWrap/>
        <w:overflowPunct/>
        <w:topLinePunct w:val="0"/>
        <w:bidi w:val="0"/>
        <w:snapToGrid/>
        <w:spacing w:line="580" w:lineRule="exact"/>
        <w:ind w:firstLine="602" w:firstLineChars="200"/>
        <w:textAlignment w:val="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bCs/>
          <w:color w:val="000000"/>
          <w:sz w:val="30"/>
          <w:szCs w:val="30"/>
        </w:rPr>
        <w:t>按支出项目类别划分：</w:t>
      </w:r>
      <w:r>
        <w:rPr>
          <w:rFonts w:hint="eastAsia" w:ascii="仿宋_GB2312" w:hAnsi="仿宋_GB2312" w:eastAsia="仿宋_GB2312" w:cs="仿宋_GB2312"/>
          <w:b w:val="0"/>
          <w:bCs w:val="0"/>
          <w:color w:val="000000"/>
          <w:sz w:val="30"/>
          <w:szCs w:val="30"/>
        </w:rPr>
        <w:t>基本支出56.8</w:t>
      </w:r>
      <w:r>
        <w:rPr>
          <w:rFonts w:hint="eastAsia" w:ascii="仿宋_GB2312" w:hAnsi="仿宋_GB2312" w:eastAsia="仿宋_GB2312" w:cs="仿宋_GB2312"/>
          <w:b w:val="0"/>
          <w:bCs w:val="0"/>
          <w:color w:val="000000"/>
          <w:sz w:val="30"/>
          <w:szCs w:val="30"/>
          <w:lang w:val="en-US" w:eastAsia="zh-CN"/>
        </w:rPr>
        <w:t>4</w:t>
      </w:r>
      <w:r>
        <w:rPr>
          <w:rFonts w:hint="eastAsia" w:ascii="仿宋_GB2312" w:hAnsi="仿宋_GB2312" w:eastAsia="仿宋_GB2312" w:cs="仿宋_GB2312"/>
          <w:b w:val="0"/>
          <w:bCs w:val="0"/>
          <w:color w:val="000000"/>
          <w:sz w:val="30"/>
          <w:szCs w:val="30"/>
        </w:rPr>
        <w:t>万元，占支出预算总额的69.44%，包括工资福利支出56.8</w:t>
      </w:r>
      <w:r>
        <w:rPr>
          <w:rFonts w:hint="eastAsia" w:ascii="仿宋_GB2312" w:hAnsi="仿宋_GB2312" w:eastAsia="仿宋_GB2312" w:cs="仿宋_GB2312"/>
          <w:b w:val="0"/>
          <w:bCs w:val="0"/>
          <w:color w:val="000000"/>
          <w:sz w:val="30"/>
          <w:szCs w:val="30"/>
          <w:lang w:val="en-US" w:eastAsia="zh-CN"/>
        </w:rPr>
        <w:t>4</w:t>
      </w:r>
      <w:r>
        <w:rPr>
          <w:rFonts w:hint="eastAsia" w:ascii="仿宋_GB2312" w:hAnsi="仿宋_GB2312" w:eastAsia="仿宋_GB2312" w:cs="仿宋_GB2312"/>
          <w:b w:val="0"/>
          <w:bCs w:val="0"/>
          <w:color w:val="000000"/>
          <w:sz w:val="30"/>
          <w:szCs w:val="30"/>
        </w:rPr>
        <w:t>万元、商品和服务支出0万元、对个人和家庭的补助支出0万元；项目支出25万元，占支出预算总额的30.56%，包括基本建设项目支出0万元、行政事业性项目支出25万元。</w:t>
      </w:r>
    </w:p>
    <w:p>
      <w:pPr>
        <w:keepNext w:val="0"/>
        <w:keepLines w:val="0"/>
        <w:pageBreakBefore w:val="0"/>
        <w:kinsoku/>
        <w:wordWrap/>
        <w:overflowPunct/>
        <w:topLinePunct w:val="0"/>
        <w:bidi w:val="0"/>
        <w:snapToGrid/>
        <w:spacing w:line="580" w:lineRule="exact"/>
        <w:ind w:firstLine="602" w:firstLineChars="200"/>
        <w:textAlignment w:val="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bCs/>
          <w:color w:val="000000"/>
          <w:sz w:val="30"/>
          <w:szCs w:val="30"/>
        </w:rPr>
        <w:t>按支出功能科目划分：</w:t>
      </w:r>
      <w:r>
        <w:rPr>
          <w:rFonts w:hint="eastAsia" w:ascii="仿宋_GB2312" w:hAnsi="仿宋_GB2312" w:eastAsia="仿宋_GB2312" w:cs="仿宋_GB2312"/>
          <w:b w:val="0"/>
          <w:bCs w:val="0"/>
          <w:color w:val="000000"/>
          <w:sz w:val="30"/>
          <w:szCs w:val="30"/>
        </w:rPr>
        <w:t>一般公共服务支出66.88万元，占支出预算总额的81.76%；社会保障和就业5.35万元，占支出预算总额的6.54%；医疗卫生支出5.76万元，占支出预算总额的7.04%；住房保障支出3.81万元，占支出预算的4.66%。</w:t>
      </w:r>
    </w:p>
    <w:p>
      <w:pPr>
        <w:keepNext w:val="0"/>
        <w:keepLines w:val="0"/>
        <w:pageBreakBefore w:val="0"/>
        <w:kinsoku/>
        <w:wordWrap/>
        <w:overflowPunct/>
        <w:topLinePunct w:val="0"/>
        <w:bidi w:val="0"/>
        <w:snapToGrid/>
        <w:spacing w:line="58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（三）财政拨款支出情况</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color w:val="000000"/>
          <w:sz w:val="30"/>
          <w:szCs w:val="30"/>
          <w:lang w:val="en-US" w:eastAsia="zh-CN"/>
        </w:rPr>
      </w:pPr>
      <w:r>
        <w:rPr>
          <w:rFonts w:hint="eastAsia" w:ascii="仿宋_GB2312" w:hAnsi="仿宋_GB2312" w:eastAsia="仿宋_GB2312" w:cs="仿宋_GB2312"/>
          <w:color w:val="000000"/>
          <w:sz w:val="30"/>
          <w:szCs w:val="30"/>
          <w:lang w:eastAsia="zh-CN"/>
        </w:rPr>
        <w:t>2021年共青团兴国县委员会（含团县委和希望公益服务中心）财政拨款（补助）支出预算81.8</w:t>
      </w:r>
      <w:r>
        <w:rPr>
          <w:rFonts w:hint="eastAsia" w:ascii="仿宋_GB2312" w:hAnsi="仿宋_GB2312" w:eastAsia="仿宋_GB2312" w:cs="仿宋_GB2312"/>
          <w:color w:val="000000"/>
          <w:sz w:val="30"/>
          <w:szCs w:val="30"/>
          <w:lang w:val="en-US" w:eastAsia="zh-CN"/>
        </w:rPr>
        <w:t>4</w:t>
      </w:r>
      <w:r>
        <w:rPr>
          <w:rFonts w:hint="eastAsia" w:ascii="仿宋_GB2312" w:hAnsi="仿宋_GB2312" w:eastAsia="仿宋_GB2312" w:cs="仿宋_GB2312"/>
          <w:color w:val="000000"/>
          <w:sz w:val="30"/>
          <w:szCs w:val="30"/>
          <w:lang w:eastAsia="zh-CN"/>
        </w:rPr>
        <w:t>万元，占支出预算总额的100%，较</w:t>
      </w:r>
      <w:r>
        <w:rPr>
          <w:rFonts w:hint="eastAsia" w:ascii="仿宋_GB2312" w:hAnsi="仿宋_GB2312" w:eastAsia="仿宋_GB2312" w:cs="仿宋_GB2312"/>
          <w:color w:val="000000"/>
          <w:sz w:val="30"/>
          <w:szCs w:val="30"/>
          <w:lang w:val="en-US" w:eastAsia="zh-CN"/>
        </w:rPr>
        <w:t>2020年</w:t>
      </w:r>
      <w:r>
        <w:rPr>
          <w:rFonts w:hint="eastAsia" w:ascii="仿宋_GB2312" w:hAnsi="仿宋_GB2312" w:eastAsia="仿宋_GB2312" w:cs="仿宋_GB2312"/>
          <w:color w:val="000000"/>
          <w:sz w:val="30"/>
          <w:szCs w:val="30"/>
        </w:rPr>
        <w:t>财政拨款（补助）支出预算</w:t>
      </w:r>
      <w:r>
        <w:rPr>
          <w:rFonts w:hint="eastAsia" w:ascii="仿宋_GB2312" w:hAnsi="仿宋_GB2312" w:eastAsia="仿宋_GB2312" w:cs="仿宋_GB2312"/>
          <w:color w:val="000000"/>
          <w:sz w:val="30"/>
          <w:szCs w:val="30"/>
          <w:lang w:val="en-US" w:eastAsia="zh-CN"/>
        </w:rPr>
        <w:t>增加30.31万元。主要原因是</w:t>
      </w:r>
      <w:r>
        <w:rPr>
          <w:rFonts w:hint="eastAsia" w:ascii="仿宋_GB2312" w:hAnsi="仿宋_GB2312" w:eastAsia="仿宋_GB2312" w:cs="仿宋_GB2312"/>
          <w:color w:val="000000"/>
          <w:sz w:val="30"/>
          <w:szCs w:val="30"/>
        </w:rPr>
        <w:t>具体为：一般公共服务支出66.88万元，占支出预算总额的81.76%；社会保障和就业5.35万元，占支出预算总额的6.54%；医疗卫生支出5.76万元，占支出预算总额的7.04%；住房保障支出3.81万元，占支出预算的4.66%。</w:t>
      </w:r>
    </w:p>
    <w:p>
      <w:pPr>
        <w:keepNext w:val="0"/>
        <w:keepLines w:val="0"/>
        <w:pageBreakBefore w:val="0"/>
        <w:kinsoku/>
        <w:wordWrap/>
        <w:overflowPunct/>
        <w:topLinePunct w:val="0"/>
        <w:bidi w:val="0"/>
        <w:snapToGrid/>
        <w:spacing w:line="58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（四）政府性基金情况</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lang w:eastAsia="zh-CN"/>
        </w:rPr>
        <w:t>共青团兴国县委员会</w:t>
      </w:r>
      <w:r>
        <w:rPr>
          <w:rFonts w:hint="eastAsia" w:ascii="仿宋_GB2312" w:hAnsi="仿宋_GB2312" w:eastAsia="仿宋_GB2312" w:cs="仿宋_GB2312"/>
          <w:sz w:val="30"/>
          <w:szCs w:val="30"/>
        </w:rPr>
        <w:t>无政府性基金预算拨款安排的支出。</w:t>
      </w:r>
    </w:p>
    <w:p>
      <w:pPr>
        <w:keepNext w:val="0"/>
        <w:keepLines w:val="0"/>
        <w:pageBreakBefore w:val="0"/>
        <w:kinsoku/>
        <w:wordWrap/>
        <w:overflowPunct/>
        <w:topLinePunct w:val="0"/>
        <w:bidi w:val="0"/>
        <w:snapToGrid/>
        <w:spacing w:line="58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eastAsia="zh-CN"/>
        </w:rPr>
        <w:t>（五）</w:t>
      </w:r>
      <w:r>
        <w:rPr>
          <w:rFonts w:hint="eastAsia" w:ascii="仿宋_GB2312" w:hAnsi="仿宋_GB2312" w:eastAsia="仿宋_GB2312" w:cs="仿宋_GB2312"/>
          <w:b/>
          <w:bCs/>
          <w:sz w:val="30"/>
          <w:szCs w:val="30"/>
        </w:rPr>
        <w:t>机关运行经费等重要事项的说明</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sz w:val="30"/>
          <w:szCs w:val="30"/>
          <w:u w:val="none"/>
          <w:lang w:val="en-US" w:eastAsia="zh-CN"/>
        </w:rPr>
      </w:pPr>
      <w:r>
        <w:rPr>
          <w:rFonts w:hint="eastAsia" w:ascii="仿宋_GB2312" w:hAnsi="仿宋_GB2312" w:eastAsia="仿宋_GB2312" w:cs="仿宋_GB2312"/>
          <w:sz w:val="30"/>
          <w:szCs w:val="30"/>
          <w:u w:val="none"/>
          <w:lang w:eastAsia="zh-CN"/>
        </w:rPr>
        <w:t>2021</w:t>
      </w:r>
      <w:r>
        <w:rPr>
          <w:rFonts w:hint="eastAsia" w:ascii="仿宋_GB2312" w:hAnsi="仿宋_GB2312" w:eastAsia="仿宋_GB2312" w:cs="仿宋_GB2312"/>
          <w:sz w:val="30"/>
          <w:szCs w:val="30"/>
          <w:u w:val="none"/>
        </w:rPr>
        <w:t>年</w:t>
      </w:r>
      <w:r>
        <w:rPr>
          <w:rFonts w:hint="eastAsia" w:ascii="仿宋_GB2312" w:hAnsi="仿宋_GB2312" w:eastAsia="仿宋_GB2312" w:cs="仿宋_GB2312"/>
          <w:sz w:val="30"/>
          <w:szCs w:val="30"/>
          <w:u w:val="none"/>
          <w:lang w:eastAsia="zh-CN"/>
        </w:rPr>
        <w:t>共青团兴国县委员会</w:t>
      </w:r>
      <w:r>
        <w:rPr>
          <w:rFonts w:hint="eastAsia" w:ascii="仿宋_GB2312" w:hAnsi="仿宋_GB2312" w:eastAsia="仿宋_GB2312" w:cs="仿宋_GB2312"/>
          <w:sz w:val="30"/>
          <w:szCs w:val="30"/>
          <w:u w:val="none"/>
        </w:rPr>
        <w:t>机关运行费预算</w:t>
      </w:r>
      <w:r>
        <w:rPr>
          <w:rFonts w:hint="eastAsia" w:ascii="仿宋_GB2312" w:hAnsi="仿宋_GB2312" w:eastAsia="仿宋_GB2312" w:cs="仿宋_GB2312"/>
          <w:sz w:val="30"/>
          <w:szCs w:val="30"/>
          <w:u w:val="none"/>
          <w:lang w:val="en-US" w:eastAsia="zh-CN"/>
        </w:rPr>
        <w:t>6.3</w:t>
      </w:r>
      <w:r>
        <w:rPr>
          <w:rFonts w:hint="eastAsia" w:ascii="仿宋_GB2312" w:hAnsi="仿宋_GB2312" w:eastAsia="仿宋_GB2312" w:cs="仿宋_GB2312"/>
          <w:sz w:val="30"/>
          <w:szCs w:val="30"/>
          <w:u w:val="none"/>
        </w:rPr>
        <w:t>万元，</w:t>
      </w:r>
      <w:r>
        <w:rPr>
          <w:rFonts w:hint="eastAsia" w:ascii="仿宋_GB2312" w:hAnsi="仿宋_GB2312" w:eastAsia="仿宋_GB2312" w:cs="仿宋_GB2312"/>
          <w:sz w:val="30"/>
          <w:szCs w:val="30"/>
          <w:u w:val="none"/>
          <w:lang w:eastAsia="zh-CN"/>
        </w:rPr>
        <w:t>较</w:t>
      </w:r>
      <w:r>
        <w:rPr>
          <w:rFonts w:hint="eastAsia" w:ascii="仿宋_GB2312" w:hAnsi="仿宋_GB2312" w:eastAsia="仿宋_GB2312" w:cs="仿宋_GB2312"/>
          <w:sz w:val="30"/>
          <w:szCs w:val="30"/>
          <w:u w:val="none"/>
          <w:lang w:val="en-US" w:eastAsia="zh-CN"/>
        </w:rPr>
        <w:t>2020年增加3.52万元，主要原因是单位人员增加</w:t>
      </w:r>
      <w:r>
        <w:rPr>
          <w:rFonts w:hint="eastAsia" w:ascii="仿宋_GB2312" w:hAnsi="仿宋_GB2312" w:eastAsia="仿宋_GB2312" w:cs="仿宋_GB2312"/>
          <w:sz w:val="30"/>
          <w:szCs w:val="30"/>
          <w:u w:val="none"/>
          <w:lang w:eastAsia="zh-CN"/>
        </w:rPr>
        <w:t>。</w:t>
      </w:r>
    </w:p>
    <w:p>
      <w:pPr>
        <w:keepNext w:val="0"/>
        <w:keepLines w:val="0"/>
        <w:pageBreakBefore w:val="0"/>
        <w:kinsoku/>
        <w:wordWrap/>
        <w:overflowPunct/>
        <w:topLinePunct w:val="0"/>
        <w:bidi w:val="0"/>
        <w:snapToGrid/>
        <w:spacing w:line="580" w:lineRule="exact"/>
        <w:ind w:firstLine="569" w:firstLineChars="189"/>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（六）政府采购情况</w:t>
      </w:r>
    </w:p>
    <w:p>
      <w:pPr>
        <w:pStyle w:val="8"/>
        <w:keepNext w:val="0"/>
        <w:keepLines w:val="0"/>
        <w:pageBreakBefore w:val="0"/>
        <w:kinsoku/>
        <w:wordWrap/>
        <w:overflowPunct/>
        <w:topLinePunct w:val="0"/>
        <w:bidi w:val="0"/>
        <w:snapToGrid/>
        <w:spacing w:line="580" w:lineRule="exact"/>
        <w:ind w:firstLine="600"/>
        <w:textAlignment w:val="auto"/>
        <w:rPr>
          <w:rFonts w:hint="eastAsia" w:ascii="仿宋_GB2312" w:hAnsi="仿宋_GB2312" w:eastAsia="仿宋_GB2312" w:cs="仿宋_GB2312"/>
          <w:sz w:val="30"/>
          <w:szCs w:val="30"/>
        </w:rPr>
      </w:pPr>
      <w:r>
        <w:rPr>
          <w:rFonts w:hint="eastAsia" w:ascii="仿宋_GB2312" w:hAnsi="仿宋_GB2312" w:eastAsia="仿宋_GB2312" w:cs="仿宋_GB2312"/>
          <w:color w:val="000000"/>
          <w:sz w:val="30"/>
          <w:szCs w:val="30"/>
          <w:lang w:eastAsia="zh-CN"/>
        </w:rPr>
        <w:t>共青团兴国县委员会</w:t>
      </w:r>
      <w:r>
        <w:rPr>
          <w:rFonts w:hint="eastAsia" w:ascii="仿宋_GB2312" w:hAnsi="仿宋_GB2312" w:eastAsia="仿宋_GB2312" w:cs="仿宋_GB2312"/>
          <w:sz w:val="30"/>
          <w:szCs w:val="30"/>
          <w:lang w:eastAsia="zh-CN"/>
        </w:rPr>
        <w:t>2021</w:t>
      </w:r>
      <w:r>
        <w:rPr>
          <w:rFonts w:hint="eastAsia" w:ascii="仿宋_GB2312" w:hAnsi="仿宋_GB2312" w:eastAsia="仿宋_GB2312" w:cs="仿宋_GB2312"/>
          <w:sz w:val="30"/>
          <w:szCs w:val="30"/>
        </w:rPr>
        <w:t>年度无政府采购</w:t>
      </w:r>
      <w:r>
        <w:rPr>
          <w:rFonts w:hint="eastAsia" w:ascii="仿宋_GB2312" w:hAnsi="仿宋_GB2312" w:eastAsia="仿宋_GB2312" w:cs="仿宋_GB2312"/>
          <w:sz w:val="30"/>
          <w:szCs w:val="30"/>
          <w:lang w:eastAsia="zh-CN"/>
        </w:rPr>
        <w:t>预算</w:t>
      </w:r>
      <w:r>
        <w:rPr>
          <w:rFonts w:hint="eastAsia" w:ascii="仿宋_GB2312" w:hAnsi="仿宋_GB2312" w:eastAsia="仿宋_GB2312" w:cs="仿宋_GB2312"/>
          <w:sz w:val="30"/>
          <w:szCs w:val="30"/>
        </w:rPr>
        <w:t>。</w:t>
      </w:r>
    </w:p>
    <w:p>
      <w:pPr>
        <w:keepNext w:val="0"/>
        <w:keepLines w:val="0"/>
        <w:pageBreakBefore w:val="0"/>
        <w:kinsoku/>
        <w:wordWrap/>
        <w:overflowPunct/>
        <w:topLinePunct w:val="0"/>
        <w:bidi w:val="0"/>
        <w:snapToGrid/>
        <w:spacing w:line="580" w:lineRule="exact"/>
        <w:ind w:firstLine="569" w:firstLineChars="189"/>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（七）国有资产占有使用情况</w:t>
      </w:r>
    </w:p>
    <w:p>
      <w:pPr>
        <w:keepNext w:val="0"/>
        <w:keepLines w:val="0"/>
        <w:pageBreakBefore w:val="0"/>
        <w:kinsoku/>
        <w:wordWrap/>
        <w:overflowPunct/>
        <w:topLinePunct w:val="0"/>
        <w:bidi w:val="0"/>
        <w:snapToGrid/>
        <w:spacing w:line="580" w:lineRule="exact"/>
        <w:ind w:firstLine="630"/>
        <w:jc w:val="left"/>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color w:val="000000"/>
          <w:sz w:val="30"/>
          <w:szCs w:val="30"/>
          <w:lang w:eastAsia="zh-CN"/>
        </w:rPr>
        <w:t>共青团兴国县委员会</w:t>
      </w:r>
      <w:r>
        <w:rPr>
          <w:rFonts w:hint="eastAsia" w:ascii="仿宋_GB2312" w:hAnsi="仿宋_GB2312" w:eastAsia="仿宋_GB2312" w:cs="仿宋_GB2312"/>
          <w:kern w:val="0"/>
          <w:sz w:val="30"/>
          <w:szCs w:val="30"/>
        </w:rPr>
        <w:t>无车辆。</w:t>
      </w:r>
    </w:p>
    <w:p>
      <w:pPr>
        <w:keepNext w:val="0"/>
        <w:keepLines w:val="0"/>
        <w:pageBreakBefore w:val="0"/>
        <w:kinsoku/>
        <w:wordWrap/>
        <w:overflowPunct/>
        <w:topLinePunct w:val="0"/>
        <w:bidi w:val="0"/>
        <w:snapToGrid/>
        <w:spacing w:line="580" w:lineRule="exact"/>
        <w:ind w:firstLine="569" w:firstLineChars="189"/>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rPr>
        <w:t>（八）绩效目标设置情况</w:t>
      </w:r>
    </w:p>
    <w:p>
      <w:pPr>
        <w:keepNext w:val="0"/>
        <w:keepLines w:val="0"/>
        <w:pageBreakBefore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w:t>
      </w:r>
      <w:r>
        <w:rPr>
          <w:rFonts w:hint="eastAsia" w:ascii="仿宋_GB2312" w:hAnsi="仿宋_GB2312" w:eastAsia="仿宋_GB2312" w:cs="仿宋_GB2312"/>
          <w:color w:val="000000"/>
          <w:sz w:val="30"/>
          <w:szCs w:val="30"/>
          <w:lang w:eastAsia="zh-CN"/>
        </w:rPr>
        <w:t>共青团兴国县委员会</w:t>
      </w:r>
      <w:r>
        <w:rPr>
          <w:rFonts w:hint="eastAsia" w:ascii="仿宋_GB2312" w:hAnsi="仿宋_GB2312" w:eastAsia="仿宋_GB2312" w:cs="仿宋_GB2312"/>
          <w:color w:val="000000"/>
          <w:sz w:val="30"/>
          <w:szCs w:val="30"/>
          <w:lang w:val="en-US" w:eastAsia="zh-CN"/>
        </w:rPr>
        <w:t>2021年</w:t>
      </w:r>
      <w:r>
        <w:rPr>
          <w:rFonts w:hint="eastAsia" w:ascii="仿宋_GB2312" w:hAnsi="仿宋_GB2312" w:eastAsia="仿宋_GB2312" w:cs="仿宋_GB2312"/>
          <w:kern w:val="0"/>
          <w:sz w:val="30"/>
          <w:szCs w:val="30"/>
        </w:rPr>
        <w:t>没有</w:t>
      </w:r>
      <w:r>
        <w:rPr>
          <w:rFonts w:hint="eastAsia" w:ascii="仿宋_GB2312" w:hAnsi="仿宋_GB2312" w:eastAsia="仿宋_GB2312" w:cs="仿宋_GB2312"/>
          <w:kern w:val="0"/>
          <w:sz w:val="30"/>
          <w:szCs w:val="30"/>
          <w:lang w:val="en-US" w:eastAsia="zh-CN"/>
        </w:rPr>
        <w:t>100万元以上的</w:t>
      </w:r>
      <w:r>
        <w:rPr>
          <w:rFonts w:hint="eastAsia" w:ascii="仿宋_GB2312" w:hAnsi="仿宋_GB2312" w:eastAsia="仿宋_GB2312" w:cs="仿宋_GB2312"/>
          <w:kern w:val="0"/>
          <w:sz w:val="30"/>
          <w:szCs w:val="30"/>
        </w:rPr>
        <w:t>预算绩效评价项目。</w:t>
      </w:r>
    </w:p>
    <w:p>
      <w:pPr>
        <w:keepNext w:val="0"/>
        <w:keepLines w:val="0"/>
        <w:pageBreakBefore w:val="0"/>
        <w:kinsoku/>
        <w:wordWrap/>
        <w:overflowPunct/>
        <w:topLinePunct w:val="0"/>
        <w:bidi w:val="0"/>
        <w:snapToGrid/>
        <w:spacing w:line="580" w:lineRule="exact"/>
        <w:ind w:firstLine="569" w:firstLineChars="189"/>
        <w:textAlignment w:val="auto"/>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cs="宋体"/>
          <w:b/>
          <w:bCs/>
          <w:sz w:val="30"/>
          <w:szCs w:val="30"/>
          <w:lang w:eastAsia="zh-CN"/>
        </w:rPr>
        <w:t>2021</w:t>
      </w:r>
      <w:r>
        <w:rPr>
          <w:rFonts w:hint="eastAsia" w:ascii="宋体" w:hAnsi="宋体" w:eastAsia="宋体" w:cs="宋体"/>
          <w:b/>
          <w:bCs/>
          <w:sz w:val="30"/>
          <w:szCs w:val="30"/>
        </w:rPr>
        <w:t>年“三公”经费预算情况说明</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2021</w:t>
      </w:r>
      <w:r>
        <w:rPr>
          <w:rFonts w:hint="eastAsia" w:ascii="仿宋_GB2312" w:hAnsi="仿宋_GB2312" w:eastAsia="仿宋_GB2312" w:cs="仿宋_GB2312"/>
          <w:sz w:val="30"/>
          <w:szCs w:val="30"/>
        </w:rPr>
        <w:t>年</w:t>
      </w:r>
      <w:r>
        <w:rPr>
          <w:rFonts w:hint="eastAsia" w:ascii="仿宋_GB2312" w:hAnsi="仿宋_GB2312" w:eastAsia="仿宋_GB2312" w:cs="仿宋_GB2312"/>
          <w:color w:val="000000"/>
          <w:sz w:val="30"/>
          <w:szCs w:val="30"/>
          <w:lang w:eastAsia="zh-CN"/>
        </w:rPr>
        <w:t>共青团兴国县委员会</w:t>
      </w:r>
      <w:r>
        <w:rPr>
          <w:rFonts w:hint="eastAsia" w:ascii="仿宋_GB2312" w:hAnsi="仿宋_GB2312" w:eastAsia="仿宋_GB2312" w:cs="仿宋_GB2312"/>
          <w:sz w:val="30"/>
          <w:szCs w:val="30"/>
        </w:rPr>
        <w:t>“三公”经费一般公共预算安排</w:t>
      </w:r>
      <w:r>
        <w:rPr>
          <w:rFonts w:hint="eastAsia" w:ascii="仿宋_GB2312" w:hAnsi="仿宋_GB2312" w:eastAsia="仿宋_GB2312" w:cs="仿宋_GB2312"/>
          <w:sz w:val="30"/>
          <w:szCs w:val="30"/>
          <w:lang w:val="en-US" w:eastAsia="zh-CN"/>
        </w:rPr>
        <w:t>0.3</w:t>
      </w:r>
      <w:r>
        <w:rPr>
          <w:rFonts w:hint="eastAsia" w:ascii="仿宋_GB2312" w:hAnsi="仿宋_GB2312" w:eastAsia="仿宋_GB2312" w:cs="仿宋_GB2312"/>
          <w:sz w:val="30"/>
          <w:szCs w:val="30"/>
        </w:rPr>
        <w:t>万元。其中：</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因公出国（境）费0万元，比上年增加0万元，无变化。</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公务接待费</w:t>
      </w:r>
      <w:r>
        <w:rPr>
          <w:rFonts w:hint="eastAsia" w:ascii="仿宋_GB2312" w:hAnsi="仿宋_GB2312" w:eastAsia="仿宋_GB2312" w:cs="仿宋_GB2312"/>
          <w:sz w:val="30"/>
          <w:szCs w:val="30"/>
          <w:lang w:val="en-US" w:eastAsia="zh-CN"/>
        </w:rPr>
        <w:t>0.3</w:t>
      </w:r>
      <w:r>
        <w:rPr>
          <w:rFonts w:hint="eastAsia" w:ascii="仿宋_GB2312" w:hAnsi="仿宋_GB2312" w:eastAsia="仿宋_GB2312" w:cs="仿宋_GB2312"/>
          <w:sz w:val="30"/>
          <w:szCs w:val="30"/>
        </w:rPr>
        <w:t>万元，</w:t>
      </w:r>
      <w:r>
        <w:rPr>
          <w:rFonts w:hint="eastAsia" w:ascii="仿宋_GB2312" w:hAnsi="仿宋_GB2312" w:eastAsia="仿宋_GB2312" w:cs="仿宋_GB2312"/>
          <w:sz w:val="30"/>
          <w:szCs w:val="30"/>
          <w:lang w:eastAsia="zh-CN"/>
        </w:rPr>
        <w:t>较</w:t>
      </w:r>
      <w:r>
        <w:rPr>
          <w:rFonts w:hint="eastAsia" w:ascii="仿宋_GB2312" w:hAnsi="仿宋_GB2312" w:eastAsia="仿宋_GB2312" w:cs="仿宋_GB2312"/>
          <w:sz w:val="30"/>
          <w:szCs w:val="30"/>
          <w:lang w:val="en-US" w:eastAsia="zh-CN"/>
        </w:rPr>
        <w:t>2020年减少0.2万元，主要是缩减了公务接待支出。</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公务用车运行0万元，比上年增加0万元，无变化。</w:t>
      </w:r>
    </w:p>
    <w:p>
      <w:pPr>
        <w:keepNext w:val="0"/>
        <w:keepLines w:val="0"/>
        <w:pageBreakBefore w:val="0"/>
        <w:kinsoku/>
        <w:wordWrap/>
        <w:overflowPunct/>
        <w:topLinePunct w:val="0"/>
        <w:bidi w:val="0"/>
        <w:snapToGrid/>
        <w:spacing w:line="58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公务用车购置0万元，比上年增加0万元，无变化。</w:t>
      </w:r>
    </w:p>
    <w:p>
      <w:pPr>
        <w:keepNext w:val="0"/>
        <w:keepLines w:val="0"/>
        <w:pageBreakBefore w:val="0"/>
        <w:kinsoku/>
        <w:wordWrap/>
        <w:overflowPunct/>
        <w:topLinePunct w:val="0"/>
        <w:bidi w:val="0"/>
        <w:snapToGrid/>
        <w:spacing w:line="580" w:lineRule="exact"/>
        <w:jc w:val="both"/>
        <w:textAlignment w:val="auto"/>
        <w:rPr>
          <w:rFonts w:hint="eastAsia" w:ascii="宋体" w:hAnsi="宋体" w:eastAsia="宋体" w:cs="宋体"/>
          <w:b/>
          <w:bCs/>
          <w:sz w:val="30"/>
          <w:szCs w:val="30"/>
        </w:rPr>
      </w:pPr>
      <w:bookmarkStart w:id="0" w:name="_GoBack"/>
      <w:bookmarkEnd w:id="0"/>
    </w:p>
    <w:p>
      <w:pPr>
        <w:keepNext w:val="0"/>
        <w:keepLines w:val="0"/>
        <w:pageBreakBefore w:val="0"/>
        <w:kinsoku/>
        <w:wordWrap/>
        <w:overflowPunct/>
        <w:topLinePunct w:val="0"/>
        <w:bidi w:val="0"/>
        <w:snapToGrid/>
        <w:spacing w:line="580" w:lineRule="exact"/>
        <w:ind w:firstLine="569" w:firstLineChars="189"/>
        <w:jc w:val="center"/>
        <w:textAlignment w:val="auto"/>
        <w:rPr>
          <w:rFonts w:hint="eastAsia" w:ascii="宋体" w:hAnsi="宋体" w:eastAsia="宋体" w:cs="宋体"/>
          <w:sz w:val="30"/>
          <w:szCs w:val="30"/>
        </w:rPr>
      </w:pPr>
      <w:r>
        <w:rPr>
          <w:rFonts w:hint="eastAsia" w:ascii="宋体" w:hAnsi="宋体" w:eastAsia="宋体" w:cs="宋体"/>
          <w:b/>
          <w:bCs/>
          <w:sz w:val="30"/>
          <w:szCs w:val="30"/>
        </w:rPr>
        <w:t>第四部分名词解释</w:t>
      </w:r>
    </w:p>
    <w:p>
      <w:pPr>
        <w:keepNext w:val="0"/>
        <w:keepLines w:val="0"/>
        <w:pageBreakBefore w:val="0"/>
        <w:widowControl w:val="0"/>
        <w:kinsoku/>
        <w:wordWrap/>
        <w:overflowPunct/>
        <w:topLinePunct w:val="0"/>
        <w:autoSpaceDE/>
        <w:autoSpaceDN/>
        <w:bidi w:val="0"/>
        <w:adjustRightInd/>
        <w:snapToGrid/>
        <w:spacing w:line="580" w:lineRule="exact"/>
        <w:ind w:firstLine="569" w:firstLineChars="189"/>
        <w:textAlignment w:val="auto"/>
        <w:rPr>
          <w:rFonts w:hint="eastAsia" w:ascii="宋体" w:hAnsi="宋体" w:eastAsia="宋体" w:cs="宋体"/>
          <w:b/>
          <w:bCs/>
          <w:sz w:val="30"/>
          <w:szCs w:val="30"/>
        </w:rPr>
      </w:pPr>
      <w:r>
        <w:rPr>
          <w:rFonts w:hint="eastAsia" w:ascii="宋体" w:hAnsi="宋体" w:eastAsia="宋体" w:cs="宋体"/>
          <w:b/>
          <w:bCs/>
          <w:sz w:val="30"/>
          <w:szCs w:val="30"/>
        </w:rPr>
        <w:t>一、收入科目</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各部门结合实际进行解释。</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取得的收入。</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收入等以外的各项收入。</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位按规定标准或比例缴纳的各项收入。包括附属的事业单位上缴</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的收入和附属的企业上缴的利润等。</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eastAsia="宋体" w:cs="宋体"/>
          <w:sz w:val="30"/>
          <w:szCs w:val="30"/>
        </w:rPr>
      </w:pPr>
      <w:r>
        <w:rPr>
          <w:rFonts w:hint="eastAsia" w:ascii="宋体" w:hAnsi="宋体" w:eastAsia="宋体" w:cs="宋体"/>
          <w:sz w:val="30"/>
          <w:szCs w:val="30"/>
        </w:rPr>
        <w:t>取得的非财政补助收入。</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宋体" w:hAnsi="宋体" w:eastAsia="宋体" w:cs="宋体"/>
          <w:sz w:val="30"/>
          <w:szCs w:val="30"/>
        </w:rPr>
      </w:pPr>
      <w:r>
        <w:rPr>
          <w:rFonts w:hint="eastAsia" w:ascii="宋体" w:hAnsi="宋体" w:eastAsia="宋体" w:cs="宋体"/>
          <w:sz w:val="30"/>
          <w:szCs w:val="30"/>
        </w:rPr>
        <w:t>非统计财政拨款结余弥补</w:t>
      </w:r>
      <w:r>
        <w:rPr>
          <w:rFonts w:hint="eastAsia" w:ascii="宋体" w:hAnsi="宋体" w:cs="宋体"/>
          <w:sz w:val="30"/>
          <w:szCs w:val="30"/>
          <w:lang w:val="en-US" w:eastAsia="zh-CN"/>
        </w:rPr>
        <w:t>2021</w:t>
      </w:r>
      <w:r>
        <w:rPr>
          <w:rFonts w:hint="eastAsia" w:ascii="宋体" w:hAnsi="宋体" w:eastAsia="宋体" w:cs="宋体"/>
          <w:sz w:val="30"/>
          <w:szCs w:val="30"/>
        </w:rPr>
        <w:t>年收支差额的数额。</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jc w:val="left"/>
        <w:textAlignment w:val="auto"/>
        <w:rPr>
          <w:rFonts w:hint="eastAsia" w:ascii="宋体" w:hAnsi="宋体" w:eastAsia="宋体" w:cs="宋体"/>
          <w:sz w:val="30"/>
          <w:szCs w:val="30"/>
        </w:rPr>
      </w:pPr>
      <w:r>
        <w:rPr>
          <w:rFonts w:hint="eastAsia" w:ascii="宋体" w:hAnsi="宋体" w:eastAsia="宋体" w:cs="宋体"/>
          <w:sz w:val="30"/>
          <w:szCs w:val="30"/>
        </w:rPr>
        <w:t>（八）上年结转和结余：填列</w:t>
      </w:r>
      <w:r>
        <w:rPr>
          <w:rFonts w:hint="eastAsia" w:ascii="宋体" w:hAnsi="宋体" w:cs="宋体"/>
          <w:sz w:val="30"/>
          <w:szCs w:val="30"/>
          <w:lang w:eastAsia="zh-CN"/>
        </w:rPr>
        <w:t>2020</w:t>
      </w:r>
      <w:r>
        <w:rPr>
          <w:rFonts w:hint="eastAsia" w:ascii="宋体" w:hAnsi="宋体" w:eastAsia="宋体" w:cs="宋体"/>
          <w:sz w:val="30"/>
          <w:szCs w:val="30"/>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80" w:lineRule="exact"/>
        <w:ind w:firstLine="569" w:firstLineChars="189"/>
        <w:textAlignment w:val="auto"/>
        <w:rPr>
          <w:rFonts w:hint="eastAsia" w:ascii="宋体" w:hAnsi="宋体" w:eastAsia="宋体" w:cs="宋体"/>
          <w:b/>
          <w:bCs/>
          <w:sz w:val="30"/>
          <w:szCs w:val="30"/>
        </w:rPr>
      </w:pPr>
      <w:r>
        <w:rPr>
          <w:rFonts w:hint="eastAsia" w:ascii="宋体" w:hAnsi="宋体" w:eastAsia="宋体" w:cs="宋体"/>
          <w:b/>
          <w:bCs/>
          <w:sz w:val="30"/>
          <w:szCs w:val="30"/>
        </w:rPr>
        <w:t>二、支出科目</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对部门</w:t>
      </w:r>
      <w:r>
        <w:rPr>
          <w:rFonts w:hint="eastAsia" w:ascii="宋体" w:hAnsi="宋体" w:eastAsia="宋体" w:cs="宋体"/>
          <w:sz w:val="30"/>
          <w:szCs w:val="30"/>
          <w:lang w:eastAsia="zh-CN"/>
        </w:rPr>
        <w:t>或单位</w:t>
      </w:r>
      <w:r>
        <w:rPr>
          <w:rFonts w:hint="eastAsia" w:ascii="宋体" w:hAnsi="宋体" w:eastAsia="宋体" w:cs="宋体"/>
          <w:sz w:val="30"/>
          <w:szCs w:val="30"/>
        </w:rPr>
        <w:t>预算中涉及的支出功能分类科目（明细到项级），结合部门实际，参照《</w:t>
      </w:r>
      <w:r>
        <w:rPr>
          <w:rFonts w:hint="eastAsia" w:ascii="宋体" w:hAnsi="宋体" w:cs="宋体"/>
          <w:sz w:val="30"/>
          <w:szCs w:val="30"/>
          <w:lang w:eastAsia="zh-CN"/>
        </w:rPr>
        <w:t>2021</w:t>
      </w:r>
      <w:r>
        <w:rPr>
          <w:rFonts w:hint="eastAsia" w:ascii="宋体" w:hAnsi="宋体" w:eastAsia="宋体" w:cs="宋体"/>
          <w:sz w:val="30"/>
          <w:szCs w:val="30"/>
        </w:rPr>
        <w:t>年政府收支分类科目》的规范说明行解释。</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80" w:lineRule="exact"/>
        <w:ind w:firstLine="567" w:firstLineChars="189"/>
        <w:textAlignment w:val="auto"/>
        <w:rPr>
          <w:rFonts w:hint="eastAsia"/>
          <w:lang w:val="en-US" w:eastAsia="zh-CN"/>
        </w:rPr>
      </w:pPr>
      <w:r>
        <w:rPr>
          <w:rFonts w:hint="eastAsia" w:ascii="宋体" w:hAnsi="宋体" w:eastAsia="宋体" w:cs="宋体"/>
          <w:sz w:val="30"/>
          <w:szCs w:val="30"/>
        </w:rPr>
        <w:t>（六）死亡抚恤：反映单位遗属人员生活补助。</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68DA385F-E91A-46E3-9FCF-0C8D0CC111AC}"/>
  </w:font>
  <w:font w:name="仿宋_GB2312">
    <w:panose1 w:val="02010609030101010101"/>
    <w:charset w:val="86"/>
    <w:family w:val="auto"/>
    <w:pitch w:val="default"/>
    <w:sig w:usb0="00000001" w:usb1="080E0000" w:usb2="00000000" w:usb3="00000000" w:csb0="00040000" w:csb1="00000000"/>
    <w:embedRegular r:id="rId2" w:fontKey="{C8345F79-7121-4E2B-99D8-3813B639870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2"/>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pPr>
                      <w:pStyle w:val="2"/>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57FF563F"/>
    <w:rsid w:val="065B43E7"/>
    <w:rsid w:val="0CA0096B"/>
    <w:rsid w:val="0DCA4731"/>
    <w:rsid w:val="10815DE6"/>
    <w:rsid w:val="160B4FFF"/>
    <w:rsid w:val="17681084"/>
    <w:rsid w:val="17B25AE8"/>
    <w:rsid w:val="1EDC24C3"/>
    <w:rsid w:val="24253642"/>
    <w:rsid w:val="2B192046"/>
    <w:rsid w:val="2DAF2A2A"/>
    <w:rsid w:val="30360D48"/>
    <w:rsid w:val="348B3F84"/>
    <w:rsid w:val="37EA009B"/>
    <w:rsid w:val="3F39041A"/>
    <w:rsid w:val="53907BEC"/>
    <w:rsid w:val="57DD177A"/>
    <w:rsid w:val="57FF563F"/>
    <w:rsid w:val="65307654"/>
    <w:rsid w:val="66F64B20"/>
    <w:rsid w:val="688E0ABD"/>
    <w:rsid w:val="6CB76C54"/>
    <w:rsid w:val="6DAC228E"/>
    <w:rsid w:val="73936B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FollowedHyperlink"/>
    <w:basedOn w:val="5"/>
    <w:qFormat/>
    <w:uiPriority w:val="0"/>
    <w:rPr>
      <w:color w:val="000000"/>
      <w:sz w:val="18"/>
      <w:szCs w:val="18"/>
      <w:u w:val="none"/>
    </w:rPr>
  </w:style>
  <w:style w:type="character" w:styleId="7">
    <w:name w:val="Hyperlink"/>
    <w:basedOn w:val="5"/>
    <w:qFormat/>
    <w:uiPriority w:val="0"/>
    <w:rPr>
      <w:color w:val="000000"/>
      <w:sz w:val="18"/>
      <w:szCs w:val="18"/>
      <w:u w:val="none"/>
    </w:rPr>
  </w:style>
  <w:style w:type="paragraph" w:customStyle="1" w:styleId="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2077</Words>
  <Characters>2280</Characters>
  <Lines>0</Lines>
  <Paragraphs>0</Paragraphs>
  <TotalTime>1</TotalTime>
  <ScaleCrop>false</ScaleCrop>
  <LinksUpToDate>false</LinksUpToDate>
  <CharactersWithSpaces>2293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巫媛</cp:lastModifiedBy>
  <dcterms:modified xsi:type="dcterms:W3CDTF">2022-09-20T01:10:26Z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81F1DFBB38954536BCB24582ECBE6B54</vt:lpwstr>
  </property>
</Properties>
</file>