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auto"/>
          <w:sz w:val="44"/>
          <w:szCs w:val="44"/>
          <w:lang w:eastAsia="zh-CN"/>
        </w:rPr>
      </w:pPr>
    </w:p>
    <w:p>
      <w:pPr>
        <w:spacing w:line="560" w:lineRule="exact"/>
        <w:jc w:val="center"/>
        <w:rPr>
          <w:rFonts w:hint="eastAsia" w:ascii="黑体" w:hAnsi="黑体" w:eastAsia="黑体" w:cs="黑体"/>
          <w:color w:val="auto"/>
          <w:sz w:val="36"/>
          <w:szCs w:val="36"/>
        </w:rPr>
      </w:pPr>
      <w:r>
        <w:rPr>
          <w:rFonts w:hint="eastAsia" w:ascii="方正小标宋简体" w:hAnsi="方正小标宋简体" w:eastAsia="方正小标宋简体" w:cs="方正小标宋简体"/>
          <w:bCs/>
          <w:color w:val="auto"/>
          <w:sz w:val="44"/>
          <w:szCs w:val="44"/>
          <w:lang w:eastAsia="zh-CN"/>
        </w:rPr>
        <w:t>中国共产党兴国县委员会党校</w:t>
      </w:r>
      <w:r>
        <w:rPr>
          <w:rFonts w:hint="eastAsia" w:ascii="方正小标宋简体" w:hAnsi="方正小标宋简体" w:eastAsia="方正小标宋简体" w:cs="方正小标宋简体"/>
          <w:bCs/>
          <w:color w:val="auto"/>
          <w:sz w:val="44"/>
          <w:szCs w:val="44"/>
          <w:lang w:val="en-US" w:eastAsia="zh-CN"/>
        </w:rPr>
        <w:t>2021</w:t>
      </w:r>
      <w:r>
        <w:rPr>
          <w:rFonts w:hint="eastAsia" w:ascii="方正小标宋简体" w:hAnsi="方正小标宋简体" w:eastAsia="方正小标宋简体" w:cs="方正小标宋简体"/>
          <w:bCs/>
          <w:color w:val="auto"/>
          <w:sz w:val="44"/>
          <w:szCs w:val="44"/>
        </w:rPr>
        <w:t>年部门预算编制说明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 xml:space="preserve">第一部分 </w:t>
      </w:r>
      <w:r>
        <w:rPr>
          <w:rFonts w:hint="eastAsia" w:ascii="仿宋" w:hAnsi="仿宋" w:eastAsia="仿宋" w:cs="仿宋"/>
          <w:b/>
          <w:bCs/>
          <w:color w:val="auto"/>
          <w:sz w:val="32"/>
          <w:szCs w:val="32"/>
          <w:lang w:eastAsia="zh-CN"/>
        </w:rPr>
        <w:t>中国共产党兴国县委员会党校部门</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中国共产党兴国县委员会党校部门</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中国共产党兴国县委员会党校部门</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九、《部门整体支出绩效目标表》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lang w:eastAsia="zh-CN"/>
        </w:rPr>
        <w:t>中国共产党兴国县委员会党校部门</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中国共产党兴国县委员会</w:t>
      </w:r>
      <w:r>
        <w:rPr>
          <w:rFonts w:hint="eastAsia" w:ascii="仿宋" w:hAnsi="仿宋" w:eastAsia="仿宋" w:cs="仿宋"/>
          <w:color w:val="auto"/>
          <w:sz w:val="32"/>
          <w:szCs w:val="32"/>
        </w:rPr>
        <w:t>党校是在党委直接领导下培训党政干部、党员和入党积极分子的学校。负责举办培训班、轮训班、培训党员、干部入党积极分子，系统进行马克思主义基本理论、党的基本路线和基本知识的教育和灌输。</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兴国县委党校为一级预算管理单位，无下属单位。县委党校内设机构共7个，分别为办公室、教务处、培训处、科研处、外联处、社会主义学院工作处、苏区干部好作风教育培训处。截止2020年11月10日，定编人数 23人，实有在编人员 16 人，其中：职级副处级1人，主任科员 3人，副主任科员 3人，科员3人，高级工1人，专业技术人员</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人；男职工 8 人、女职工 8 人，退休人员 14 人，另有享受遗属补助人数4人。</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eastAsia="zh-CN"/>
        </w:rPr>
        <w:t>中国共产党兴国县委员会党校</w:t>
      </w:r>
      <w:r>
        <w:rPr>
          <w:rFonts w:hint="eastAsia" w:ascii="黑体" w:hAnsi="黑体" w:eastAsia="黑体" w:cs="黑体"/>
          <w:b w:val="0"/>
          <w:bCs w:val="0"/>
          <w:color w:val="auto"/>
          <w:sz w:val="32"/>
          <w:szCs w:val="32"/>
          <w:lang w:val="en-US" w:eastAsia="zh-CN"/>
        </w:rPr>
        <w:t>2021</w:t>
      </w:r>
      <w:r>
        <w:rPr>
          <w:rFonts w:hint="eastAsia" w:ascii="黑体" w:hAnsi="黑体" w:eastAsia="黑体" w:cs="黑体"/>
          <w:b w:val="0"/>
          <w:bCs w:val="0"/>
          <w:color w:val="auto"/>
          <w:sz w:val="32"/>
          <w:szCs w:val="32"/>
        </w:rPr>
        <w:t>年部门预算</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2021</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2021年中共兴国县委党校收入预算总额为32</w:t>
      </w:r>
      <w:r>
        <w:rPr>
          <w:rFonts w:hint="eastAsia" w:ascii="仿宋" w:hAnsi="仿宋" w:eastAsia="仿宋" w:cs="仿宋"/>
          <w:color w:val="auto"/>
          <w:sz w:val="32"/>
          <w:szCs w:val="32"/>
          <w:lang w:val="en-US" w:eastAsia="zh-CN"/>
        </w:rPr>
        <w:t>7.08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rPr>
        <w:t>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57.64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，增长21%，原因为：主体班次培训增加</w:t>
      </w:r>
      <w:r>
        <w:rPr>
          <w:rFonts w:hint="eastAsia" w:ascii="仿宋" w:hAnsi="仿宋" w:eastAsia="仿宋" w:cs="仿宋"/>
          <w:color w:val="auto"/>
          <w:sz w:val="32"/>
          <w:szCs w:val="32"/>
          <w:lang w:val="en-US" w:eastAsia="zh-CN"/>
        </w:rPr>
        <w:t>。</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其中：2021年财政拨款收入</w:t>
      </w:r>
      <w:r>
        <w:rPr>
          <w:rFonts w:hint="eastAsia" w:ascii="仿宋" w:hAnsi="仿宋" w:eastAsia="仿宋" w:cs="仿宋"/>
          <w:color w:val="auto"/>
          <w:sz w:val="32"/>
          <w:szCs w:val="32"/>
          <w:lang w:val="en-US" w:eastAsia="zh-CN"/>
        </w:rPr>
        <w:t>292.08</w:t>
      </w:r>
      <w:r>
        <w:rPr>
          <w:rFonts w:hint="eastAsia" w:ascii="仿宋" w:hAnsi="仿宋" w:eastAsia="仿宋" w:cs="仿宋"/>
          <w:color w:val="auto"/>
          <w:sz w:val="32"/>
          <w:szCs w:val="32"/>
          <w:lang w:eastAsia="zh-CN"/>
        </w:rPr>
        <w:t>万元，占收入预算总额的</w:t>
      </w:r>
      <w:r>
        <w:rPr>
          <w:rFonts w:hint="eastAsia" w:ascii="仿宋" w:hAnsi="仿宋" w:eastAsia="仿宋" w:cs="仿宋"/>
          <w:color w:val="auto"/>
          <w:sz w:val="32"/>
          <w:szCs w:val="32"/>
          <w:lang w:val="en-US" w:eastAsia="zh-CN"/>
        </w:rPr>
        <w:t>89.30</w:t>
      </w:r>
      <w:r>
        <w:rPr>
          <w:rFonts w:hint="eastAsia" w:ascii="仿宋" w:hAnsi="仿宋" w:eastAsia="仿宋" w:cs="仿宋"/>
          <w:color w:val="auto"/>
          <w:sz w:val="32"/>
          <w:szCs w:val="32"/>
          <w:lang w:eastAsia="zh-CN"/>
        </w:rPr>
        <w:t>%；事业单位经营收入0万元，占收入预算总额的0%；其他收入</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lang w:eastAsia="zh-CN"/>
        </w:rPr>
        <w:t>万元，占收入预算总额的</w:t>
      </w:r>
      <w:r>
        <w:rPr>
          <w:rFonts w:hint="eastAsia" w:ascii="仿宋" w:hAnsi="仿宋" w:eastAsia="仿宋" w:cs="仿宋"/>
          <w:color w:val="auto"/>
          <w:sz w:val="32"/>
          <w:szCs w:val="32"/>
          <w:lang w:val="en-US" w:eastAsia="zh-CN"/>
        </w:rPr>
        <w:t>10.70</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2021年中共兴国县委党校支出预算总额为</w:t>
      </w:r>
      <w:r>
        <w:rPr>
          <w:rFonts w:hint="eastAsia" w:ascii="仿宋" w:hAnsi="仿宋" w:eastAsia="仿宋" w:cs="仿宋"/>
          <w:color w:val="auto"/>
          <w:sz w:val="30"/>
          <w:szCs w:val="30"/>
          <w:lang w:val="en-US" w:eastAsia="zh-CN"/>
        </w:rPr>
        <w:t>327.08</w:t>
      </w:r>
      <w:r>
        <w:rPr>
          <w:rFonts w:hint="eastAsia" w:ascii="仿宋" w:hAnsi="仿宋" w:eastAsia="仿宋" w:cs="仿宋"/>
          <w:color w:val="auto"/>
          <w:sz w:val="30"/>
          <w:szCs w:val="30"/>
        </w:rPr>
        <w:t>万元，较上年预算安排的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57.64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，增长21%，原因为：主体班次培训增加</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其中：</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1、按支出项目类别划分：基本支出22</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08</w:t>
      </w:r>
      <w:r>
        <w:rPr>
          <w:rFonts w:hint="eastAsia" w:ascii="仿宋" w:hAnsi="仿宋" w:eastAsia="仿宋" w:cs="仿宋"/>
          <w:color w:val="auto"/>
          <w:sz w:val="30"/>
          <w:szCs w:val="30"/>
        </w:rPr>
        <w:t>万元，占支出预算总额的69.41%，包括工资福利支出169.78万元、商品和服务支出18.9万元（定额商品和服务支出9万元，公务员交通补贴9.9万元）、对个人和家庭的补助支出38.2万元；项目支出100万元，占支出预算总额的30.59%，分别为1、县委党校主体班培训费60万元；2、师资培训和理论研讨费20万元；3、兴国讲堂培训业务费20万元。</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按支出功能科目划分：干部教育273.93万元，占支出预算总额的83.8%；公务员医疗补助支出7.2万元，占支出预算总额的2.22%，事业单位医疗支出10.8万元，占支出预算总额的3.3%；住房公积金支出12.9万元，占支出预算总额的3.95%；机关事业单位基本养老保险支出18.15万元，占支出预算总额的5.55%；行政单位离退休3.2万元，占支出预算总额的0.98%。</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2021年中共兴国县委党校财政拨款（补助）支出预算数</w:t>
      </w:r>
      <w:r>
        <w:rPr>
          <w:rFonts w:hint="eastAsia" w:ascii="仿宋" w:hAnsi="仿宋" w:eastAsia="仿宋" w:cs="仿宋"/>
          <w:color w:val="auto"/>
          <w:sz w:val="30"/>
          <w:szCs w:val="30"/>
          <w:lang w:val="en-US" w:eastAsia="zh-CN"/>
        </w:rPr>
        <w:t>292.0</w:t>
      </w:r>
      <w:r>
        <w:rPr>
          <w:rFonts w:hint="eastAsia" w:ascii="仿宋" w:hAnsi="仿宋" w:eastAsia="仿宋" w:cs="仿宋"/>
          <w:color w:val="auto"/>
          <w:sz w:val="30"/>
          <w:szCs w:val="30"/>
        </w:rPr>
        <w:t>8万元，较上年预算安排的</w:t>
      </w:r>
      <w:r>
        <w:rPr>
          <w:rFonts w:hint="eastAsia" w:ascii="仿宋" w:hAnsi="仿宋" w:eastAsia="仿宋" w:cs="仿宋"/>
          <w:color w:val="auto"/>
          <w:sz w:val="30"/>
          <w:szCs w:val="30"/>
          <w:lang w:eastAsia="zh-CN"/>
        </w:rPr>
        <w:t>增加</w:t>
      </w:r>
      <w:r>
        <w:rPr>
          <w:rFonts w:hint="eastAsia" w:ascii="仿宋" w:hAnsi="仿宋" w:eastAsia="仿宋" w:cs="仿宋"/>
          <w:color w:val="auto"/>
          <w:sz w:val="30"/>
          <w:szCs w:val="30"/>
          <w:lang w:val="en-US" w:eastAsia="zh-CN"/>
        </w:rPr>
        <w:t>22.64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，增长</w:t>
      </w:r>
      <w:r>
        <w:rPr>
          <w:rFonts w:hint="eastAsia" w:ascii="仿宋" w:hAnsi="仿宋" w:eastAsia="仿宋" w:cs="仿宋"/>
          <w:color w:val="auto"/>
          <w:sz w:val="30"/>
          <w:szCs w:val="30"/>
          <w:lang w:val="en-US" w:eastAsia="zh-CN"/>
        </w:rPr>
        <w:t>7.75</w:t>
      </w:r>
      <w:r>
        <w:rPr>
          <w:rFonts w:hint="eastAsia" w:ascii="仿宋" w:hAnsi="仿宋" w:eastAsia="仿宋" w:cs="仿宋"/>
          <w:color w:val="auto"/>
          <w:sz w:val="30"/>
          <w:szCs w:val="30"/>
          <w:lang w:eastAsia="zh-CN"/>
        </w:rPr>
        <w:t>%，原因为：主体班次培训增加</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其中：干部教育支出273.03万元，占支出预算总额的83.8%；公务员医疗补助支出7.2万元，占支出预算总额的2.22%，事业单位医疗支出10.8万元，占支出预算总额的3.3%；住房公积金支出12.9万元，占支出预算总额的3.95%；机关事业单位基本养老保险支出18.15万元，占支出预算总额的5.55%；行政单位离退休3.2万元，占支出预算总额的0.98%。</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eastAsia="zh-CN"/>
        </w:rPr>
        <w:t>中国共产党兴国县委员会党校</w:t>
      </w: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年部门机关运行费预算</w:t>
      </w:r>
      <w:r>
        <w:rPr>
          <w:rFonts w:hint="eastAsia" w:ascii="宋体" w:hAnsi="宋体" w:eastAsia="宋体" w:cs="宋体"/>
          <w:color w:val="auto"/>
          <w:sz w:val="32"/>
          <w:szCs w:val="32"/>
          <w:lang w:val="en-US" w:eastAsia="zh-CN"/>
        </w:rPr>
        <w:t>174.83</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年(上一年度）预算增加</w:t>
      </w:r>
      <w:r>
        <w:rPr>
          <w:rFonts w:hint="eastAsia" w:ascii="宋体" w:hAnsi="宋体" w:eastAsia="宋体" w:cs="宋体"/>
          <w:color w:val="auto"/>
          <w:sz w:val="32"/>
          <w:szCs w:val="32"/>
          <w:lang w:val="en-US" w:eastAsia="zh-CN"/>
        </w:rPr>
        <w:t>123.75万元，</w:t>
      </w:r>
      <w:r>
        <w:rPr>
          <w:rFonts w:hint="eastAsia" w:ascii="仿宋" w:hAnsi="仿宋" w:eastAsia="仿宋" w:cs="仿宋"/>
          <w:color w:val="auto"/>
          <w:sz w:val="32"/>
          <w:szCs w:val="32"/>
          <w:lang w:eastAsia="zh-CN"/>
        </w:rPr>
        <w:t>较上年预算安排的增加</w:t>
      </w:r>
      <w:r>
        <w:rPr>
          <w:rFonts w:hint="eastAsia" w:ascii="仿宋" w:hAnsi="仿宋" w:eastAsia="仿宋" w:cs="仿宋"/>
          <w:color w:val="auto"/>
          <w:sz w:val="32"/>
          <w:szCs w:val="32"/>
          <w:lang w:val="en-US" w:eastAsia="zh-CN"/>
        </w:rPr>
        <w:t>51.08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增长29.21％，</w:t>
      </w:r>
      <w:r>
        <w:rPr>
          <w:rFonts w:hint="eastAsia" w:ascii="仿宋" w:hAnsi="仿宋" w:eastAsia="仿宋" w:cs="仿宋"/>
          <w:color w:val="auto"/>
          <w:sz w:val="32"/>
          <w:szCs w:val="32"/>
          <w:lang w:eastAsia="zh-CN"/>
        </w:rPr>
        <w:t>原因为：</w:t>
      </w:r>
      <w:r>
        <w:rPr>
          <w:rFonts w:hint="eastAsia" w:ascii="仿宋" w:hAnsi="仿宋" w:eastAsia="仿宋" w:cs="仿宋"/>
          <w:color w:val="auto"/>
          <w:sz w:val="30"/>
          <w:szCs w:val="30"/>
        </w:rPr>
        <w:t>主体班培训</w:t>
      </w:r>
      <w:r>
        <w:rPr>
          <w:rFonts w:hint="eastAsia" w:ascii="仿宋" w:hAnsi="仿宋" w:eastAsia="仿宋" w:cs="仿宋"/>
          <w:color w:val="auto"/>
          <w:sz w:val="30"/>
          <w:szCs w:val="30"/>
          <w:lang w:eastAsia="zh-CN"/>
        </w:rPr>
        <w:t>班次的增加</w:t>
      </w:r>
      <w:r>
        <w:rPr>
          <w:rFonts w:hint="eastAsia" w:ascii="仿宋" w:hAnsi="仿宋" w:eastAsia="仿宋" w:cs="仿宋"/>
          <w:color w:val="auto"/>
          <w:sz w:val="32"/>
          <w:szCs w:val="32"/>
          <w:lang w:val="en-US"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年部门或单位所属各单位政府采购总额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辆、其中、一般公务用车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年部门或单位预算安排购置车辆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w:t>
      </w:r>
      <w:r>
        <w:rPr>
          <w:rFonts w:hint="eastAsia" w:ascii="仿宋" w:hAnsi="仿宋" w:eastAsia="仿宋" w:cs="仿宋"/>
          <w:color w:val="auto"/>
          <w:sz w:val="32"/>
          <w:szCs w:val="32"/>
          <w:lang w:eastAsia="zh-CN"/>
        </w:rPr>
        <w:t>具体</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pStyle w:val="2"/>
      </w:pPr>
      <w:r>
        <w:drawing>
          <wp:inline distT="0" distB="0" distL="114300" distR="114300">
            <wp:extent cx="5266055" cy="4712970"/>
            <wp:effectExtent l="0" t="0" r="1079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6055" cy="4712970"/>
                    </a:xfrm>
                    <a:prstGeom prst="rect">
                      <a:avLst/>
                    </a:prstGeom>
                    <a:noFill/>
                    <a:ln>
                      <a:noFill/>
                    </a:ln>
                  </pic:spPr>
                </pic:pic>
              </a:graphicData>
            </a:graphic>
          </wp:inline>
        </w:drawing>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：主体班培训费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0"/>
          <w:szCs w:val="30"/>
          <w:lang w:val="en-US" w:eastAsia="zh-CN" w:bidi="ar"/>
        </w:rPr>
        <w:t>项目资金为保证中共兴国县委办公室每年年初下发的兴国县年度干部教育培训工作计划的实施而设立，满足办学所需的一切费用。</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：中国共产党兴国县委员会党校</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2021年全年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60万元</w:t>
      </w:r>
    </w:p>
    <w:p>
      <w:pPr>
        <w:spacing w:line="560" w:lineRule="exact"/>
        <w:ind w:firstLine="640" w:firstLineChars="200"/>
        <w:rPr>
          <w:rFonts w:hint="eastAsia" w:ascii="仿宋" w:hAnsi="仿宋" w:eastAsia="仿宋" w:cs="仿宋"/>
          <w:color w:val="auto"/>
          <w:kern w:val="0"/>
          <w:sz w:val="30"/>
          <w:szCs w:val="30"/>
          <w:lang w:val="en-US" w:eastAsia="zh-CN" w:bidi="ar"/>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：完成</w:t>
      </w:r>
      <w:r>
        <w:rPr>
          <w:rFonts w:hint="eastAsia" w:ascii="仿宋" w:hAnsi="仿宋" w:eastAsia="仿宋" w:cs="仿宋"/>
          <w:color w:val="auto"/>
          <w:kern w:val="0"/>
          <w:sz w:val="30"/>
          <w:szCs w:val="30"/>
          <w:lang w:val="en-US" w:eastAsia="zh-CN" w:bidi="ar"/>
        </w:rPr>
        <w:t>兴国县2022年度干部教育培训工作计划</w:t>
      </w:r>
    </w:p>
    <w:p>
      <w:pPr>
        <w:pStyle w:val="3"/>
        <w:rPr>
          <w:rFonts w:hint="eastAsia"/>
          <w:color w:val="auto"/>
          <w:lang w:eastAsia="zh-CN"/>
        </w:rPr>
      </w:pP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：师资培训和理论研讨费</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auto"/>
          <w:kern w:val="0"/>
          <w:sz w:val="30"/>
          <w:szCs w:val="30"/>
          <w:lang w:val="en-US" w:eastAsia="zh-CN" w:bidi="ar"/>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0"/>
          <w:szCs w:val="30"/>
          <w:lang w:val="en-US" w:eastAsia="zh-CN" w:bidi="ar"/>
        </w:rPr>
        <w:t>项目资金为保证党校办学所需的教学、科研咨询、学科建设、教师外出进修调研、图书资料、信息化建设等费用。</w:t>
      </w: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：中国共产党兴国县委员会党校</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2021年全年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20万元</w:t>
      </w:r>
    </w:p>
    <w:p>
      <w:pPr>
        <w:spacing w:line="560" w:lineRule="exact"/>
        <w:ind w:firstLine="640" w:firstLineChars="200"/>
        <w:rPr>
          <w:rFonts w:hint="eastAsia" w:ascii="仿宋" w:hAnsi="仿宋" w:eastAsia="仿宋" w:cs="仿宋"/>
          <w:color w:val="auto"/>
          <w:kern w:val="0"/>
          <w:sz w:val="30"/>
          <w:szCs w:val="30"/>
          <w:lang w:val="en-US" w:eastAsia="zh-CN" w:bidi="ar"/>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：完成</w:t>
      </w:r>
      <w:r>
        <w:rPr>
          <w:rFonts w:hint="eastAsia" w:ascii="仿宋" w:hAnsi="仿宋" w:eastAsia="仿宋" w:cs="仿宋"/>
          <w:color w:val="auto"/>
          <w:kern w:val="0"/>
          <w:sz w:val="30"/>
          <w:szCs w:val="30"/>
          <w:lang w:val="en-US" w:eastAsia="zh-CN" w:bidi="ar"/>
        </w:rPr>
        <w:t>教学、科研咨询、学科建设、教师外出进修调研、图书资料、信息化建设等任务。</w:t>
      </w:r>
    </w:p>
    <w:p>
      <w:pPr>
        <w:pStyle w:val="3"/>
        <w:rPr>
          <w:rFonts w:hint="eastAsia"/>
          <w:color w:val="auto"/>
        </w:rPr>
      </w:pP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：兴国讲堂</w:t>
      </w:r>
    </w:p>
    <w:p>
      <w:pPr>
        <w:keepNext w:val="0"/>
        <w:keepLines w:val="0"/>
        <w:pageBreakBefore w:val="0"/>
        <w:widowControl w:val="0"/>
        <w:numPr>
          <w:ilvl w:val="0"/>
          <w:numId w:val="0"/>
        </w:numPr>
        <w:tabs>
          <w:tab w:val="left" w:pos="1213"/>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0"/>
          <w:szCs w:val="30"/>
          <w:lang w:val="en-US" w:eastAsia="zh-CN" w:bidi="ar"/>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kern w:val="0"/>
          <w:sz w:val="30"/>
          <w:szCs w:val="30"/>
          <w:lang w:val="en-US" w:eastAsia="zh-CN" w:bidi="ar"/>
        </w:rPr>
        <w:t>项目资金为保证兴国讲堂开办的一切费用。</w:t>
      </w:r>
    </w:p>
    <w:p>
      <w:pPr>
        <w:numPr>
          <w:ilvl w:val="0"/>
          <w:numId w:val="0"/>
        </w:num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：中国共产党兴国县委员会党校</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2021年全年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：完成</w:t>
      </w:r>
      <w:r>
        <w:rPr>
          <w:rFonts w:hint="eastAsia" w:ascii="仿宋" w:hAnsi="仿宋" w:eastAsia="仿宋" w:cs="仿宋"/>
          <w:color w:val="auto"/>
          <w:kern w:val="0"/>
          <w:sz w:val="30"/>
          <w:szCs w:val="30"/>
          <w:lang w:val="en-US" w:eastAsia="zh-CN" w:bidi="ar"/>
        </w:rPr>
        <w:t>兴国讲堂办学任务</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drawing>
          <wp:inline distT="0" distB="0" distL="114300" distR="114300">
            <wp:extent cx="5270500" cy="5205095"/>
            <wp:effectExtent l="0" t="0" r="6350"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0500" cy="5205095"/>
                    </a:xfrm>
                    <a:prstGeom prst="rect">
                      <a:avLst/>
                    </a:prstGeom>
                    <a:noFill/>
                    <a:ln>
                      <a:noFill/>
                    </a:ln>
                  </pic:spPr>
                </pic:pic>
              </a:graphicData>
            </a:graphic>
          </wp:inline>
        </w:drawing>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2021</w:t>
      </w:r>
      <w:r>
        <w:rPr>
          <w:rFonts w:hint="eastAsia" w:ascii="楷体" w:hAnsi="楷体" w:eastAsia="楷体" w:cs="楷体"/>
          <w:b/>
          <w:bCs/>
          <w:color w:val="auto"/>
          <w:sz w:val="32"/>
          <w:szCs w:val="32"/>
        </w:rPr>
        <w:t>年“三公”经费预算情况说明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eastAsia="zh-CN"/>
        </w:rPr>
        <w:t>中国共产党兴国县委员会党校</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4.5</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4.5</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严格控制三公经费</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黑体" w:hAnsi="黑体" w:eastAsia="黑体" w:cs="黑体"/>
          <w:b w:val="0"/>
          <w:bCs w:val="0"/>
          <w:color w:val="auto"/>
          <w:sz w:val="32"/>
          <w:szCs w:val="32"/>
          <w:lang w:eastAsia="zh-CN"/>
        </w:rPr>
        <w:t>中国共产党兴国县委员会党校</w:t>
      </w:r>
      <w:r>
        <w:rPr>
          <w:rFonts w:hint="eastAsia" w:ascii="黑体" w:hAnsi="黑体" w:eastAsia="黑体" w:cs="黑体"/>
          <w:b w:val="0"/>
          <w:bCs w:val="0"/>
          <w:color w:val="auto"/>
          <w:sz w:val="32"/>
          <w:szCs w:val="32"/>
        </w:rPr>
        <w:t>部门预算表</w:t>
      </w:r>
    </w:p>
    <w:p>
      <w:pPr>
        <w:spacing w:line="560" w:lineRule="exact"/>
        <w:ind w:firstLine="604" w:firstLineChars="189"/>
        <w:jc w:val="center"/>
        <w:rPr>
          <w:rFonts w:ascii="仿宋" w:hAnsi="仿宋" w:eastAsia="仿宋" w:cs="仿宋"/>
          <w:color w:val="auto"/>
          <w:sz w:val="32"/>
          <w:szCs w:val="32"/>
        </w:rPr>
      </w:pPr>
      <w:r>
        <w:rPr>
          <w:rFonts w:hint="eastAsia" w:ascii="仿宋" w:hAnsi="仿宋" w:eastAsia="仿宋" w:cs="仿宋"/>
          <w:color w:val="auto"/>
          <w:sz w:val="32"/>
          <w:szCs w:val="32"/>
        </w:rPr>
        <w:t>（附表）</w:t>
      </w:r>
    </w:p>
    <w:p>
      <w:pPr>
        <w:spacing w:line="560" w:lineRule="exact"/>
        <w:ind w:firstLine="604" w:firstLineChars="189"/>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64785" cy="2310130"/>
            <wp:effectExtent l="0" t="0" r="12065" b="139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
                    <a:stretch>
                      <a:fillRect/>
                    </a:stretch>
                  </pic:blipFill>
                  <pic:spPr>
                    <a:xfrm>
                      <a:off x="0" y="0"/>
                      <a:ext cx="5264785" cy="2310130"/>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61610" cy="2739390"/>
            <wp:effectExtent l="0" t="0" r="152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1610" cy="2739390"/>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69230" cy="2475865"/>
            <wp:effectExtent l="0" t="0" r="762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230" cy="2475865"/>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71135" cy="1711325"/>
            <wp:effectExtent l="0" t="0" r="5715"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71135" cy="1711325"/>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69865" cy="2834640"/>
            <wp:effectExtent l="0" t="0" r="6985"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9865" cy="2834640"/>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65420" cy="3246755"/>
            <wp:effectExtent l="0" t="0" r="11430" b="1079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65420" cy="3246755"/>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73675" cy="908050"/>
            <wp:effectExtent l="0" t="0" r="317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73675" cy="908050"/>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r>
        <w:drawing>
          <wp:inline distT="0" distB="0" distL="114300" distR="114300">
            <wp:extent cx="5270500" cy="863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5270500" cy="863600"/>
                    </a:xfrm>
                    <a:prstGeom prst="rect">
                      <a:avLst/>
                    </a:prstGeom>
                    <a:noFill/>
                    <a:ln>
                      <a:noFill/>
                    </a:ln>
                  </pic:spPr>
                </pic:pic>
              </a:graphicData>
            </a:graphic>
          </wp:inline>
        </w:drawing>
      </w: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p>
    <w:p>
      <w:pPr>
        <w:pStyle w:val="3"/>
        <w:rPr>
          <w:rFonts w:ascii="仿宋" w:hAnsi="仿宋" w:eastAsia="仿宋" w:cs="仿宋"/>
          <w:color w:val="auto"/>
          <w:sz w:val="32"/>
          <w:szCs w:val="32"/>
        </w:rPr>
      </w:pPr>
      <w:bookmarkStart w:id="0" w:name="_GoBack"/>
      <w:bookmarkEnd w:id="0"/>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仿宋_GB2312" w:hAnsi="仿宋_GB2312" w:eastAsia="仿宋_GB2312" w:cs="仿宋_GB2312"/>
          <w:b/>
          <w:color w:val="auto"/>
          <w:kern w:val="0"/>
          <w:sz w:val="32"/>
          <w:szCs w:val="32"/>
          <w:lang w:val="en-US" w:eastAsia="zh-CN"/>
        </w:rPr>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ZjkxM2Q5MjliZWI1Y2RjN2VkYzY5MWYzZjYwZjcifQ=="/>
  </w:docVars>
  <w:rsids>
    <w:rsidRoot w:val="01B25289"/>
    <w:rsid w:val="00294359"/>
    <w:rsid w:val="003A6B66"/>
    <w:rsid w:val="012A4E2C"/>
    <w:rsid w:val="01A52705"/>
    <w:rsid w:val="01B25289"/>
    <w:rsid w:val="01E943A0"/>
    <w:rsid w:val="027A76EE"/>
    <w:rsid w:val="033223EF"/>
    <w:rsid w:val="04485007"/>
    <w:rsid w:val="04B1068B"/>
    <w:rsid w:val="04CD7FA9"/>
    <w:rsid w:val="05DB4785"/>
    <w:rsid w:val="06F63DFB"/>
    <w:rsid w:val="09BE6112"/>
    <w:rsid w:val="0ACD1925"/>
    <w:rsid w:val="0AF81679"/>
    <w:rsid w:val="0B3B1A35"/>
    <w:rsid w:val="0C57284E"/>
    <w:rsid w:val="0C5A57CB"/>
    <w:rsid w:val="0DA10224"/>
    <w:rsid w:val="0E5723AE"/>
    <w:rsid w:val="0E7E7133"/>
    <w:rsid w:val="0EF024FE"/>
    <w:rsid w:val="0EF92712"/>
    <w:rsid w:val="0F3F439B"/>
    <w:rsid w:val="0FC9734D"/>
    <w:rsid w:val="0FF43021"/>
    <w:rsid w:val="108D50E1"/>
    <w:rsid w:val="109E3DF6"/>
    <w:rsid w:val="10B01B1F"/>
    <w:rsid w:val="11501060"/>
    <w:rsid w:val="12E50BB3"/>
    <w:rsid w:val="13795061"/>
    <w:rsid w:val="13A50343"/>
    <w:rsid w:val="15671D54"/>
    <w:rsid w:val="15D8055B"/>
    <w:rsid w:val="17255A22"/>
    <w:rsid w:val="178F36E0"/>
    <w:rsid w:val="17903B89"/>
    <w:rsid w:val="1901393B"/>
    <w:rsid w:val="197E58BE"/>
    <w:rsid w:val="19967E8A"/>
    <w:rsid w:val="1A9058A9"/>
    <w:rsid w:val="1C0B4D43"/>
    <w:rsid w:val="1C493415"/>
    <w:rsid w:val="1CE011CD"/>
    <w:rsid w:val="1E5171E1"/>
    <w:rsid w:val="1EF5307B"/>
    <w:rsid w:val="1EF65EF6"/>
    <w:rsid w:val="1F875B17"/>
    <w:rsid w:val="20232D1B"/>
    <w:rsid w:val="21A75BB7"/>
    <w:rsid w:val="21C347B6"/>
    <w:rsid w:val="226D124E"/>
    <w:rsid w:val="229D6DB5"/>
    <w:rsid w:val="22A75E85"/>
    <w:rsid w:val="22DA1DB7"/>
    <w:rsid w:val="22DD18A7"/>
    <w:rsid w:val="23111551"/>
    <w:rsid w:val="231A419B"/>
    <w:rsid w:val="23286082"/>
    <w:rsid w:val="23ED1E4C"/>
    <w:rsid w:val="24681644"/>
    <w:rsid w:val="24E60FF3"/>
    <w:rsid w:val="25B3069D"/>
    <w:rsid w:val="26C0060C"/>
    <w:rsid w:val="26E2266B"/>
    <w:rsid w:val="2714160F"/>
    <w:rsid w:val="28310135"/>
    <w:rsid w:val="28996270"/>
    <w:rsid w:val="28A80742"/>
    <w:rsid w:val="28CE066A"/>
    <w:rsid w:val="290F0B95"/>
    <w:rsid w:val="291910A5"/>
    <w:rsid w:val="29D83866"/>
    <w:rsid w:val="2AA16B2A"/>
    <w:rsid w:val="2C273B93"/>
    <w:rsid w:val="2CB856FA"/>
    <w:rsid w:val="2D1260E6"/>
    <w:rsid w:val="2DE95AD8"/>
    <w:rsid w:val="2FE04785"/>
    <w:rsid w:val="30110DE2"/>
    <w:rsid w:val="31105941"/>
    <w:rsid w:val="31A33CBC"/>
    <w:rsid w:val="31B9528D"/>
    <w:rsid w:val="31E00A6C"/>
    <w:rsid w:val="32BA306B"/>
    <w:rsid w:val="33CA7C84"/>
    <w:rsid w:val="341A03B5"/>
    <w:rsid w:val="34C739C4"/>
    <w:rsid w:val="361138EA"/>
    <w:rsid w:val="37995E7D"/>
    <w:rsid w:val="384E46D1"/>
    <w:rsid w:val="398765FE"/>
    <w:rsid w:val="399A1E48"/>
    <w:rsid w:val="3A0D28D2"/>
    <w:rsid w:val="3A3A2CE3"/>
    <w:rsid w:val="3A490ECA"/>
    <w:rsid w:val="3BD875B4"/>
    <w:rsid w:val="3BF82E56"/>
    <w:rsid w:val="3C18641D"/>
    <w:rsid w:val="3C1D466B"/>
    <w:rsid w:val="3E0D0550"/>
    <w:rsid w:val="3E0E35C3"/>
    <w:rsid w:val="3ED21125"/>
    <w:rsid w:val="40DA6FCE"/>
    <w:rsid w:val="42126939"/>
    <w:rsid w:val="43BC2FEB"/>
    <w:rsid w:val="44A21BB1"/>
    <w:rsid w:val="44B6565C"/>
    <w:rsid w:val="452847AC"/>
    <w:rsid w:val="45EE1552"/>
    <w:rsid w:val="46C2653B"/>
    <w:rsid w:val="48515DC8"/>
    <w:rsid w:val="4AEF3676"/>
    <w:rsid w:val="4B223A4B"/>
    <w:rsid w:val="4B3B6158"/>
    <w:rsid w:val="4C0E7075"/>
    <w:rsid w:val="4C250441"/>
    <w:rsid w:val="4C2757BD"/>
    <w:rsid w:val="4D295043"/>
    <w:rsid w:val="4D8D2A9B"/>
    <w:rsid w:val="4E08743B"/>
    <w:rsid w:val="4E4E4730"/>
    <w:rsid w:val="4ED97106"/>
    <w:rsid w:val="4F6B59C1"/>
    <w:rsid w:val="510F580A"/>
    <w:rsid w:val="51291F34"/>
    <w:rsid w:val="51FB0B52"/>
    <w:rsid w:val="527A416D"/>
    <w:rsid w:val="52CA4D5C"/>
    <w:rsid w:val="531C0D41"/>
    <w:rsid w:val="535D7DB7"/>
    <w:rsid w:val="567B07CF"/>
    <w:rsid w:val="57487D87"/>
    <w:rsid w:val="58164938"/>
    <w:rsid w:val="592E3ACC"/>
    <w:rsid w:val="59B55E62"/>
    <w:rsid w:val="59D72764"/>
    <w:rsid w:val="5A105AE3"/>
    <w:rsid w:val="5A126116"/>
    <w:rsid w:val="5A276B7B"/>
    <w:rsid w:val="5B97430C"/>
    <w:rsid w:val="5BA76243"/>
    <w:rsid w:val="5CE46DB3"/>
    <w:rsid w:val="5D325D70"/>
    <w:rsid w:val="5D446827"/>
    <w:rsid w:val="5E826883"/>
    <w:rsid w:val="5F237456"/>
    <w:rsid w:val="5FBD0F09"/>
    <w:rsid w:val="606A75CF"/>
    <w:rsid w:val="607E5F5A"/>
    <w:rsid w:val="617C3A5E"/>
    <w:rsid w:val="6187053C"/>
    <w:rsid w:val="619C4100"/>
    <w:rsid w:val="61A1502D"/>
    <w:rsid w:val="639808F7"/>
    <w:rsid w:val="639F1C85"/>
    <w:rsid w:val="63CC0A85"/>
    <w:rsid w:val="64BB440C"/>
    <w:rsid w:val="650A6582"/>
    <w:rsid w:val="6558033E"/>
    <w:rsid w:val="65613F94"/>
    <w:rsid w:val="65B8702E"/>
    <w:rsid w:val="676C00D0"/>
    <w:rsid w:val="67EC1862"/>
    <w:rsid w:val="69AE49D0"/>
    <w:rsid w:val="6B8F438D"/>
    <w:rsid w:val="6C4B29AA"/>
    <w:rsid w:val="6D0B213A"/>
    <w:rsid w:val="6D8D2B4F"/>
    <w:rsid w:val="6EDE7B06"/>
    <w:rsid w:val="6EEA77E7"/>
    <w:rsid w:val="6F0D6BA2"/>
    <w:rsid w:val="70025A76"/>
    <w:rsid w:val="70CC45E4"/>
    <w:rsid w:val="70E36464"/>
    <w:rsid w:val="716D5171"/>
    <w:rsid w:val="72790C00"/>
    <w:rsid w:val="73727918"/>
    <w:rsid w:val="73C96FD0"/>
    <w:rsid w:val="751F2C26"/>
    <w:rsid w:val="775A1CF3"/>
    <w:rsid w:val="7AF406B1"/>
    <w:rsid w:val="7BC031A9"/>
    <w:rsid w:val="7BEF219B"/>
    <w:rsid w:val="7C7A6725"/>
    <w:rsid w:val="7C7B135B"/>
    <w:rsid w:val="7DFD787D"/>
    <w:rsid w:val="7E8F0A5B"/>
    <w:rsid w:val="7EB974CE"/>
    <w:rsid w:val="7EFE38AC"/>
    <w:rsid w:val="7F4C4883"/>
    <w:rsid w:val="7F701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Body Text Indent"/>
    <w:basedOn w:val="1"/>
    <w:unhideWhenUsed/>
    <w:qFormat/>
    <w:uiPriority w:val="99"/>
    <w:pPr>
      <w:spacing w:after="120"/>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2"/>
    <w:basedOn w:val="4"/>
    <w:qFormat/>
    <w:uiPriority w:val="0"/>
    <w:pPr>
      <w:spacing w:after="0" w:line="360" w:lineRule="auto"/>
      <w:ind w:left="0" w:leftChars="0" w:firstLine="1040" w:firstLineChars="200"/>
    </w:pPr>
    <w:rPr>
      <w:sz w:val="24"/>
    </w:rPr>
  </w:style>
  <w:style w:type="character" w:customStyle="1" w:styleId="9">
    <w:name w:val="font21"/>
    <w:basedOn w:val="8"/>
    <w:qFormat/>
    <w:uiPriority w:val="0"/>
    <w:rPr>
      <w:rFonts w:hint="eastAsia" w:ascii="宋体" w:hAnsi="宋体" w:eastAsia="宋体" w:cs="宋体"/>
      <w:color w:val="000000"/>
      <w:sz w:val="24"/>
      <w:szCs w:val="24"/>
      <w:u w:val="none"/>
    </w:rPr>
  </w:style>
  <w:style w:type="character" w:customStyle="1" w:styleId="10">
    <w:name w:val="font01"/>
    <w:basedOn w:val="8"/>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3019</Words>
  <Characters>3316</Characters>
  <Lines>0</Lines>
  <Paragraphs>0</Paragraphs>
  <TotalTime>1</TotalTime>
  <ScaleCrop>false</ScaleCrop>
  <LinksUpToDate>false</LinksUpToDate>
  <CharactersWithSpaces>3353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Administrator</cp:lastModifiedBy>
  <cp:lastPrinted>2022-05-12T03:19:00Z</cp:lastPrinted>
  <dcterms:modified xsi:type="dcterms:W3CDTF">2022-05-12T03:59:07Z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1D5178B25E8A43DDAE19DD10791DA8C4</vt:lpwstr>
  </property>
</Properties>
</file>