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06" w:lineRule="atLeast"/>
        <w:ind w:left="0" w:right="0" w:firstLine="0"/>
        <w:jc w:val="center"/>
        <w:rPr>
          <w:rFonts w:ascii="微软雅黑" w:hAnsi="微软雅黑" w:eastAsia="微软雅黑" w:cs="微软雅黑"/>
          <w:b/>
          <w:bCs/>
          <w:i w:val="0"/>
          <w:iCs w:val="0"/>
          <w:caps w:val="0"/>
          <w:color w:val="auto"/>
          <w:spacing w:val="0"/>
          <w:sz w:val="44"/>
          <w:szCs w:val="44"/>
        </w:rPr>
      </w:pPr>
      <w:r>
        <w:rPr>
          <w:rFonts w:hint="eastAsia" w:ascii="微软雅黑" w:hAnsi="微软雅黑" w:eastAsia="微软雅黑" w:cs="微软雅黑"/>
          <w:b/>
          <w:bCs/>
          <w:i w:val="0"/>
          <w:iCs w:val="0"/>
          <w:caps w:val="0"/>
          <w:color w:val="auto"/>
          <w:spacing w:val="0"/>
          <w:sz w:val="44"/>
          <w:szCs w:val="44"/>
          <w:bdr w:val="none" w:color="auto" w:sz="0" w:space="0"/>
        </w:rPr>
        <w:t>兴国县人力资源和社会保障局2022年部门预算说明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449" w:firstLine="0"/>
        <w:jc w:val="center"/>
        <w:rPr>
          <w:rFonts w:ascii="黑体" w:hAnsi="宋体" w:eastAsia="黑体" w:cs="黑体"/>
          <w:i w:val="0"/>
          <w:iCs w:val="0"/>
          <w:caps w:val="0"/>
          <w:color w:val="000000"/>
          <w:spacing w:val="0"/>
          <w:kern w:val="0"/>
          <w:sz w:val="36"/>
          <w:szCs w:val="36"/>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449" w:firstLine="0"/>
        <w:jc w:val="center"/>
        <w:rPr>
          <w:rFonts w:ascii="微软雅黑" w:hAnsi="微软雅黑" w:eastAsia="微软雅黑" w:cs="微软雅黑"/>
          <w:i w:val="0"/>
          <w:iCs w:val="0"/>
          <w:caps w:val="0"/>
          <w:color w:val="333333"/>
          <w:spacing w:val="0"/>
          <w:sz w:val="26"/>
          <w:szCs w:val="26"/>
        </w:rPr>
      </w:pPr>
      <w:r>
        <w:rPr>
          <w:rFonts w:ascii="黑体" w:hAnsi="宋体" w:eastAsia="黑体" w:cs="黑体"/>
          <w:i w:val="0"/>
          <w:iCs w:val="0"/>
          <w:caps w:val="0"/>
          <w:color w:val="000000"/>
          <w:spacing w:val="0"/>
          <w:kern w:val="0"/>
          <w:sz w:val="36"/>
          <w:szCs w:val="36"/>
          <w:bdr w:val="none" w:color="auto" w:sz="0" w:space="0"/>
          <w:shd w:val="clear" w:fill="FFFFFF"/>
          <w:lang w:val="en-US" w:eastAsia="zh-CN" w:bidi="ar"/>
        </w:rPr>
        <w:t>目</w:t>
      </w:r>
      <w:r>
        <w:rPr>
          <w:rFonts w:hint="eastAsia" w:ascii="黑体" w:hAnsi="宋体" w:eastAsia="黑体" w:cs="黑体"/>
          <w:i w:val="0"/>
          <w:iCs w:val="0"/>
          <w:caps w:val="0"/>
          <w:color w:val="000000"/>
          <w:spacing w:val="0"/>
          <w:kern w:val="0"/>
          <w:sz w:val="36"/>
          <w:szCs w:val="36"/>
          <w:bdr w:val="none" w:color="auto" w:sz="0" w:space="0"/>
          <w:shd w:val="clear" w:fill="FFFFFF"/>
          <w:lang w:val="en-US" w:eastAsia="zh-CN" w:bidi="ar"/>
        </w:rPr>
        <w:t>  录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641" w:right="0" w:hanging="641"/>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641" w:right="0" w:hanging="684"/>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2"/>
          <w:szCs w:val="32"/>
          <w:bdr w:val="none" w:color="auto" w:sz="0" w:space="0"/>
          <w:shd w:val="clear" w:fill="FFFFFF"/>
          <w:lang w:val="en-US" w:eastAsia="zh-CN" w:bidi="ar"/>
        </w:rPr>
        <w:t>第一部分 兴国县人社局单位概况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1316" w:right="0" w:hanging="720"/>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sz w:val="32"/>
          <w:szCs w:val="32"/>
          <w:bdr w:val="none" w:color="auto" w:sz="0" w:space="0"/>
          <w:shd w:val="clear" w:fill="FFFFFF"/>
        </w:rPr>
        <w:t>一、 部门主要职责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1316" w:right="0" w:hanging="720"/>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sz w:val="32"/>
          <w:szCs w:val="32"/>
          <w:bdr w:val="none" w:color="auto" w:sz="0" w:space="0"/>
          <w:shd w:val="clear" w:fill="FFFFFF"/>
        </w:rPr>
        <w:t>二、 部门基本情况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641" w:right="0" w:hanging="684"/>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2"/>
          <w:szCs w:val="32"/>
          <w:bdr w:val="none" w:color="auto" w:sz="0" w:space="0"/>
          <w:shd w:val="clear" w:fill="FFFFFF"/>
          <w:lang w:val="en-US" w:eastAsia="zh-CN" w:bidi="ar"/>
        </w:rPr>
        <w:t>第二部分 兴国县人社局2022年部门预算情况说明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634" w:right="0" w:hanging="3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一、2022年部门预算收支情况说明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634" w:right="0" w:hanging="3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二、2022年“三公”经费预算情况说明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641" w:right="0" w:hanging="684"/>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2"/>
          <w:szCs w:val="32"/>
          <w:bdr w:val="none" w:color="auto" w:sz="0" w:space="0"/>
          <w:shd w:val="clear" w:fill="FFFFFF"/>
          <w:lang w:val="en-US" w:eastAsia="zh-CN" w:bidi="ar"/>
        </w:rPr>
        <w:t>第三部分 兴国县人社局2022年部门预算表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634" w:right="0" w:hanging="38"/>
        <w:jc w:val="left"/>
        <w:rPr>
          <w:rFonts w:hint="eastAsia" w:ascii="微软雅黑" w:hAnsi="微软雅黑" w:eastAsia="微软雅黑" w:cs="微软雅黑"/>
          <w:i w:val="0"/>
          <w:iCs w:val="0"/>
          <w:caps w:val="0"/>
          <w:color w:val="333333"/>
          <w:spacing w:val="0"/>
          <w:sz w:val="26"/>
          <w:szCs w:val="26"/>
        </w:rPr>
      </w:pPr>
      <w:r>
        <w:rPr>
          <w:rFonts w:ascii="仿宋" w:hAnsi="仿宋" w:eastAsia="仿宋" w:cs="仿宋"/>
          <w:i w:val="0"/>
          <w:iCs w:val="0"/>
          <w:caps w:val="0"/>
          <w:color w:val="333333"/>
          <w:spacing w:val="0"/>
          <w:kern w:val="0"/>
          <w:sz w:val="32"/>
          <w:szCs w:val="32"/>
          <w:bdr w:val="none" w:color="auto" w:sz="0" w:space="0"/>
          <w:shd w:val="clear" w:fill="FFFFFF"/>
          <w:lang w:val="en-US" w:eastAsia="zh-CN" w:bidi="ar"/>
        </w:rPr>
        <w:t>一、《收支预算总表》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634" w:right="0" w:hanging="38"/>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二、《部门收入总表》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634" w:right="0" w:hanging="38"/>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三、《部门支出总表》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634" w:right="0" w:hanging="38"/>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四、《财政拨款收支总表》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634" w:right="0" w:hanging="38"/>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五、《一般公共预算支出表》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634" w:right="0" w:hanging="38"/>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六、《一般公共预算基本支出表》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634" w:right="0" w:hanging="38"/>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七、《一般公共预算“三公”经费支出表》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634" w:right="0" w:hanging="38"/>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八、《政府性基金预算支出表》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634" w:right="0" w:hanging="38"/>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九、《部门整体支出绩效目标表》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10" w:right="0" w:firstLine="62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十、《项目</w:t>
      </w:r>
      <w:bookmarkStart w:id="0" w:name="_GoBack"/>
      <w:bookmarkEnd w:id="0"/>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支出绩效目标表》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2"/>
          <w:szCs w:val="32"/>
          <w:bdr w:val="none" w:color="auto" w:sz="0" w:space="0"/>
          <w:shd w:val="clear" w:fill="FFFFFF"/>
          <w:lang w:val="en-US" w:eastAsia="zh-CN" w:bidi="ar"/>
        </w:rPr>
        <w:t>第四部分 名词解释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449" w:firstLine="640"/>
        <w:jc w:val="left"/>
        <w:rPr>
          <w:rFonts w:hint="eastAsia" w:ascii="微软雅黑" w:hAnsi="微软雅黑" w:eastAsia="微软雅黑" w:cs="微软雅黑"/>
          <w:i w:val="0"/>
          <w:iCs w:val="0"/>
          <w:caps w:val="0"/>
          <w:color w:val="333333"/>
          <w:spacing w:val="0"/>
          <w:sz w:val="26"/>
          <w:szCs w:val="26"/>
        </w:rPr>
      </w:pPr>
      <w:r>
        <w:rPr>
          <w:rFonts w:hint="default" w:ascii="Times New Roman" w:hAnsi="Times New Roman" w:eastAsia="微软雅黑"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2"/>
          <w:szCs w:val="32"/>
          <w:bdr w:val="none" w:color="auto" w:sz="0" w:space="0"/>
          <w:shd w:val="clear" w:fill="FFFFFF"/>
          <w:lang w:val="en-US" w:eastAsia="zh-CN" w:bidi="ar"/>
        </w:rPr>
        <w:t>第一部分兴国县人社局概况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43"/>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000000"/>
          <w:spacing w:val="0"/>
          <w:kern w:val="0"/>
          <w:sz w:val="32"/>
          <w:szCs w:val="32"/>
          <w:bdr w:val="none" w:color="auto" w:sz="0" w:space="0"/>
          <w:shd w:val="clear" w:fill="FFFFFF"/>
          <w:lang w:val="en-US" w:eastAsia="zh-CN" w:bidi="ar"/>
        </w:rPr>
        <w:t>一、部门主要职责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40"/>
        <w:jc w:val="left"/>
        <w:rPr>
          <w:rFonts w:hint="eastAsia" w:ascii="微软雅黑" w:hAnsi="微软雅黑" w:eastAsia="微软雅黑" w:cs="微软雅黑"/>
          <w:i w:val="0"/>
          <w:iCs w:val="0"/>
          <w:caps w:val="0"/>
          <w:color w:val="333333"/>
          <w:spacing w:val="0"/>
          <w:sz w:val="26"/>
          <w:szCs w:val="26"/>
        </w:rPr>
      </w:pPr>
      <w:r>
        <w:rPr>
          <w:rFonts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兴国县人力资源和社会保障局是政府组成部门，承担着全县就业创业、社会养老保险、城乡居民养老保险、工伤保险、失业保险、人事管理、人才招聘、工资福利、劳动保障、劳动监察、劳动仲裁等重要工作。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2"/>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000000"/>
          <w:spacing w:val="0"/>
          <w:kern w:val="0"/>
          <w:sz w:val="30"/>
          <w:szCs w:val="30"/>
          <w:bdr w:val="none" w:color="auto" w:sz="0" w:space="0"/>
          <w:shd w:val="clear" w:fill="FFFFFF"/>
          <w:lang w:val="en-US" w:eastAsia="zh-CN" w:bidi="ar"/>
        </w:rPr>
        <w:t>二、部门基本情况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40"/>
        <w:jc w:val="left"/>
        <w:rPr>
          <w:rFonts w:hint="eastAsia" w:ascii="微软雅黑" w:hAnsi="微软雅黑" w:eastAsia="微软雅黑" w:cs="微软雅黑"/>
          <w:i w:val="0"/>
          <w:iCs w:val="0"/>
          <w:caps w:val="0"/>
          <w:color w:val="333333"/>
          <w:spacing w:val="0"/>
          <w:sz w:val="26"/>
          <w:szCs w:val="26"/>
        </w:rPr>
      </w:pP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管理县社会保险服务中心、县就业创业服务中心两个副科级事业单位以及县劳动监察局一个股级事业单位。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40"/>
        <w:jc w:val="left"/>
        <w:rPr>
          <w:rFonts w:hint="eastAsia" w:ascii="微软雅黑" w:hAnsi="微软雅黑" w:eastAsia="微软雅黑" w:cs="微软雅黑"/>
          <w:i w:val="0"/>
          <w:iCs w:val="0"/>
          <w:caps w:val="0"/>
          <w:color w:val="333333"/>
          <w:spacing w:val="0"/>
          <w:sz w:val="26"/>
          <w:szCs w:val="26"/>
        </w:rPr>
      </w:pP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全系统编制数98个，其中：行政编制16个。全额事业编制82个；实有人数87人，其中：行政编制14人，全额事业编制73人；退休人员44人。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0"/>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000000"/>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0"/>
        <w:jc w:val="left"/>
        <w:rPr>
          <w:rFonts w:hint="eastAsia" w:ascii="微软雅黑" w:hAnsi="微软雅黑" w:eastAsia="微软雅黑" w:cs="微软雅黑"/>
          <w:i w:val="0"/>
          <w:iCs w:val="0"/>
          <w:caps w:val="0"/>
          <w:color w:val="333333"/>
          <w:spacing w:val="0"/>
          <w:sz w:val="26"/>
          <w:szCs w:val="26"/>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第二部分 兴国县人社局2022年部门预算情况说明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2"/>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一、2022年部门预算收支情况说明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2"/>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000000"/>
          <w:spacing w:val="0"/>
          <w:kern w:val="0"/>
          <w:sz w:val="30"/>
          <w:szCs w:val="30"/>
          <w:bdr w:val="none" w:color="auto" w:sz="0" w:space="0"/>
          <w:shd w:val="clear" w:fill="FFFFFF"/>
          <w:lang w:val="en-US" w:eastAsia="zh-CN" w:bidi="ar"/>
        </w:rPr>
        <w:t>（一）收入预算情况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2022年人社局收入预算总额为35275.87万元，比上年预算总额14416.66万元增加了20859.21万元，增加144.69%，增加的主要原因是增加了机关事业单位养老保险基金县级财政补贴2350万元，被征地农民参加企业养老保险补贴8961.82万元等项目支出，</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其中：财政拨款收入</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21082.87</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w:t>
      </w:r>
      <w:r>
        <w:rPr>
          <w:rFonts w:hint="eastAsia"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比上年预算增加8905.67万元，增加73.13%，</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占收入预算总额的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59.77%</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，包括一般公共预算收入</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10445.25</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比上年预算增加5035.05万元，增加93.07%，</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政府性基金预算收入</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10637.62</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比上年预算增加3870.62万元，增加57.2%，</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事业收入</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0</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w:t>
      </w:r>
      <w:r>
        <w:rPr>
          <w:rFonts w:hint="eastAsia"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，和上年持平</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，占收入预算总额的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0%</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；事业单位经营收入</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0</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w:t>
      </w:r>
      <w:r>
        <w:rPr>
          <w:rFonts w:hint="eastAsia"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和上年持平</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，占收入预算总额的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0%</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；其他收入</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4385.42</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比上年预算增加3445.42万元，增加366.5%，</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占收入预算总额的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12.43%</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；上级补助收入</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3048.2</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比上年预算增加2292.04万元，增加303.11%，</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占收入预算总额的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8.64%</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，上年结转</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6759.68</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比上年预算增加</w:t>
      </w:r>
      <w:r>
        <w:rPr>
          <w:rFonts w:hint="eastAsia" w:ascii="宋体" w:hAnsi="宋体" w:eastAsia="宋体" w:cs="宋体"/>
          <w:i w:val="0"/>
          <w:iCs w:val="0"/>
          <w:caps w:val="0"/>
          <w:color w:val="000000"/>
          <w:spacing w:val="0"/>
          <w:kern w:val="0"/>
          <w:sz w:val="32"/>
          <w:szCs w:val="32"/>
          <w:shd w:val="clear" w:fill="FFFFFF"/>
          <w:lang w:val="en-US" w:eastAsia="zh-CN" w:bidi="ar"/>
        </w:rPr>
        <w:t>6759.68</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万元，</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占收入预算总额</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19.16%</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2"/>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000000"/>
          <w:spacing w:val="0"/>
          <w:kern w:val="0"/>
          <w:sz w:val="30"/>
          <w:szCs w:val="30"/>
          <w:bdr w:val="none" w:color="auto" w:sz="0" w:space="0"/>
          <w:shd w:val="clear" w:fill="FFFFFF"/>
          <w:lang w:val="en-US" w:eastAsia="zh-CN" w:bidi="ar"/>
        </w:rPr>
        <w:t>（二）支出预算情况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2022年人社局支出预算总额为35275.87万元，比上年预算总额14416.66万元增加了20859.21万元，增加144.69%，增加的主要原因是增加了机关事业单位养老保险基金县级财政补贴2350万元，被征地农民参加企业养老保险补贴8961.82万元等项目支出</w:t>
      </w:r>
      <w:r>
        <w:rPr>
          <w:rFonts w:hint="eastAsia" w:ascii="宋体" w:hAnsi="宋体" w:eastAsia="宋体" w:cs="宋体"/>
          <w:i w:val="0"/>
          <w:iCs w:val="0"/>
          <w:caps w:val="0"/>
          <w:color w:val="000000"/>
          <w:spacing w:val="0"/>
          <w:kern w:val="0"/>
          <w:sz w:val="30"/>
          <w:szCs w:val="30"/>
          <w:bdr w:val="none" w:color="auto" w:sz="0" w:space="0"/>
          <w:shd w:val="clear" w:fill="FFFFFF"/>
          <w:lang w:val="en-US" w:eastAsia="zh-CN" w:bidi="ar"/>
        </w:rPr>
        <w:t>。</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其中：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43"/>
        <w:rPr>
          <w:rFonts w:hint="eastAsia" w:ascii="微软雅黑" w:hAnsi="微软雅黑" w:eastAsia="微软雅黑" w:cs="微软雅黑"/>
          <w:i w:val="0"/>
          <w:iCs w:val="0"/>
          <w:caps w:val="0"/>
          <w:color w:val="333333"/>
          <w:spacing w:val="0"/>
          <w:sz w:val="26"/>
          <w:szCs w:val="26"/>
        </w:rPr>
      </w:pPr>
      <w:r>
        <w:rPr>
          <w:rFonts w:hint="default" w:ascii="仿宋_GB2312" w:hAnsi="微软雅黑" w:eastAsia="仿宋_GB2312" w:cs="仿宋_GB2312"/>
          <w:b/>
          <w:bCs/>
          <w:i w:val="0"/>
          <w:iCs w:val="0"/>
          <w:caps w:val="0"/>
          <w:color w:val="000000"/>
          <w:spacing w:val="0"/>
          <w:sz w:val="32"/>
          <w:szCs w:val="32"/>
          <w:bdr w:val="none" w:color="auto" w:sz="0" w:space="0"/>
          <w:shd w:val="clear" w:fill="FFFFFF"/>
        </w:rPr>
        <w:t>按资金性质划分：</w:t>
      </w:r>
      <w:r>
        <w:rPr>
          <w:rFonts w:hint="eastAsia" w:ascii="仿宋" w:hAnsi="仿宋" w:eastAsia="仿宋" w:cs="仿宋"/>
          <w:i w:val="0"/>
          <w:iCs w:val="0"/>
          <w:caps w:val="0"/>
          <w:color w:val="000000"/>
          <w:spacing w:val="0"/>
          <w:sz w:val="32"/>
          <w:szCs w:val="32"/>
          <w:bdr w:val="none" w:color="auto" w:sz="0" w:space="0"/>
          <w:shd w:val="clear" w:fill="FFFFFF"/>
        </w:rPr>
        <w:t>财政拨款支出27842.55万元</w:t>
      </w:r>
      <w:r>
        <w:rPr>
          <w:rFonts w:hint="eastAsia" w:ascii="仿宋" w:hAnsi="仿宋" w:eastAsia="仿宋" w:cs="仿宋"/>
          <w:i w:val="0"/>
          <w:iCs w:val="0"/>
          <w:caps w:val="0"/>
          <w:color w:val="000000"/>
          <w:spacing w:val="0"/>
          <w:sz w:val="32"/>
          <w:szCs w:val="32"/>
          <w:bdr w:val="none" w:color="auto" w:sz="0" w:space="0"/>
          <w:shd w:val="clear" w:fill="FFFFFF"/>
          <w:lang w:eastAsia="zh-CN"/>
        </w:rPr>
        <w:t>，比上年预算支出总额增加了</w:t>
      </w:r>
      <w:r>
        <w:rPr>
          <w:rFonts w:hint="eastAsia" w:ascii="仿宋" w:hAnsi="仿宋" w:eastAsia="仿宋" w:cs="仿宋"/>
          <w:i w:val="0"/>
          <w:iCs w:val="0"/>
          <w:caps w:val="0"/>
          <w:color w:val="000000"/>
          <w:spacing w:val="0"/>
          <w:sz w:val="32"/>
          <w:szCs w:val="32"/>
          <w:bdr w:val="none" w:color="auto" w:sz="0" w:space="0"/>
          <w:shd w:val="clear" w:fill="FFFFFF"/>
          <w:lang w:val="en-US" w:eastAsia="zh-CN"/>
        </w:rPr>
        <w:t>15865.35，增加132.46%</w:t>
      </w:r>
      <w:r>
        <w:rPr>
          <w:rFonts w:hint="eastAsia" w:ascii="仿宋" w:hAnsi="仿宋" w:eastAsia="仿宋" w:cs="仿宋"/>
          <w:i w:val="0"/>
          <w:iCs w:val="0"/>
          <w:caps w:val="0"/>
          <w:color w:val="000000"/>
          <w:spacing w:val="0"/>
          <w:sz w:val="32"/>
          <w:szCs w:val="32"/>
          <w:bdr w:val="none" w:color="auto" w:sz="0" w:space="0"/>
          <w:shd w:val="clear" w:fill="FFFFFF"/>
        </w:rPr>
        <w:t>，占支出预算总额的78.93%；上级补助收入支出3048.2万元，占支出预算总额的8.64%；其他收入支出4385.42万元，占支</w:t>
      </w:r>
      <w:r>
        <w:rPr>
          <w:rFonts w:hint="default" w:ascii="仿宋_GB2312" w:hAnsi="微软雅黑" w:eastAsia="仿宋_GB2312" w:cs="仿宋_GB2312"/>
          <w:i w:val="0"/>
          <w:iCs w:val="0"/>
          <w:caps w:val="0"/>
          <w:color w:val="000000"/>
          <w:spacing w:val="0"/>
          <w:sz w:val="32"/>
          <w:szCs w:val="32"/>
          <w:bdr w:val="none" w:color="auto" w:sz="0" w:space="0"/>
          <w:shd w:val="clear" w:fill="FFFFFF"/>
        </w:rPr>
        <w:t>出预算总额的</w:t>
      </w:r>
      <w:r>
        <w:rPr>
          <w:rFonts w:hint="eastAsia" w:ascii="宋体" w:hAnsi="宋体" w:eastAsia="宋体" w:cs="宋体"/>
          <w:i w:val="0"/>
          <w:iCs w:val="0"/>
          <w:caps w:val="0"/>
          <w:color w:val="000000"/>
          <w:spacing w:val="0"/>
          <w:sz w:val="32"/>
          <w:szCs w:val="32"/>
          <w:bdr w:val="none" w:color="auto" w:sz="0" w:space="0"/>
          <w:shd w:val="clear" w:fill="FFFFFF"/>
        </w:rPr>
        <w:t>12.43%</w:t>
      </w:r>
      <w:r>
        <w:rPr>
          <w:rFonts w:hint="default" w:ascii="仿宋_GB2312" w:hAnsi="微软雅黑" w:eastAsia="仿宋_GB2312" w:cs="仿宋_GB2312"/>
          <w:i w:val="0"/>
          <w:iCs w:val="0"/>
          <w:caps w:val="0"/>
          <w:color w:val="000000"/>
          <w:spacing w:val="0"/>
          <w:sz w:val="32"/>
          <w:szCs w:val="32"/>
          <w:bdr w:val="none" w:color="auto" w:sz="0" w:space="0"/>
          <w:shd w:val="clear" w:fill="FFFFFF"/>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iCs w:val="0"/>
          <w:caps w:val="0"/>
          <w:color w:val="333333"/>
          <w:spacing w:val="0"/>
          <w:sz w:val="26"/>
          <w:szCs w:val="26"/>
        </w:rPr>
      </w:pPr>
      <w:r>
        <w:rPr>
          <w:rFonts w:hint="default" w:ascii="仿宋_GB2312" w:hAnsi="微软雅黑" w:eastAsia="仿宋_GB2312" w:cs="仿宋_GB2312"/>
          <w:b/>
          <w:bCs/>
          <w:i w:val="0"/>
          <w:iCs w:val="0"/>
          <w:caps w:val="0"/>
          <w:color w:val="000000"/>
          <w:spacing w:val="0"/>
          <w:kern w:val="0"/>
          <w:sz w:val="32"/>
          <w:szCs w:val="32"/>
          <w:bdr w:val="none" w:color="auto" w:sz="0" w:space="0"/>
          <w:shd w:val="clear" w:fill="FFFFFF"/>
          <w:lang w:val="en-US" w:eastAsia="zh-CN" w:bidi="ar"/>
        </w:rPr>
        <w:t>按支出功能科目划分：</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社会保障和就业</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19670.81</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万元，占支出预算总额的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55.76%</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；卫生健康支出</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63.25</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万元，占支出预算总额的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0.18%</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；城乡社区支出</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14854.19</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万元，占支出预算总额的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44.94%</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；农林水支出</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571</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万元，占支出预算总额的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1.61%</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；住房保障支出</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98.84</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万元，占支出预算总额的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0.28%,</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其他支出</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17.77</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万元，占支出预算总额的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0.05%</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iCs w:val="0"/>
          <w:caps w:val="0"/>
          <w:color w:val="333333"/>
          <w:spacing w:val="0"/>
          <w:sz w:val="26"/>
          <w:szCs w:val="26"/>
        </w:rPr>
      </w:pPr>
      <w:r>
        <w:rPr>
          <w:rFonts w:hint="default" w:ascii="仿宋_GB2312" w:hAnsi="微软雅黑" w:eastAsia="仿宋_GB2312" w:cs="仿宋_GB2312"/>
          <w:b/>
          <w:bCs/>
          <w:i w:val="0"/>
          <w:iCs w:val="0"/>
          <w:caps w:val="0"/>
          <w:color w:val="333333"/>
          <w:spacing w:val="0"/>
          <w:kern w:val="0"/>
          <w:sz w:val="32"/>
          <w:szCs w:val="32"/>
          <w:bdr w:val="none" w:color="auto" w:sz="0" w:space="0"/>
          <w:shd w:val="clear" w:fill="FFFFFF"/>
          <w:lang w:val="en-US" w:eastAsia="zh-CN" w:bidi="ar"/>
        </w:rPr>
        <w:t>按支出项目类别划分：</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基本支出</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987.19</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万元，占支出预算总额的</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2.8%</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，包括工资福利支出</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881.39</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万元、商品和服务支出</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84.68</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万元、对个人和家庭的补助支出</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5.85</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万元；项目支出</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34288.68</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万元，占支出预算总额的</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97.2%</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0"/>
          <w:sz w:val="26"/>
          <w:szCs w:val="26"/>
        </w:rPr>
      </w:pPr>
      <w:r>
        <w:rPr>
          <w:rFonts w:hint="default" w:ascii="仿宋_GB2312" w:hAnsi="微软雅黑" w:eastAsia="仿宋_GB2312" w:cs="仿宋_GB2312"/>
          <w:i w:val="0"/>
          <w:iCs w:val="0"/>
          <w:caps w:val="0"/>
          <w:color w:val="333333"/>
          <w:spacing w:val="0"/>
          <w:sz w:val="32"/>
          <w:szCs w:val="32"/>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2"/>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000000"/>
          <w:spacing w:val="0"/>
          <w:kern w:val="0"/>
          <w:sz w:val="30"/>
          <w:szCs w:val="30"/>
          <w:bdr w:val="none" w:color="auto" w:sz="0" w:space="0"/>
          <w:shd w:val="clear" w:fill="FFFFFF"/>
          <w:lang w:val="en-US" w:eastAsia="zh-CN" w:bidi="ar"/>
        </w:rPr>
        <w:t>（三）财政拨款（补助）支出情况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2022</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年人社局财政拨款（补助）支出预算</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10445.25</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万元，占支出预算总额的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36.63%</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，具体为：社会保障和就业</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10283.15</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万元，占支出预算总额的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98.45%</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；城乡社区支出</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0</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万元，占支出预算总额的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0%,</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卫生健康支出</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63.25</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万元，占支出预算总额的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0.6%</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；农林水支出</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0</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万元，占支出预算总额的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0%</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；住房保障支出</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98.84</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万元，占支出预算总额的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0.95%</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2"/>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（四）政府性基金情况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2022</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年人社局政府性基金收入预算</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10637.62</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万元，占收入预算总额的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37.3%</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，支出预算</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10637.62</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万元，占支出预算总额的</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37.3%</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，具体为：城乡社区支出</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10637.62</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万元，占支出</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（五）机关运行经费等重要事项的说明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2022</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年人社局机关运行经费预算</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940.9</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万元，比上年</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838.67</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万元增加了</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102.23</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万元，增加</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12.19%</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，增加的主要原因是住房公积金提标、劳动仲裁经费、工伤调查认定费、档案全覆盖费用。其中基本支出</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472.9</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万元，项目支出</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468</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9"/>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（六）政府采购情况</w:t>
      </w:r>
    </w:p>
    <w:p>
      <w:pPr>
        <w:ind w:firstLine="640" w:firstLineChars="200"/>
        <w:rPr>
          <w:rFonts w:ascii="宋体" w:hAnsi="宋体" w:eastAsia="仿宋_GB2312" w:cs="仿宋_GB2312"/>
          <w:color w:val="000000" w:themeColor="text1"/>
          <w:sz w:val="32"/>
          <w:szCs w:val="32"/>
          <w14:textFill>
            <w14:solidFill>
              <w14:schemeClr w14:val="tx1"/>
            </w14:solidFill>
          </w14:textFill>
        </w:rPr>
      </w:pP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2022</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年我局政府采购预算共安排</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860.31</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万元。</w:t>
      </w:r>
      <w:r>
        <w:rPr>
          <w:rFonts w:hint="eastAsia" w:ascii="宋体" w:hAnsi="宋体" w:eastAsia="仿宋_GB2312" w:cs="仿宋_GB2312"/>
          <w:color w:val="000000" w:themeColor="text1"/>
          <w:sz w:val="32"/>
          <w:szCs w:val="32"/>
          <w14:textFill>
            <w14:solidFill>
              <w14:schemeClr w14:val="tx1"/>
            </w14:solidFill>
          </w14:textFill>
        </w:rPr>
        <w:t>其中：政府采购货物预算</w:t>
      </w:r>
      <w:r>
        <w:rPr>
          <w:rFonts w:hint="eastAsia" w:ascii="宋体" w:hAnsi="宋体" w:eastAsia="宋体" w:cs="宋体"/>
          <w:i w:val="0"/>
          <w:iCs w:val="0"/>
          <w:caps w:val="0"/>
          <w:color w:val="000000"/>
          <w:spacing w:val="0"/>
          <w:kern w:val="0"/>
          <w:sz w:val="32"/>
          <w:szCs w:val="32"/>
          <w:shd w:val="clear" w:fill="FFFFFF"/>
          <w:lang w:val="en-US" w:eastAsia="zh-CN" w:bidi="ar"/>
        </w:rPr>
        <w:t>860.31</w:t>
      </w:r>
      <w:r>
        <w:rPr>
          <w:rFonts w:hint="eastAsia" w:ascii="宋体" w:hAnsi="宋体" w:eastAsia="仿宋_GB2312" w:cs="仿宋_GB2312"/>
          <w:color w:val="000000" w:themeColor="text1"/>
          <w:sz w:val="32"/>
          <w:szCs w:val="32"/>
          <w14:textFill>
            <w14:solidFill>
              <w14:schemeClr w14:val="tx1"/>
            </w14:solidFill>
          </w14:textFill>
        </w:rPr>
        <w:t>万元，政府采购工程预算0万元，政府采购服务预算0万元。主要是因为预计2022年将搬迁新办公大楼，用于新办公大楼的设备采购。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9"/>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（七）国有资产占有使用情况</w:t>
      </w:r>
    </w:p>
    <w:p>
      <w:pPr>
        <w:ind w:firstLine="604" w:firstLineChars="189"/>
        <w:rPr>
          <w:rFonts w:ascii="宋体" w:hAnsi="宋体" w:eastAsia="仿宋_GB2312" w:cs="仿宋_GB2312"/>
          <w:color w:val="000000" w:themeColor="text1"/>
          <w:sz w:val="32"/>
          <w:szCs w:val="32"/>
          <w14:textFill>
            <w14:solidFill>
              <w14:schemeClr w14:val="tx1"/>
            </w14:solidFill>
          </w14:textFill>
        </w:rPr>
      </w:pPr>
      <w:r>
        <w:rPr>
          <w:rFonts w:hint="eastAsia" w:ascii="宋体" w:hAnsi="宋体" w:eastAsia="仿宋_GB2312" w:cs="仿宋_GB2312"/>
          <w:color w:val="000000" w:themeColor="text1"/>
          <w:sz w:val="32"/>
          <w:szCs w:val="32"/>
          <w14:textFill>
            <w14:solidFill>
              <w14:schemeClr w14:val="tx1"/>
            </w14:solidFill>
          </w14:textFill>
        </w:rPr>
        <w:t>截至2021年12月31日、部门共有车辆0辆，其中：一般公务用车0辆</w:t>
      </w:r>
    </w:p>
    <w:p>
      <w:pPr>
        <w:pStyle w:val="2"/>
        <w:ind w:firstLine="640" w:firstLineChars="200"/>
        <w:rPr>
          <w:rFonts w:hint="eastAsia" w:ascii="微软雅黑" w:hAnsi="微软雅黑" w:eastAsia="微软雅黑" w:cs="微软雅黑"/>
          <w:i w:val="0"/>
          <w:iCs w:val="0"/>
          <w:caps w:val="0"/>
          <w:color w:val="333333"/>
          <w:spacing w:val="0"/>
          <w:sz w:val="26"/>
          <w:szCs w:val="26"/>
        </w:rPr>
      </w:pPr>
      <w:r>
        <w:rPr>
          <w:rFonts w:hint="eastAsia"/>
          <w:lang w:val="en-US" w:bidi="ar-SA"/>
        </w:rPr>
        <w:t>2021年部门预算安排购置车辆0辆，安排购置</w:t>
      </w:r>
      <w:r>
        <w:rPr>
          <w:rFonts w:hint="eastAsia" w:ascii="宋体" w:hAnsi="宋体"/>
          <w:color w:val="000000" w:themeColor="text1"/>
          <w:lang w:val="en-US" w:bidi="ar-SA"/>
          <w14:textFill>
            <w14:solidFill>
              <w14:schemeClr w14:val="tx1"/>
            </w14:solidFill>
          </w14:textFill>
        </w:rPr>
        <w:t>单位价值200万以上大型设备具体为：0。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9"/>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0"/>
          <w:szCs w:val="30"/>
          <w:bdr w:val="none" w:color="auto" w:sz="0" w:space="0"/>
          <w:shd w:val="clear" w:fill="FFFFFF"/>
          <w:lang w:val="en-US" w:eastAsia="zh-CN" w:bidi="ar"/>
        </w:rPr>
        <w:t>(八) </w:t>
      </w: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重点项目预算的绩效目标等预算绩效情况说明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微软雅黑" w:hAnsi="微软雅黑" w:eastAsia="微软雅黑" w:cs="微软雅黑"/>
          <w:i w:val="0"/>
          <w:iCs w:val="0"/>
          <w:caps w:val="0"/>
          <w:color w:val="333333"/>
          <w:spacing w:val="0"/>
          <w:sz w:val="26"/>
          <w:szCs w:val="26"/>
        </w:rPr>
      </w:pPr>
      <w:r>
        <w:rPr>
          <w:rFonts w:hint="default" w:ascii="仿宋_GB2312" w:hAnsi="微软雅黑" w:eastAsia="仿宋_GB2312" w:cs="仿宋_GB2312"/>
          <w:i w:val="0"/>
          <w:iCs w:val="0"/>
          <w:caps w:val="0"/>
          <w:color w:val="000000"/>
          <w:spacing w:val="0"/>
          <w:sz w:val="32"/>
          <w:szCs w:val="32"/>
          <w:bdr w:val="none" w:color="auto" w:sz="0" w:space="0"/>
          <w:shd w:val="clear" w:fill="FFFFFF"/>
        </w:rPr>
        <w:t>我系统全部编制了项目绩效目标，项目绩效目标编制率为</w:t>
      </w:r>
      <w:r>
        <w:rPr>
          <w:rFonts w:hint="eastAsia" w:ascii="宋体" w:hAnsi="宋体" w:eastAsia="宋体" w:cs="宋体"/>
          <w:i w:val="0"/>
          <w:iCs w:val="0"/>
          <w:caps w:val="0"/>
          <w:color w:val="000000"/>
          <w:spacing w:val="0"/>
          <w:sz w:val="32"/>
          <w:szCs w:val="32"/>
          <w:bdr w:val="none" w:color="auto" w:sz="0" w:space="0"/>
          <w:shd w:val="clear" w:fill="FFFFFF"/>
        </w:rPr>
        <w:t>100%</w:t>
      </w:r>
      <w:r>
        <w:rPr>
          <w:rFonts w:hint="default" w:ascii="仿宋_GB2312" w:hAnsi="微软雅黑" w:eastAsia="仿宋_GB2312" w:cs="仿宋_GB2312"/>
          <w:i w:val="0"/>
          <w:iCs w:val="0"/>
          <w:caps w:val="0"/>
          <w:color w:val="000000"/>
          <w:spacing w:val="0"/>
          <w:sz w:val="32"/>
          <w:szCs w:val="32"/>
          <w:bdr w:val="none" w:color="auto" w:sz="0" w:space="0"/>
          <w:shd w:val="clear" w:fill="FFFFFF"/>
        </w:rPr>
        <w:t>。我系统对纳入预算安排的项目绩效目标全部实现了随部门预算</w:t>
      </w:r>
      <w:r>
        <w:rPr>
          <w:rFonts w:hint="eastAsia" w:ascii="宋体" w:hAnsi="宋体" w:eastAsia="宋体" w:cs="宋体"/>
          <w:i w:val="0"/>
          <w:iCs w:val="0"/>
          <w:caps w:val="0"/>
          <w:color w:val="000000"/>
          <w:spacing w:val="0"/>
          <w:sz w:val="32"/>
          <w:szCs w:val="32"/>
          <w:bdr w:val="none" w:color="auto" w:sz="0" w:space="0"/>
          <w:shd w:val="clear" w:fill="FFFFFF"/>
        </w:rPr>
        <w:t> </w:t>
      </w:r>
      <w:r>
        <w:rPr>
          <w:rFonts w:hint="default" w:ascii="仿宋_GB2312" w:hAnsi="微软雅黑" w:eastAsia="仿宋_GB2312" w:cs="仿宋_GB2312"/>
          <w:i w:val="0"/>
          <w:iCs w:val="0"/>
          <w:caps w:val="0"/>
          <w:color w:val="000000"/>
          <w:spacing w:val="0"/>
          <w:sz w:val="32"/>
          <w:szCs w:val="32"/>
          <w:bdr w:val="none" w:color="auto" w:sz="0" w:space="0"/>
          <w:shd w:val="clear" w:fill="FFFFFF"/>
        </w:rPr>
        <w:t>“同步审批、同步批复、同步下达、同步公开”。我局将继续推进预算绩效管理，严把绩效目标编制质量关，扎实做好预算绩效目标执行情况动态监控，深入推进重点项目绩效自评，做好绩效评价结果应用，牢固树立“花钱必问效”的绩效理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1205"/>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2"/>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二、2022年“三公”经费预算情况说明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000000"/>
          <w:spacing w:val="0"/>
          <w:sz w:val="32"/>
          <w:szCs w:val="32"/>
          <w:bdr w:val="none" w:color="auto" w:sz="0" w:space="0"/>
          <w:shd w:val="clear" w:fill="FFFFFF"/>
        </w:rPr>
        <w:t>2022</w:t>
      </w:r>
      <w:r>
        <w:rPr>
          <w:rFonts w:hint="default" w:ascii="仿宋_GB2312" w:hAnsi="微软雅黑" w:eastAsia="仿宋_GB2312" w:cs="仿宋_GB2312"/>
          <w:i w:val="0"/>
          <w:iCs w:val="0"/>
          <w:caps w:val="0"/>
          <w:color w:val="000000"/>
          <w:spacing w:val="0"/>
          <w:sz w:val="32"/>
          <w:szCs w:val="32"/>
          <w:bdr w:val="none" w:color="auto" w:sz="0" w:space="0"/>
          <w:shd w:val="clear" w:fill="FFFFFF"/>
        </w:rPr>
        <w:t>年兴国县人社局 “三公”经费一般公共预算安排</w:t>
      </w:r>
      <w:r>
        <w:rPr>
          <w:rFonts w:hint="eastAsia" w:ascii="宋体" w:hAnsi="宋体" w:eastAsia="宋体" w:cs="宋体"/>
          <w:i w:val="0"/>
          <w:iCs w:val="0"/>
          <w:caps w:val="0"/>
          <w:color w:val="000000"/>
          <w:spacing w:val="0"/>
          <w:sz w:val="32"/>
          <w:szCs w:val="32"/>
          <w:bdr w:val="none" w:color="auto" w:sz="0" w:space="0"/>
          <w:shd w:val="clear" w:fill="FFFFFF"/>
        </w:rPr>
        <w:t>49.3</w:t>
      </w:r>
      <w:r>
        <w:rPr>
          <w:rFonts w:hint="default" w:ascii="仿宋_GB2312" w:hAnsi="微软雅黑" w:eastAsia="仿宋_GB2312" w:cs="仿宋_GB2312"/>
          <w:i w:val="0"/>
          <w:iCs w:val="0"/>
          <w:caps w:val="0"/>
          <w:color w:val="000000"/>
          <w:spacing w:val="0"/>
          <w:sz w:val="32"/>
          <w:szCs w:val="32"/>
          <w:bdr w:val="none" w:color="auto" w:sz="0" w:space="0"/>
          <w:shd w:val="clear" w:fill="FFFFFF"/>
        </w:rPr>
        <w:t>万元，与上年</w:t>
      </w:r>
      <w:r>
        <w:rPr>
          <w:rFonts w:hint="eastAsia" w:ascii="宋体" w:hAnsi="宋体" w:eastAsia="宋体" w:cs="宋体"/>
          <w:i w:val="0"/>
          <w:iCs w:val="0"/>
          <w:caps w:val="0"/>
          <w:color w:val="000000"/>
          <w:spacing w:val="0"/>
          <w:sz w:val="32"/>
          <w:szCs w:val="32"/>
          <w:bdr w:val="none" w:color="auto" w:sz="0" w:space="0"/>
          <w:shd w:val="clear" w:fill="FFFFFF"/>
        </w:rPr>
        <w:t>49.3</w:t>
      </w:r>
      <w:r>
        <w:rPr>
          <w:rFonts w:hint="default" w:ascii="仿宋_GB2312" w:hAnsi="微软雅黑" w:eastAsia="仿宋_GB2312" w:cs="仿宋_GB2312"/>
          <w:i w:val="0"/>
          <w:iCs w:val="0"/>
          <w:caps w:val="0"/>
          <w:color w:val="000000"/>
          <w:spacing w:val="0"/>
          <w:sz w:val="32"/>
          <w:szCs w:val="32"/>
          <w:bdr w:val="none" w:color="auto" w:sz="0" w:space="0"/>
          <w:shd w:val="clear" w:fill="FFFFFF"/>
        </w:rPr>
        <w:t>万元持平。其中：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微软雅黑" w:hAnsi="微软雅黑" w:eastAsia="微软雅黑" w:cs="微软雅黑"/>
          <w:i w:val="0"/>
          <w:iCs w:val="0"/>
          <w:caps w:val="0"/>
          <w:color w:val="333333"/>
          <w:spacing w:val="0"/>
          <w:sz w:val="26"/>
          <w:szCs w:val="26"/>
        </w:rPr>
      </w:pPr>
      <w:r>
        <w:rPr>
          <w:rFonts w:hint="default" w:ascii="仿宋_GB2312" w:hAnsi="微软雅黑" w:eastAsia="仿宋_GB2312" w:cs="仿宋_GB2312"/>
          <w:i w:val="0"/>
          <w:iCs w:val="0"/>
          <w:caps w:val="0"/>
          <w:color w:val="000000"/>
          <w:spacing w:val="0"/>
          <w:sz w:val="32"/>
          <w:szCs w:val="32"/>
          <w:bdr w:val="none" w:color="auto" w:sz="0" w:space="0"/>
          <w:shd w:val="clear" w:fill="FFFFFF"/>
        </w:rPr>
        <w:t>因公出国（境）费</w:t>
      </w:r>
      <w:r>
        <w:rPr>
          <w:rFonts w:hint="eastAsia" w:ascii="宋体" w:hAnsi="宋体" w:eastAsia="宋体" w:cs="宋体"/>
          <w:i w:val="0"/>
          <w:iCs w:val="0"/>
          <w:caps w:val="0"/>
          <w:color w:val="000000"/>
          <w:spacing w:val="0"/>
          <w:sz w:val="32"/>
          <w:szCs w:val="32"/>
          <w:bdr w:val="none" w:color="auto" w:sz="0" w:space="0"/>
          <w:shd w:val="clear" w:fill="FFFFFF"/>
        </w:rPr>
        <w:t>0</w:t>
      </w:r>
      <w:r>
        <w:rPr>
          <w:rFonts w:hint="default" w:ascii="仿宋_GB2312" w:hAnsi="微软雅黑" w:eastAsia="仿宋_GB2312" w:cs="仿宋_GB2312"/>
          <w:i w:val="0"/>
          <w:iCs w:val="0"/>
          <w:caps w:val="0"/>
          <w:color w:val="000000"/>
          <w:spacing w:val="0"/>
          <w:sz w:val="32"/>
          <w:szCs w:val="32"/>
          <w:bdr w:val="none" w:color="auto" w:sz="0" w:space="0"/>
          <w:shd w:val="clear" w:fill="FFFFFF"/>
        </w:rPr>
        <w:t>万元，公务接待费</w:t>
      </w:r>
      <w:r>
        <w:rPr>
          <w:rFonts w:hint="eastAsia" w:ascii="宋体" w:hAnsi="宋体" w:eastAsia="宋体" w:cs="宋体"/>
          <w:i w:val="0"/>
          <w:iCs w:val="0"/>
          <w:caps w:val="0"/>
          <w:color w:val="000000"/>
          <w:spacing w:val="0"/>
          <w:sz w:val="32"/>
          <w:szCs w:val="32"/>
          <w:bdr w:val="none" w:color="auto" w:sz="0" w:space="0"/>
          <w:shd w:val="clear" w:fill="FFFFFF"/>
        </w:rPr>
        <w:t>49.3</w:t>
      </w:r>
      <w:r>
        <w:rPr>
          <w:rFonts w:hint="default" w:ascii="仿宋_GB2312" w:hAnsi="微软雅黑" w:eastAsia="仿宋_GB2312" w:cs="仿宋_GB2312"/>
          <w:i w:val="0"/>
          <w:iCs w:val="0"/>
          <w:caps w:val="0"/>
          <w:color w:val="000000"/>
          <w:spacing w:val="0"/>
          <w:sz w:val="32"/>
          <w:szCs w:val="32"/>
          <w:bdr w:val="none" w:color="auto" w:sz="0" w:space="0"/>
          <w:shd w:val="clear" w:fill="FFFFFF"/>
        </w:rPr>
        <w:t>万元，公务用车运行维护费</w:t>
      </w:r>
      <w:r>
        <w:rPr>
          <w:rFonts w:hint="eastAsia" w:ascii="宋体" w:hAnsi="宋体" w:eastAsia="宋体" w:cs="宋体"/>
          <w:i w:val="0"/>
          <w:iCs w:val="0"/>
          <w:caps w:val="0"/>
          <w:color w:val="000000"/>
          <w:spacing w:val="0"/>
          <w:sz w:val="32"/>
          <w:szCs w:val="32"/>
          <w:bdr w:val="none" w:color="auto" w:sz="0" w:space="0"/>
          <w:shd w:val="clear" w:fill="FFFFFF"/>
        </w:rPr>
        <w:t>0</w:t>
      </w:r>
      <w:r>
        <w:rPr>
          <w:rFonts w:hint="default" w:ascii="仿宋_GB2312" w:hAnsi="微软雅黑" w:eastAsia="仿宋_GB2312" w:cs="仿宋_GB2312"/>
          <w:i w:val="0"/>
          <w:iCs w:val="0"/>
          <w:caps w:val="0"/>
          <w:color w:val="000000"/>
          <w:spacing w:val="0"/>
          <w:sz w:val="32"/>
          <w:szCs w:val="32"/>
          <w:bdr w:val="none" w:color="auto" w:sz="0" w:space="0"/>
          <w:shd w:val="clear" w:fill="FFFFFF"/>
        </w:rPr>
        <w:t>万元，公务用车购置费</w:t>
      </w:r>
      <w:r>
        <w:rPr>
          <w:rFonts w:hint="eastAsia" w:ascii="宋体" w:hAnsi="宋体" w:eastAsia="宋体" w:cs="宋体"/>
          <w:i w:val="0"/>
          <w:iCs w:val="0"/>
          <w:caps w:val="0"/>
          <w:color w:val="000000"/>
          <w:spacing w:val="0"/>
          <w:sz w:val="32"/>
          <w:szCs w:val="32"/>
          <w:bdr w:val="none" w:color="auto" w:sz="0" w:space="0"/>
          <w:shd w:val="clear" w:fill="FFFFFF"/>
        </w:rPr>
        <w:t>0</w:t>
      </w:r>
      <w:r>
        <w:rPr>
          <w:rFonts w:hint="default" w:ascii="仿宋_GB2312" w:hAnsi="微软雅黑" w:eastAsia="仿宋_GB2312" w:cs="仿宋_GB2312"/>
          <w:i w:val="0"/>
          <w:iCs w:val="0"/>
          <w:caps w:val="0"/>
          <w:color w:val="000000"/>
          <w:spacing w:val="0"/>
          <w:sz w:val="32"/>
          <w:szCs w:val="32"/>
          <w:bdr w:val="none" w:color="auto" w:sz="0" w:space="0"/>
          <w:shd w:val="clear" w:fill="FFFFFF"/>
        </w:rPr>
        <w:t>万元。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333333"/>
          <w:spacing w:val="0"/>
          <w:sz w:val="26"/>
          <w:szCs w:val="26"/>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第三部分 兴国县人社局2022年部门预算表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4"/>
        <w:jc w:val="left"/>
        <w:rPr>
          <w:rFonts w:hint="eastAsia" w:ascii="微软雅黑" w:hAnsi="微软雅黑" w:eastAsia="微软雅黑" w:cs="微软雅黑"/>
          <w:i w:val="0"/>
          <w:iCs w:val="0"/>
          <w:caps w:val="0"/>
          <w:color w:val="333333"/>
          <w:spacing w:val="0"/>
          <w:sz w:val="26"/>
          <w:szCs w:val="26"/>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（详见附表）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4"/>
        <w:jc w:val="left"/>
        <w:rPr>
          <w:rFonts w:hint="eastAsia" w:ascii="微软雅黑" w:hAnsi="微软雅黑" w:eastAsia="微软雅黑" w:cs="微软雅黑"/>
          <w:i w:val="0"/>
          <w:iCs w:val="0"/>
          <w:caps w:val="0"/>
          <w:color w:val="333333"/>
          <w:spacing w:val="0"/>
          <w:sz w:val="26"/>
          <w:szCs w:val="26"/>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4"/>
        <w:jc w:val="left"/>
        <w:rPr>
          <w:rFonts w:hint="eastAsia" w:ascii="微软雅黑" w:hAnsi="微软雅黑" w:eastAsia="微软雅黑" w:cs="微软雅黑"/>
          <w:i w:val="0"/>
          <w:iCs w:val="0"/>
          <w:caps w:val="0"/>
          <w:color w:val="333333"/>
          <w:spacing w:val="0"/>
          <w:sz w:val="26"/>
          <w:szCs w:val="26"/>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9"/>
        <w:jc w:val="center"/>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第四部分 名词解释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left"/>
        <w:rPr>
          <w:rFonts w:hint="eastAsia" w:ascii="微软雅黑" w:hAnsi="微软雅黑" w:eastAsia="微软雅黑" w:cs="微软雅黑"/>
          <w:i w:val="0"/>
          <w:iCs w:val="0"/>
          <w:caps w:val="0"/>
          <w:color w:val="333333"/>
          <w:spacing w:val="0"/>
          <w:sz w:val="26"/>
          <w:szCs w:val="26"/>
        </w:rPr>
      </w:pPr>
      <w:r>
        <w:rPr>
          <w:rFonts w:ascii="楷体" w:hAnsi="楷体" w:eastAsia="楷体" w:cs="楷体"/>
          <w:b/>
          <w:bCs/>
          <w:i w:val="0"/>
          <w:iCs w:val="0"/>
          <w:caps w:val="0"/>
          <w:color w:val="333333"/>
          <w:spacing w:val="0"/>
          <w:kern w:val="0"/>
          <w:sz w:val="32"/>
          <w:szCs w:val="32"/>
          <w:bdr w:val="none" w:color="auto" w:sz="0" w:space="0"/>
          <w:shd w:val="clear" w:fill="FFFFFF"/>
          <w:lang w:val="en-US" w:eastAsia="zh-CN" w:bidi="ar"/>
        </w:rPr>
        <w:t>一、收入科目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各部门结合实际进行解释。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（一）财政拨款：指县本级财政当年拨付的资金。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（二）事业收入：指事业单位开展专业业务活动及辅助活动取得的收入。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（三）事业单位经营收入：指事业单位在专业业务活动及辅助活动之外开展非独立核算经营活动取得的收入。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（四）其他收入：指除财政拨款、事业收入、事业单位经营收入等以外的各项收入。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（五）附属单位上缴收入：反映事业单位附属的独立核算单位按规定标准或比例缴纳的各项收入。包括附属的事业单位上缴的收入和附属的企业上缴的利润等。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（六）上级补助收入：反映事业单位从主管部门和上级单位取得的非财政补助收入。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（七）使用非财政拨款结余：填列历年滚存的非限定用途的非统计财政拨款结余弥补XX年收支差额的数额。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（八）上年结转和结余：填列XX年全部结转和结余的资金数，包括当年结转结余资金和历年滚存结转结余资金。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07"/>
        <w:jc w:val="left"/>
        <w:rPr>
          <w:rFonts w:hint="eastAsia" w:ascii="微软雅黑" w:hAnsi="微软雅黑" w:eastAsia="微软雅黑" w:cs="微软雅黑"/>
          <w:i w:val="0"/>
          <w:iCs w:val="0"/>
          <w:caps w:val="0"/>
          <w:color w:val="333333"/>
          <w:spacing w:val="0"/>
          <w:sz w:val="26"/>
          <w:szCs w:val="26"/>
        </w:rPr>
      </w:pPr>
      <w:r>
        <w:rPr>
          <w:rFonts w:hint="eastAsia" w:ascii="楷体" w:hAnsi="楷体" w:eastAsia="楷体" w:cs="楷体"/>
          <w:b/>
          <w:bCs/>
          <w:i w:val="0"/>
          <w:iCs w:val="0"/>
          <w:caps w:val="0"/>
          <w:color w:val="333333"/>
          <w:spacing w:val="0"/>
          <w:kern w:val="0"/>
          <w:sz w:val="32"/>
          <w:szCs w:val="32"/>
          <w:bdr w:val="none" w:color="auto" w:sz="0" w:space="0"/>
          <w:shd w:val="clear" w:fill="FFFFFF"/>
          <w:lang w:val="en-US" w:eastAsia="zh-CN" w:bidi="ar"/>
        </w:rPr>
        <w:t>二、支出科目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对部门或单位预算中涉及的支出功能分类科目（明细到项级），结合部门实际，参照《XX年政府收支分类科目》的规范说明行解释。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（一）行政运行：反映行政单位（事业单位）的基本支出。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（二）一般行政管理事务：反映行政单位（包括事业单位）未单独设置项级科目的其他项目支出。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（三）机关事业单位基本养老保险缴费支出：反映机关事业单位实施养老保险制度由单位缴纳的基本养老保险费的支出。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81"/>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（四）行政单位医疗：反映行政事业单位基本医疗保险缴费经费。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81"/>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（五）事业单位医疗：反映财政部门集中安排的事业单位基本医疗保险缴费经费。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（六）死亡抚恤：反映单位遗属人员生活补助。</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1NWM2ZTRmMzk5YjdiNjJlYzhhZWIwMWI0OGI1ZTkifQ=="/>
  </w:docVars>
  <w:rsids>
    <w:rsidRoot w:val="240A3BC5"/>
    <w:rsid w:val="0204110C"/>
    <w:rsid w:val="240A3BC5"/>
    <w:rsid w:val="4C710C2F"/>
    <w:rsid w:val="5C4A0A23"/>
    <w:rsid w:val="77733F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2648</Words>
  <Characters>3155</Characters>
  <Lines>0</Lines>
  <Paragraphs>0</Paragraphs>
  <TotalTime>1</TotalTime>
  <ScaleCrop>false</ScaleCrop>
  <LinksUpToDate>false</LinksUpToDate>
  <CharactersWithSpaces>3161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2023-06-16T07:18:00Z</dcterms:created>
  <dc:creator>LENOVO</dc:creator>
  <cp:lastModifiedBy>LENOVO</cp:lastModifiedBy>
  <dcterms:modified xsi:type="dcterms:W3CDTF">2023-06-19T03:50:57Z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E9CADE01438A4F31B16178207D706C25_11</vt:lpwstr>
  </property>
</Properties>
</file>