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bCs/>
          <w:color w:val="000000"/>
          <w:sz w:val="44"/>
          <w:szCs w:val="44"/>
        </w:rPr>
      </w:pPr>
      <w:r>
        <w:rPr>
          <w:rFonts w:hint="eastAsia" w:ascii="方正小标宋简体" w:hAnsi="方正小标宋简体"/>
          <w:bCs/>
          <w:color w:val="000000"/>
          <w:sz w:val="44"/>
          <w:szCs w:val="44"/>
        </w:rPr>
        <w:t>兴国县农业农村局</w:t>
      </w:r>
      <w:r>
        <w:rPr>
          <w:rFonts w:ascii="方正小标宋简体" w:hAnsi="方正小标宋简体"/>
          <w:bCs/>
          <w:color w:val="000000"/>
          <w:sz w:val="44"/>
          <w:szCs w:val="44"/>
        </w:rPr>
        <w:t>2022年部门预算草案</w:t>
      </w:r>
    </w:p>
    <w:p>
      <w:pPr>
        <w:spacing w:line="560" w:lineRule="exact"/>
        <w:jc w:val="center"/>
        <w:rPr>
          <w:rFonts w:ascii="黑体" w:hAnsi="黑体" w:eastAsia="黑体"/>
          <w:sz w:val="36"/>
          <w:szCs w:val="36"/>
        </w:rPr>
      </w:pPr>
      <w:r>
        <w:rPr>
          <w:rFonts w:ascii="方正小标宋简体" w:hAnsi="方正小标宋简体"/>
          <w:bCs/>
          <w:color w:val="000000"/>
          <w:sz w:val="44"/>
          <w:szCs w:val="44"/>
        </w:rPr>
        <w:t>编制说明</w:t>
      </w:r>
    </w:p>
    <w:p>
      <w:pPr>
        <w:spacing w:line="560" w:lineRule="exact"/>
        <w:jc w:val="center"/>
        <w:rPr>
          <w:rFonts w:hint="eastAsia" w:ascii="黑体" w:hAnsi="黑体" w:eastAsia="黑体"/>
          <w:sz w:val="32"/>
          <w:szCs w:val="32"/>
        </w:rPr>
      </w:pPr>
    </w:p>
    <w:p>
      <w:pPr>
        <w:spacing w:line="560" w:lineRule="exact"/>
        <w:jc w:val="center"/>
        <w:rPr>
          <w:rFonts w:ascii="黑体" w:hAnsi="黑体" w:eastAsia="黑体"/>
          <w:sz w:val="32"/>
          <w:szCs w:val="32"/>
        </w:rPr>
      </w:pPr>
      <w:r>
        <w:rPr>
          <w:rFonts w:hint="eastAsia" w:ascii="黑体" w:hAnsi="黑体" w:eastAsia="黑体"/>
          <w:sz w:val="32"/>
          <w:szCs w:val="32"/>
        </w:rPr>
        <w:t>第一部分 兴国县农业农村局部门或单位概况</w:t>
      </w:r>
    </w:p>
    <w:p>
      <w:pPr>
        <w:spacing w:line="560" w:lineRule="exact"/>
        <w:jc w:val="center"/>
        <w:rPr>
          <w:rFonts w:ascii="仿宋" w:hAnsi="仿宋" w:eastAsia="仿宋"/>
          <w:b/>
          <w:bCs/>
          <w:sz w:val="32"/>
          <w:szCs w:val="32"/>
        </w:rPr>
      </w:pPr>
      <w:r>
        <w:rPr>
          <w:rFonts w:hint="eastAsia" w:ascii="仿宋" w:hAnsi="仿宋" w:eastAsia="仿宋"/>
          <w:b/>
          <w:bCs/>
          <w:sz w:val="32"/>
          <w:szCs w:val="32"/>
        </w:rPr>
        <w:t xml:space="preserve"> </w:t>
      </w:r>
    </w:p>
    <w:p>
      <w:pPr>
        <w:spacing w:line="560" w:lineRule="exact"/>
        <w:ind w:left="10" w:leftChars="5" w:firstLine="643" w:firstLineChars="200"/>
        <w:rPr>
          <w:rFonts w:ascii="楷体" w:hAnsi="楷体" w:eastAsia="楷体"/>
          <w:b/>
          <w:bCs/>
          <w:sz w:val="32"/>
          <w:szCs w:val="32"/>
        </w:rPr>
      </w:pPr>
      <w:r>
        <w:rPr>
          <w:rFonts w:hint="eastAsia" w:ascii="楷体" w:hAnsi="楷体" w:eastAsia="楷体"/>
          <w:b/>
          <w:bCs/>
          <w:sz w:val="32"/>
          <w:szCs w:val="32"/>
        </w:rPr>
        <w:t>一、部门或单位主要职责</w:t>
      </w:r>
    </w:p>
    <w:p>
      <w:pPr>
        <w:rPr>
          <w:rFonts w:ascii="仿宋" w:hAnsi="仿宋" w:eastAsia="仿宋"/>
          <w:sz w:val="32"/>
          <w:szCs w:val="32"/>
        </w:rPr>
      </w:pPr>
      <w:r>
        <w:rPr>
          <w:rFonts w:hint="eastAsia" w:ascii="仿宋" w:hAnsi="仿宋" w:eastAsia="仿宋"/>
          <w:color w:val="333333"/>
          <w:sz w:val="32"/>
          <w:szCs w:val="32"/>
        </w:rPr>
        <w:t>（一）贯彻落实中央和省关于“三农”工作的重大决策和法律法规，拟订并组织实施全县“三农”工作发展战略、中长期规划。组织起草农业农村、粮油流通管理的有关制度和规范性文件并组织实施。参与涉农的财税、价格、收储、金融保险、进出口等政策制定。组织协调和监督指导农业、粮油流通行业综合行政执法。   （二）统筹推动全县农村社会事业、农村公共服务、农村文化、农村基础设施和乡村治理工作。牵头组织改善农村人居环境，组织实施新农村建设。指导农村精神文明和农耕文化建设。   （三）拟定全县深化农村经济体制改革和巩固完善农村基本经营制度的政策。负责农民承包地、农村宅基地改革和管理相关工作。指导农村土地承包、耕地使用权流转和承包纠纷仲裁工作。负责农村集体产权制度改革，指导农村集体经济组织发展和集体资产管理工作。监督减轻农民负担和村民筹资筹劳管理工作。指导农民合作经济组织、农业社会化服务体系、新型农业经营主体建设与发展。   （四）指导全县乡村特色产业、农产品加工业、休闲农业和乡镇企业发展工作，促进农村一二三产业融合发展。提出促进大宗农产品流通的建议，培育、保护农业品牌，组织农业产业化龙头企业监测和评定工作。发布全县农业农村经济信息，监测分析农业农村经济运行。承担全县农业统计和农业农村信息化有关工作。   （五）负责全县种植业、畜牧业、渔业、农垦、农业机械化等农业各产业的监督管理。指导粮油等农产品生产，组织协调“菜篮子”工作，引导产业结构调整和产品品质的改善。组织构建现代农业产业体系、生产体系、经营体系，指导农业标准化生产。   （六）负责全县农产品质量安全监督管理。组织开展农产品质量安全监测、追溯、风险评估。参与制定农产品质量安全地方标准并会同有关部门组织实施。组织农产品质量安全的重大事故调查处理和突发事件的应对工作。指导农业检验检测体系建设。   （七）组织全县农业资源区划工作。指导农用地、渔业水域以及农业生物物种资源的保护与管理，负责水生野生动植物保护、耕地及永久基本农田质量保护工作。指导设施农业、生态循环农业、节水农业发展以及农村可再生能源综合开发利用、农业生物质产业发展。   （八）负责全县有关农业生产资料和农业投入品的监督管理。组织全县农业生产资源市场体系建设，拟订有关农业生产资料地方标准并监督实施。组织兽医医政、兽药药政药检工作。负责执业兽医和畜禽屠宰行业管理。   （九）负责全县农业防灾减灾、农作物重大病虫害防治工作。监测、报告、发布农业灾情，组织农业救灾物资储备和调拨，提出生产救灾资金安排建议，指导紧急救灾和灾后生产恢复。指导全县动植物防疫检疫体系建设，组织、监督动植物防疫检疫工作，发布疫情并组织扑灭。   （十）负责农业投资管理。提出农业投融资体制机制改革建议。编制县级投资安排的农业投资项目建设规划，提出农业投资规模和方向、扶持农业农村发展财政项目的建议，按权限审批农业投资项目，负责农业投资项目资金安排和监督管理。   （十一）推动全县农业科技体制改革和农业科技创新体系建设。指导全县农业产业技术体系和农技推广体系建设，组织开展农业领域的高新技术和应用技术研究、科技成果转化和技术推广。负责全县农业转基因生物安全监督管理和农业植物新品种保护。   （十二）负责农业领域生态环境保护和节能减排工作。牵头负责农业农药化肥减量和废弃物资源化利用。指导农业清洁生产。指导全县农产品产地环境管理，牵头管理外来物种。   （十三）负责全县粮油流通领域行政管理，拟订全县粮油储备、流通发展规划和总量计划并组织实施。承接上级委托对中央、省级事权粮油进行日常管理。拟定县级应急储备粮油规模，负责政策性粮油应急保障供应及军粮供应与管理。拟订全县粮油流通基础设施建设规划并组织实施，保证储粮安全。负责县级粮油储备、流通相关环节的监督检查。   （十四）统筹推进全县农业农村人才工作。拟订全县农业农村、粮油人才队伍建设规划并组织实施，指导农业教育和农业职业技能开发，指导新型职业农民培育、农村实用人才培训以及农业、粮油科技人才培养工作。   （十五）监督指导全县农业、粮油流通行业安全生产工作。负责农业机械、渔政渔港和农药使用等安全监督管理工作。   （十六）牵头开展全县农业、粮油对外合作工作，指导全县农业招商引资和开放型农业工作。承办相关农业、粮油涉外事务，负责农业利用外资工作，组织开展农业、粮油贸易促进和境内外农业、粮油交流合作，参与执行有关农业、粮油援外项目。组织开发农产品国际国内市场。   （十七）完成县委、县政府交办的其它工作任务。   （十八）职能转变。   1.统筹实施乡村振兴战略，深化农业供给侧结构性改革，提升农业发展质量，扎实推进农村人居环境整治和美丽乡村建设，建立县、乡镇（区）党政班子和领导干部推进乡村振兴战略考核机制，加快实现农业农村现代化。   2.加强全县农产品质量安全和相关农业生产资料、农业投入品的监督管理，坚持最严谨的标准、最严格的监管、最严厉的处罚、最严肃的问责，严防、严管、严控质量安全风险，让人民群众吃得放心、安心。   3.改革完善粮油储备体系和运营方式，完善粮油储备。进一步发挥政府储备引导作用，鼓励企业商业储备，配合形成中央、省级储备与县级储备、政府储备与企业储备互为补充的协同发展格局。   （十九）有关职责分工。   1.与县应急管理局在县级救灾物资储备方面的职责分工。县应急管理局负责提出县级救灾物资的储备需求和动用决策，组织编制县级救灾物资储备规划、品种目录和标准，会同有关部门确定年度购置计划，根据需要下达动用指令。县农业农村局根据县级救灾物资储备规划、品种目录和标准、年度购置计划，负责县级有关救灾物资的收储、轮换和日常管理，根据县应急管理局的动用指令按程序组织调出。   2.与县市场监督管理局的有关职责分工。   （1）县农业农村局负责食用农产品从种植养殖环节到进入批发、零售市场或者生产加工企业前的质量安全监督管理。食用农产品进入批发、零售市场或者生产加工企业后，由县市场监督管理局监督管理。   （2）县农业农村局负责动植物疫病防控、畜禽屠宰环节、生鲜乳收购环节质量安全的监督管理。   （3）两部门要建立食品安全产地准出、市场准入和追溯机制，加强协调配合和工作衔接，形成监管合力。</w:t>
      </w:r>
    </w:p>
    <w:p>
      <w:pPr>
        <w:spacing w:line="560" w:lineRule="exact"/>
        <w:ind w:left="10" w:leftChars="5" w:firstLine="643" w:firstLineChars="200"/>
        <w:rPr>
          <w:rFonts w:ascii="楷体" w:hAnsi="楷体" w:eastAsia="楷体"/>
          <w:b/>
          <w:bCs/>
          <w:sz w:val="32"/>
          <w:szCs w:val="32"/>
        </w:rPr>
      </w:pPr>
      <w:r>
        <w:rPr>
          <w:rFonts w:hint="eastAsia" w:ascii="楷体" w:hAnsi="楷体" w:eastAsia="楷体"/>
          <w:b/>
          <w:bCs/>
          <w:sz w:val="32"/>
          <w:szCs w:val="32"/>
        </w:rPr>
        <w:t>二、部门或单位基本情况</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2022年本部门单位预算包含下级单位兴国县农技术推广中心（农技中心没有单独设立核算合并农业农村局机关一起编制）、兴国县农业综合执法大队二个下属单位构成，编制人数330人，实有在职人数296人，退休人员460人，离休人员2人。</w:t>
      </w:r>
    </w:p>
    <w:p>
      <w:pPr>
        <w:spacing w:line="560" w:lineRule="exact"/>
        <w:jc w:val="center"/>
        <w:rPr>
          <w:rFonts w:hint="eastAsia" w:ascii="黑体" w:hAnsi="黑体" w:eastAsia="黑体"/>
          <w:sz w:val="32"/>
          <w:szCs w:val="32"/>
        </w:rPr>
      </w:pPr>
    </w:p>
    <w:p>
      <w:pPr>
        <w:spacing w:line="560" w:lineRule="exact"/>
        <w:jc w:val="center"/>
        <w:rPr>
          <w:rFonts w:hint="eastAsia" w:ascii="黑体" w:hAnsi="黑体" w:eastAsia="黑体"/>
          <w:sz w:val="32"/>
          <w:szCs w:val="32"/>
        </w:rPr>
      </w:pPr>
    </w:p>
    <w:p>
      <w:pPr>
        <w:spacing w:line="560" w:lineRule="exact"/>
        <w:jc w:val="center"/>
        <w:rPr>
          <w:rFonts w:ascii="黑体" w:hAnsi="黑体" w:eastAsia="黑体"/>
          <w:sz w:val="32"/>
          <w:szCs w:val="32"/>
        </w:rPr>
      </w:pPr>
      <w:r>
        <w:rPr>
          <w:rFonts w:hint="eastAsia" w:ascii="黑体" w:hAnsi="黑体" w:eastAsia="黑体"/>
          <w:sz w:val="32"/>
          <w:szCs w:val="32"/>
        </w:rPr>
        <w:t>第二部分 兴国县农业农村局年部门预算情况说明</w:t>
      </w:r>
    </w:p>
    <w:p>
      <w:pPr>
        <w:spacing w:line="560" w:lineRule="exact"/>
        <w:jc w:val="center"/>
        <w:rPr>
          <w:rFonts w:ascii="仿宋" w:hAnsi="仿宋" w:eastAsia="仿宋"/>
          <w:b/>
          <w:bCs/>
          <w:sz w:val="32"/>
          <w:szCs w:val="32"/>
        </w:rPr>
      </w:pPr>
      <w:r>
        <w:rPr>
          <w:rFonts w:hint="eastAsia" w:ascii="仿宋" w:hAnsi="仿宋" w:eastAsia="仿宋"/>
          <w:b/>
          <w:bCs/>
          <w:sz w:val="32"/>
          <w:szCs w:val="32"/>
        </w:rPr>
        <w:t xml:space="preserve"> </w:t>
      </w:r>
    </w:p>
    <w:p>
      <w:pPr>
        <w:spacing w:line="560" w:lineRule="exact"/>
        <w:ind w:left="10" w:leftChars="5" w:firstLine="643" w:firstLineChars="200"/>
        <w:rPr>
          <w:rFonts w:ascii="楷体" w:hAnsi="楷体" w:eastAsia="楷体"/>
          <w:b/>
          <w:bCs/>
          <w:sz w:val="32"/>
          <w:szCs w:val="32"/>
        </w:rPr>
      </w:pPr>
      <w:r>
        <w:rPr>
          <w:rFonts w:hint="eastAsia" w:ascii="楷体" w:hAnsi="楷体" w:eastAsia="楷体"/>
          <w:b/>
          <w:bCs/>
          <w:sz w:val="32"/>
          <w:szCs w:val="32"/>
        </w:rPr>
        <w:t>一、2022年部门预算收支情况说明</w:t>
      </w:r>
    </w:p>
    <w:p>
      <w:pPr>
        <w:spacing w:line="560" w:lineRule="exact"/>
        <w:ind w:firstLine="643" w:firstLineChars="200"/>
        <w:rPr>
          <w:rFonts w:ascii="仿宋" w:hAnsi="仿宋" w:eastAsia="仿宋"/>
          <w:b/>
          <w:bCs/>
          <w:sz w:val="32"/>
          <w:szCs w:val="32"/>
        </w:rPr>
      </w:pPr>
      <w:r>
        <w:rPr>
          <w:rFonts w:hint="eastAsia" w:ascii="仿宋" w:hAnsi="仿宋" w:eastAsia="仿宋"/>
          <w:b/>
          <w:bCs/>
          <w:sz w:val="32"/>
          <w:szCs w:val="32"/>
        </w:rPr>
        <w:t>（一）收入预算情况</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2022年单位收入预算总额</w:t>
      </w:r>
      <w:r>
        <w:rPr>
          <w:rFonts w:hint="eastAsia" w:ascii="仿宋" w:hAnsi="仿宋" w:eastAsia="仿宋"/>
          <w:sz w:val="32"/>
          <w:szCs w:val="32"/>
          <w:lang w:val="en-US" w:eastAsia="zh-CN"/>
        </w:rPr>
        <w:t>124067.29</w:t>
      </w:r>
      <w:r>
        <w:rPr>
          <w:rFonts w:hint="eastAsia" w:ascii="仿宋" w:hAnsi="仿宋" w:eastAsia="仿宋"/>
          <w:sz w:val="32"/>
          <w:szCs w:val="32"/>
        </w:rPr>
        <w:t>万元，较上年增加</w:t>
      </w:r>
      <w:r>
        <w:rPr>
          <w:rFonts w:hint="eastAsia" w:ascii="仿宋" w:hAnsi="仿宋" w:eastAsia="仿宋"/>
          <w:sz w:val="32"/>
          <w:szCs w:val="32"/>
          <w:lang w:val="en-US" w:eastAsia="zh-CN"/>
        </w:rPr>
        <w:t>66.62</w:t>
      </w:r>
      <w:r>
        <w:rPr>
          <w:rFonts w:hint="eastAsia" w:ascii="仿宋" w:hAnsi="仿宋" w:eastAsia="仿宋"/>
          <w:sz w:val="32"/>
          <w:szCs w:val="32"/>
        </w:rPr>
        <w:t>%，增加的原因是单位合并，人员、项目增加；其中包含财政拨款</w:t>
      </w:r>
      <w:r>
        <w:rPr>
          <w:rFonts w:hint="eastAsia" w:ascii="仿宋" w:hAnsi="仿宋" w:eastAsia="仿宋"/>
          <w:sz w:val="32"/>
          <w:szCs w:val="32"/>
          <w:lang w:val="en-US" w:eastAsia="zh-CN"/>
        </w:rPr>
        <w:t>9895.82</w:t>
      </w:r>
      <w:r>
        <w:rPr>
          <w:rFonts w:hint="eastAsia" w:ascii="仿宋" w:hAnsi="仿宋" w:eastAsia="仿宋"/>
          <w:sz w:val="32"/>
          <w:szCs w:val="32"/>
        </w:rPr>
        <w:t>万元，占总收入的</w:t>
      </w:r>
      <w:r>
        <w:rPr>
          <w:rFonts w:hint="eastAsia" w:ascii="仿宋" w:hAnsi="仿宋" w:eastAsia="仿宋"/>
          <w:sz w:val="32"/>
          <w:szCs w:val="32"/>
          <w:lang w:val="en-US" w:eastAsia="zh-CN"/>
        </w:rPr>
        <w:t>7.98</w:t>
      </w:r>
      <w:r>
        <w:rPr>
          <w:rFonts w:hint="eastAsia" w:ascii="仿宋" w:hAnsi="仿宋" w:eastAsia="仿宋"/>
          <w:sz w:val="32"/>
          <w:szCs w:val="32"/>
        </w:rPr>
        <w:t>%；上级补助收入</w:t>
      </w:r>
      <w:r>
        <w:rPr>
          <w:rFonts w:hint="eastAsia" w:ascii="仿宋" w:hAnsi="仿宋" w:eastAsia="仿宋"/>
          <w:sz w:val="32"/>
          <w:szCs w:val="32"/>
          <w:lang w:val="en-US" w:eastAsia="zh-CN"/>
        </w:rPr>
        <w:t>7160</w:t>
      </w:r>
      <w:r>
        <w:rPr>
          <w:rFonts w:hint="eastAsia" w:ascii="仿宋" w:hAnsi="仿宋" w:eastAsia="仿宋"/>
          <w:sz w:val="32"/>
          <w:szCs w:val="32"/>
        </w:rPr>
        <w:t>万元，占总收入的</w:t>
      </w:r>
      <w:r>
        <w:rPr>
          <w:rFonts w:hint="eastAsia" w:ascii="仿宋" w:hAnsi="仿宋" w:eastAsia="仿宋"/>
          <w:sz w:val="32"/>
          <w:szCs w:val="32"/>
          <w:lang w:val="en-US" w:eastAsia="zh-CN"/>
        </w:rPr>
        <w:t>5.77</w:t>
      </w:r>
      <w:r>
        <w:rPr>
          <w:rFonts w:hint="eastAsia" w:ascii="仿宋" w:hAnsi="仿宋" w:eastAsia="仿宋"/>
          <w:sz w:val="32"/>
          <w:szCs w:val="32"/>
        </w:rPr>
        <w:t>%；其他收入</w:t>
      </w:r>
      <w:r>
        <w:rPr>
          <w:rFonts w:hint="eastAsia" w:ascii="仿宋" w:hAnsi="仿宋" w:eastAsia="仿宋"/>
          <w:sz w:val="32"/>
          <w:szCs w:val="32"/>
          <w:lang w:val="en-US" w:eastAsia="zh-CN"/>
        </w:rPr>
        <w:t>42976.31</w:t>
      </w:r>
      <w:r>
        <w:rPr>
          <w:rFonts w:hint="eastAsia" w:ascii="仿宋" w:hAnsi="仿宋" w:eastAsia="仿宋"/>
          <w:sz w:val="32"/>
          <w:szCs w:val="32"/>
        </w:rPr>
        <w:t>万元，占总收入的</w:t>
      </w:r>
      <w:r>
        <w:rPr>
          <w:rFonts w:hint="eastAsia" w:ascii="仿宋" w:hAnsi="仿宋" w:eastAsia="仿宋"/>
          <w:sz w:val="32"/>
          <w:szCs w:val="32"/>
          <w:lang w:val="en-US" w:eastAsia="zh-CN"/>
        </w:rPr>
        <w:t>34.64</w:t>
      </w:r>
      <w:r>
        <w:rPr>
          <w:rFonts w:hint="eastAsia" w:ascii="仿宋" w:hAnsi="仿宋" w:eastAsia="仿宋"/>
          <w:sz w:val="32"/>
          <w:szCs w:val="32"/>
        </w:rPr>
        <w:t>%</w:t>
      </w:r>
      <w:r>
        <w:rPr>
          <w:rFonts w:hint="eastAsia" w:ascii="仿宋" w:hAnsi="仿宋" w:eastAsia="仿宋"/>
          <w:sz w:val="32"/>
          <w:szCs w:val="32"/>
          <w:lang w:eastAsia="zh-CN"/>
        </w:rPr>
        <w:t>；上年结转</w:t>
      </w:r>
      <w:r>
        <w:rPr>
          <w:rFonts w:hint="eastAsia" w:ascii="仿宋" w:hAnsi="仿宋" w:eastAsia="仿宋"/>
          <w:sz w:val="32"/>
          <w:szCs w:val="32"/>
          <w:lang w:val="en-US" w:eastAsia="zh-CN"/>
        </w:rPr>
        <w:t>64035.16，占总收入的51.61%</w:t>
      </w:r>
      <w:r>
        <w:rPr>
          <w:rFonts w:hint="eastAsia" w:ascii="仿宋" w:hAnsi="仿宋" w:eastAsia="仿宋"/>
          <w:sz w:val="32"/>
          <w:szCs w:val="32"/>
        </w:rPr>
        <w:t>。</w:t>
      </w:r>
    </w:p>
    <w:p>
      <w:pPr>
        <w:spacing w:line="560" w:lineRule="exact"/>
        <w:ind w:firstLine="643" w:firstLineChars="200"/>
        <w:rPr>
          <w:rFonts w:ascii="仿宋" w:hAnsi="仿宋" w:eastAsia="仿宋"/>
          <w:b/>
          <w:bCs/>
          <w:sz w:val="32"/>
          <w:szCs w:val="32"/>
        </w:rPr>
      </w:pPr>
      <w:r>
        <w:rPr>
          <w:rFonts w:hint="eastAsia" w:ascii="仿宋" w:hAnsi="仿宋" w:eastAsia="仿宋"/>
          <w:b/>
          <w:bCs/>
          <w:sz w:val="32"/>
          <w:szCs w:val="32"/>
        </w:rPr>
        <w:t>（二）支出预算情况</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兴国县农业农村局2022年支出总额</w:t>
      </w:r>
      <w:r>
        <w:rPr>
          <w:rFonts w:hint="eastAsia" w:ascii="仿宋" w:hAnsi="仿宋" w:eastAsia="仿宋"/>
          <w:sz w:val="32"/>
          <w:szCs w:val="32"/>
          <w:lang w:val="en-US" w:eastAsia="zh-CN"/>
        </w:rPr>
        <w:t>124067.29</w:t>
      </w:r>
      <w:r>
        <w:rPr>
          <w:rFonts w:hint="eastAsia" w:ascii="仿宋" w:hAnsi="仿宋" w:eastAsia="仿宋"/>
          <w:sz w:val="32"/>
          <w:szCs w:val="32"/>
        </w:rPr>
        <w:t>万元，较上年增加</w:t>
      </w:r>
      <w:r>
        <w:rPr>
          <w:rFonts w:hint="eastAsia" w:ascii="仿宋" w:hAnsi="仿宋" w:eastAsia="仿宋"/>
          <w:sz w:val="32"/>
          <w:szCs w:val="32"/>
          <w:lang w:val="en-US" w:eastAsia="zh-CN"/>
        </w:rPr>
        <w:t>66.62</w:t>
      </w:r>
      <w:r>
        <w:rPr>
          <w:rFonts w:hint="eastAsia" w:ascii="仿宋" w:hAnsi="仿宋" w:eastAsia="仿宋"/>
          <w:sz w:val="32"/>
          <w:szCs w:val="32"/>
        </w:rPr>
        <w:t>%，，原因是单位合并，人员、项目的增加。</w:t>
      </w:r>
    </w:p>
    <w:p>
      <w:pPr>
        <w:ind w:firstLine="640" w:firstLineChars="200"/>
        <w:rPr>
          <w:rFonts w:ascii="宋体" w:hAnsi="宋体" w:cs="Arial"/>
          <w:b/>
          <w:bCs/>
          <w:color w:val="000000"/>
          <w:kern w:val="0"/>
          <w:sz w:val="24"/>
          <w:szCs w:val="24"/>
        </w:rPr>
      </w:pPr>
      <w:r>
        <w:rPr>
          <w:rFonts w:hint="eastAsia" w:ascii="仿宋" w:hAnsi="仿宋" w:eastAsia="仿宋"/>
          <w:sz w:val="32"/>
          <w:szCs w:val="32"/>
        </w:rPr>
        <w:t>其中按支出项目类别划分：基本支出</w:t>
      </w:r>
      <w:r>
        <w:rPr>
          <w:rFonts w:hint="eastAsia" w:ascii="仿宋" w:hAnsi="仿宋" w:eastAsia="仿宋"/>
          <w:sz w:val="32"/>
          <w:szCs w:val="32"/>
          <w:lang w:val="en-US" w:eastAsia="zh-CN"/>
        </w:rPr>
        <w:t>4095.32</w:t>
      </w:r>
      <w:r>
        <w:rPr>
          <w:rFonts w:hint="eastAsia" w:ascii="仿宋" w:hAnsi="仿宋" w:eastAsia="仿宋"/>
          <w:sz w:val="32"/>
          <w:szCs w:val="32"/>
        </w:rPr>
        <w:t>万元，占总支出的</w:t>
      </w:r>
      <w:r>
        <w:rPr>
          <w:rFonts w:hint="eastAsia" w:ascii="仿宋" w:hAnsi="仿宋" w:eastAsia="仿宋"/>
          <w:sz w:val="32"/>
          <w:szCs w:val="32"/>
          <w:lang w:val="en-US" w:eastAsia="zh-CN"/>
        </w:rPr>
        <w:t>3.3</w:t>
      </w:r>
      <w:r>
        <w:rPr>
          <w:rFonts w:hint="eastAsia" w:ascii="仿宋" w:hAnsi="仿宋" w:eastAsia="仿宋"/>
          <w:sz w:val="32"/>
          <w:szCs w:val="32"/>
        </w:rPr>
        <w:t>%，包括工资福利支出</w:t>
      </w:r>
      <w:r>
        <w:rPr>
          <w:rFonts w:hint="eastAsia" w:ascii="仿宋" w:hAnsi="仿宋" w:eastAsia="仿宋" w:cs="Arial"/>
          <w:bCs/>
          <w:color w:val="000000"/>
          <w:kern w:val="0"/>
          <w:sz w:val="32"/>
          <w:szCs w:val="32"/>
        </w:rPr>
        <w:t>3478.17万元，商品服务支出247.57万元，对个人和家庭补助支出81.68万元，资本性支出18.75万元；项目支出</w:t>
      </w:r>
      <w:r>
        <w:rPr>
          <w:rFonts w:hint="eastAsia" w:ascii="仿宋" w:hAnsi="仿宋" w:eastAsia="仿宋" w:cs="Arial"/>
          <w:bCs/>
          <w:color w:val="000000"/>
          <w:kern w:val="0"/>
          <w:sz w:val="32"/>
          <w:szCs w:val="32"/>
          <w:lang w:val="en-US" w:eastAsia="zh-CN"/>
        </w:rPr>
        <w:t>119971.97</w:t>
      </w:r>
      <w:r>
        <w:rPr>
          <w:rFonts w:hint="eastAsia" w:ascii="仿宋" w:hAnsi="仿宋" w:eastAsia="仿宋" w:cs="Arial"/>
          <w:bCs/>
          <w:color w:val="000000"/>
          <w:kern w:val="0"/>
          <w:sz w:val="32"/>
          <w:szCs w:val="32"/>
        </w:rPr>
        <w:t>万元，占总支出的</w:t>
      </w:r>
      <w:r>
        <w:rPr>
          <w:rFonts w:hint="eastAsia" w:ascii="仿宋" w:hAnsi="仿宋" w:eastAsia="仿宋" w:cs="Arial"/>
          <w:bCs/>
          <w:color w:val="000000"/>
          <w:kern w:val="0"/>
          <w:sz w:val="32"/>
          <w:szCs w:val="32"/>
          <w:lang w:val="en-US" w:eastAsia="zh-CN"/>
        </w:rPr>
        <w:t>96.7</w:t>
      </w:r>
      <w:r>
        <w:rPr>
          <w:rFonts w:hint="eastAsia" w:ascii="仿宋" w:hAnsi="仿宋" w:eastAsia="仿宋" w:cs="Arial"/>
          <w:bCs/>
          <w:color w:val="000000"/>
          <w:kern w:val="0"/>
          <w:sz w:val="32"/>
          <w:szCs w:val="32"/>
        </w:rPr>
        <w:t>%，其中包含</w:t>
      </w:r>
      <w:r>
        <w:rPr>
          <w:rFonts w:hint="eastAsia" w:ascii="仿宋" w:hAnsi="仿宋" w:eastAsia="仿宋" w:cs="Arial"/>
          <w:bCs/>
          <w:color w:val="000000"/>
          <w:kern w:val="0"/>
          <w:sz w:val="32"/>
          <w:szCs w:val="32"/>
          <w:lang w:eastAsia="zh-CN"/>
        </w:rPr>
        <w:t>社会保障和就业</w:t>
      </w:r>
      <w:r>
        <w:rPr>
          <w:rFonts w:hint="eastAsia" w:ascii="仿宋" w:hAnsi="仿宋" w:eastAsia="仿宋" w:cs="Arial"/>
          <w:bCs/>
          <w:color w:val="000000"/>
          <w:kern w:val="0"/>
          <w:sz w:val="32"/>
          <w:szCs w:val="32"/>
        </w:rPr>
        <w:t>支出</w:t>
      </w:r>
      <w:r>
        <w:rPr>
          <w:rFonts w:hint="eastAsia" w:ascii="仿宋" w:hAnsi="仿宋" w:eastAsia="仿宋" w:cs="Arial"/>
          <w:bCs/>
          <w:color w:val="000000"/>
          <w:kern w:val="0"/>
          <w:sz w:val="32"/>
          <w:szCs w:val="32"/>
          <w:lang w:val="en-US" w:eastAsia="zh-CN"/>
        </w:rPr>
        <w:t>8.44</w:t>
      </w:r>
      <w:r>
        <w:rPr>
          <w:rFonts w:hint="eastAsia" w:ascii="仿宋" w:hAnsi="仿宋" w:eastAsia="仿宋" w:cs="Arial"/>
          <w:bCs/>
          <w:color w:val="000000"/>
          <w:kern w:val="0"/>
          <w:sz w:val="32"/>
          <w:szCs w:val="32"/>
        </w:rPr>
        <w:t>万元，</w:t>
      </w:r>
      <w:r>
        <w:rPr>
          <w:rFonts w:hint="eastAsia" w:ascii="仿宋" w:hAnsi="仿宋" w:eastAsia="仿宋" w:cs="Arial"/>
          <w:bCs/>
          <w:color w:val="000000"/>
          <w:kern w:val="0"/>
          <w:sz w:val="32"/>
          <w:szCs w:val="32"/>
          <w:lang w:eastAsia="zh-CN"/>
        </w:rPr>
        <w:t>城乡社区</w:t>
      </w:r>
      <w:r>
        <w:rPr>
          <w:rFonts w:hint="eastAsia" w:ascii="仿宋" w:hAnsi="仿宋" w:eastAsia="仿宋" w:cs="Arial"/>
          <w:bCs/>
          <w:color w:val="000000"/>
          <w:kern w:val="0"/>
          <w:sz w:val="32"/>
          <w:szCs w:val="32"/>
        </w:rPr>
        <w:t>支出</w:t>
      </w:r>
      <w:r>
        <w:rPr>
          <w:rFonts w:hint="eastAsia" w:ascii="仿宋" w:hAnsi="仿宋" w:eastAsia="仿宋" w:cs="Arial"/>
          <w:bCs/>
          <w:color w:val="000000"/>
          <w:kern w:val="0"/>
          <w:sz w:val="32"/>
          <w:szCs w:val="32"/>
          <w:lang w:val="en-US" w:eastAsia="zh-CN"/>
        </w:rPr>
        <w:t>40969.28</w:t>
      </w:r>
      <w:r>
        <w:rPr>
          <w:rFonts w:hint="eastAsia" w:ascii="仿宋" w:hAnsi="仿宋" w:eastAsia="仿宋" w:cs="Arial"/>
          <w:bCs/>
          <w:color w:val="000000"/>
          <w:kern w:val="0"/>
          <w:sz w:val="32"/>
          <w:szCs w:val="32"/>
        </w:rPr>
        <w:t>万元，</w:t>
      </w:r>
      <w:r>
        <w:rPr>
          <w:rFonts w:hint="eastAsia" w:ascii="仿宋" w:hAnsi="仿宋" w:eastAsia="仿宋" w:cs="Arial"/>
          <w:bCs/>
          <w:color w:val="000000"/>
          <w:kern w:val="0"/>
          <w:sz w:val="32"/>
          <w:szCs w:val="32"/>
          <w:lang w:eastAsia="zh-CN"/>
        </w:rPr>
        <w:t>农林水</w:t>
      </w:r>
      <w:r>
        <w:rPr>
          <w:rFonts w:hint="eastAsia" w:ascii="仿宋" w:hAnsi="仿宋" w:eastAsia="仿宋" w:cs="Arial"/>
          <w:bCs/>
          <w:color w:val="000000"/>
          <w:kern w:val="0"/>
          <w:sz w:val="32"/>
          <w:szCs w:val="32"/>
        </w:rPr>
        <w:t>支出</w:t>
      </w:r>
      <w:r>
        <w:rPr>
          <w:rFonts w:hint="eastAsia" w:ascii="仿宋" w:hAnsi="仿宋" w:eastAsia="仿宋" w:cs="Arial"/>
          <w:bCs/>
          <w:color w:val="000000"/>
          <w:kern w:val="0"/>
          <w:sz w:val="32"/>
          <w:szCs w:val="32"/>
          <w:lang w:val="en-US" w:eastAsia="zh-CN"/>
        </w:rPr>
        <w:t>65313.53</w:t>
      </w:r>
      <w:r>
        <w:rPr>
          <w:rFonts w:hint="eastAsia" w:ascii="仿宋" w:hAnsi="仿宋" w:eastAsia="仿宋" w:cs="Arial"/>
          <w:bCs/>
          <w:color w:val="000000"/>
          <w:kern w:val="0"/>
          <w:sz w:val="32"/>
          <w:szCs w:val="32"/>
        </w:rPr>
        <w:t>万元</w:t>
      </w:r>
      <w:r>
        <w:rPr>
          <w:rFonts w:hint="eastAsia" w:ascii="仿宋" w:hAnsi="仿宋" w:eastAsia="仿宋" w:cs="Arial"/>
          <w:bCs/>
          <w:color w:val="000000"/>
          <w:kern w:val="0"/>
          <w:sz w:val="32"/>
          <w:szCs w:val="32"/>
          <w:lang w:eastAsia="zh-CN"/>
        </w:rPr>
        <w:t>，商业服务业等支出</w:t>
      </w:r>
      <w:r>
        <w:rPr>
          <w:rFonts w:hint="eastAsia" w:ascii="仿宋" w:hAnsi="仿宋" w:eastAsia="仿宋" w:cs="Arial"/>
          <w:bCs/>
          <w:color w:val="000000"/>
          <w:kern w:val="0"/>
          <w:sz w:val="32"/>
          <w:szCs w:val="32"/>
          <w:lang w:val="en-US" w:eastAsia="zh-CN"/>
        </w:rPr>
        <w:t>660万元，粮油物资储备支出246.9万元，其它支出12773.81</w:t>
      </w:r>
      <w:r>
        <w:rPr>
          <w:rFonts w:hint="eastAsia" w:ascii="仿宋" w:hAnsi="仿宋" w:eastAsia="仿宋" w:cs="Arial"/>
          <w:bCs/>
          <w:color w:val="000000"/>
          <w:kern w:val="0"/>
          <w:sz w:val="32"/>
          <w:szCs w:val="32"/>
        </w:rPr>
        <w:t>。</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按支出功能科目划分为社会保障支出</w:t>
      </w:r>
      <w:r>
        <w:rPr>
          <w:rFonts w:hint="eastAsia" w:ascii="仿宋" w:hAnsi="仿宋" w:eastAsia="仿宋"/>
          <w:sz w:val="32"/>
          <w:szCs w:val="32"/>
          <w:lang w:val="en-US" w:eastAsia="zh-CN"/>
        </w:rPr>
        <w:t>708.40</w:t>
      </w:r>
      <w:r>
        <w:rPr>
          <w:rFonts w:hint="eastAsia" w:ascii="仿宋" w:hAnsi="仿宋" w:eastAsia="仿宋"/>
          <w:sz w:val="32"/>
          <w:szCs w:val="32"/>
        </w:rPr>
        <w:t>万元，占预算支出的</w:t>
      </w:r>
      <w:r>
        <w:rPr>
          <w:rFonts w:hint="eastAsia" w:ascii="仿宋" w:hAnsi="仿宋" w:eastAsia="仿宋"/>
          <w:sz w:val="32"/>
          <w:szCs w:val="32"/>
          <w:lang w:val="en-US" w:eastAsia="zh-CN"/>
        </w:rPr>
        <w:t>7.14</w:t>
      </w:r>
      <w:r>
        <w:rPr>
          <w:rFonts w:hint="eastAsia" w:ascii="仿宋" w:hAnsi="仿宋" w:eastAsia="仿宋"/>
          <w:sz w:val="32"/>
          <w:szCs w:val="32"/>
        </w:rPr>
        <w:t>%；卫生健康支出252.25万元，占预算支出的</w:t>
      </w:r>
      <w:r>
        <w:rPr>
          <w:rFonts w:hint="eastAsia" w:ascii="仿宋" w:hAnsi="仿宋" w:eastAsia="仿宋"/>
          <w:sz w:val="32"/>
          <w:szCs w:val="32"/>
          <w:lang w:val="en-US" w:eastAsia="zh-CN"/>
        </w:rPr>
        <w:t>2.24</w:t>
      </w:r>
      <w:r>
        <w:rPr>
          <w:rFonts w:hint="eastAsia" w:ascii="仿宋" w:hAnsi="仿宋" w:eastAsia="仿宋"/>
          <w:sz w:val="32"/>
          <w:szCs w:val="32"/>
        </w:rPr>
        <w:t>%；农林水支出</w:t>
      </w:r>
      <w:r>
        <w:rPr>
          <w:rFonts w:hint="eastAsia" w:ascii="仿宋" w:hAnsi="仿宋" w:eastAsia="仿宋"/>
          <w:sz w:val="32"/>
          <w:szCs w:val="32"/>
          <w:lang w:val="en-US" w:eastAsia="zh-CN"/>
        </w:rPr>
        <w:t>45718</w:t>
      </w:r>
      <w:r>
        <w:rPr>
          <w:rFonts w:hint="eastAsia" w:ascii="仿宋" w:hAnsi="仿宋" w:eastAsia="仿宋"/>
          <w:sz w:val="32"/>
          <w:szCs w:val="32"/>
        </w:rPr>
        <w:t>.30万元，占预算总支出的</w:t>
      </w:r>
      <w:r>
        <w:rPr>
          <w:rFonts w:hint="eastAsia" w:ascii="仿宋" w:hAnsi="仿宋" w:eastAsia="仿宋"/>
          <w:sz w:val="32"/>
          <w:szCs w:val="32"/>
          <w:lang w:val="en-US" w:eastAsia="zh-CN"/>
        </w:rPr>
        <w:t>85.37</w:t>
      </w:r>
      <w:r>
        <w:rPr>
          <w:rFonts w:hint="eastAsia" w:ascii="仿宋" w:hAnsi="仿宋" w:eastAsia="仿宋"/>
          <w:sz w:val="32"/>
          <w:szCs w:val="32"/>
        </w:rPr>
        <w:t>%；住房保障支出332.47万元，占预算总支出的</w:t>
      </w:r>
      <w:r>
        <w:rPr>
          <w:rFonts w:hint="eastAsia" w:ascii="仿宋" w:hAnsi="仿宋" w:eastAsia="仿宋"/>
          <w:sz w:val="32"/>
          <w:szCs w:val="32"/>
          <w:lang w:val="en-US" w:eastAsia="zh-CN"/>
        </w:rPr>
        <w:t>3.36</w:t>
      </w:r>
      <w:r>
        <w:rPr>
          <w:rFonts w:hint="eastAsia" w:ascii="仿宋" w:hAnsi="仿宋" w:eastAsia="仿宋"/>
          <w:sz w:val="32"/>
          <w:szCs w:val="32"/>
        </w:rPr>
        <w:t>%；粮食储备支出</w:t>
      </w:r>
      <w:r>
        <w:rPr>
          <w:rFonts w:hint="eastAsia" w:ascii="仿宋" w:hAnsi="仿宋" w:eastAsia="仿宋"/>
          <w:sz w:val="32"/>
          <w:szCs w:val="32"/>
          <w:lang w:val="en-US" w:eastAsia="zh-CN"/>
        </w:rPr>
        <w:t>4.4</w:t>
      </w:r>
      <w:r>
        <w:rPr>
          <w:rFonts w:hint="eastAsia" w:ascii="仿宋" w:hAnsi="仿宋" w:eastAsia="仿宋"/>
          <w:sz w:val="32"/>
          <w:szCs w:val="32"/>
        </w:rPr>
        <w:t>万元，占预算总支出的</w:t>
      </w:r>
      <w:r>
        <w:rPr>
          <w:rFonts w:hint="eastAsia" w:ascii="仿宋" w:hAnsi="仿宋" w:eastAsia="仿宋"/>
          <w:sz w:val="32"/>
          <w:szCs w:val="32"/>
          <w:lang w:val="en-US" w:eastAsia="zh-CN"/>
        </w:rPr>
        <w:t>0.04</w:t>
      </w:r>
      <w:r>
        <w:rPr>
          <w:rFonts w:hint="eastAsia" w:ascii="仿宋" w:hAnsi="仿宋" w:eastAsia="仿宋"/>
          <w:sz w:val="32"/>
          <w:szCs w:val="32"/>
        </w:rPr>
        <w:t>%；其它支出</w:t>
      </w:r>
      <w:r>
        <w:rPr>
          <w:rFonts w:hint="eastAsia" w:ascii="仿宋" w:hAnsi="仿宋" w:eastAsia="仿宋"/>
          <w:sz w:val="32"/>
          <w:szCs w:val="32"/>
          <w:lang w:val="en-US" w:eastAsia="zh-CN"/>
        </w:rPr>
        <w:t>150万元</w:t>
      </w:r>
      <w:r>
        <w:rPr>
          <w:rFonts w:hint="eastAsia" w:ascii="仿宋" w:hAnsi="仿宋" w:eastAsia="仿宋"/>
          <w:sz w:val="32"/>
          <w:szCs w:val="32"/>
        </w:rPr>
        <w:t>，占预算支出的</w:t>
      </w:r>
      <w:r>
        <w:rPr>
          <w:rFonts w:hint="eastAsia" w:ascii="仿宋" w:hAnsi="仿宋" w:eastAsia="仿宋"/>
          <w:sz w:val="32"/>
          <w:szCs w:val="32"/>
          <w:lang w:val="en-US" w:eastAsia="zh-CN"/>
        </w:rPr>
        <w:t>1.52</w:t>
      </w:r>
      <w:r>
        <w:rPr>
          <w:rFonts w:hint="eastAsia" w:ascii="仿宋" w:hAnsi="仿宋" w:eastAsia="仿宋"/>
          <w:sz w:val="32"/>
          <w:szCs w:val="32"/>
        </w:rPr>
        <w:t>%。</w:t>
      </w:r>
    </w:p>
    <w:p>
      <w:pPr>
        <w:spacing w:line="560" w:lineRule="exact"/>
        <w:ind w:firstLine="643" w:firstLineChars="200"/>
        <w:rPr>
          <w:rFonts w:ascii="仿宋" w:hAnsi="仿宋" w:eastAsia="仿宋"/>
          <w:b/>
          <w:bCs/>
          <w:sz w:val="32"/>
          <w:szCs w:val="32"/>
        </w:rPr>
      </w:pPr>
      <w:r>
        <w:rPr>
          <w:rFonts w:hint="eastAsia" w:ascii="仿宋" w:hAnsi="仿宋" w:eastAsia="仿宋"/>
          <w:b/>
          <w:bCs/>
          <w:sz w:val="32"/>
          <w:szCs w:val="32"/>
        </w:rPr>
        <w:t>（三）财政拨款支出情况</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2022年财政拨款（补助）支出预算数为</w:t>
      </w:r>
      <w:r>
        <w:rPr>
          <w:rFonts w:hint="eastAsia" w:ascii="仿宋" w:hAnsi="仿宋" w:eastAsia="仿宋"/>
          <w:sz w:val="32"/>
          <w:szCs w:val="32"/>
          <w:lang w:val="en-US" w:eastAsia="zh-CN"/>
        </w:rPr>
        <w:t>9895.82</w:t>
      </w:r>
      <w:r>
        <w:rPr>
          <w:rFonts w:hint="eastAsia" w:ascii="仿宋" w:hAnsi="仿宋" w:eastAsia="仿宋"/>
          <w:sz w:val="32"/>
          <w:szCs w:val="32"/>
        </w:rPr>
        <w:t xml:space="preserve">万元，较上年增 </w:t>
      </w:r>
      <w:r>
        <w:rPr>
          <w:rFonts w:hint="eastAsia" w:ascii="仿宋" w:hAnsi="仿宋" w:eastAsia="仿宋"/>
          <w:sz w:val="32"/>
          <w:szCs w:val="32"/>
          <w:lang w:val="en-US" w:eastAsia="zh-CN"/>
        </w:rPr>
        <w:t>47.19</w:t>
      </w:r>
      <w:r>
        <w:rPr>
          <w:rFonts w:hint="eastAsia" w:ascii="仿宋" w:hAnsi="仿宋" w:eastAsia="仿宋"/>
          <w:sz w:val="32"/>
          <w:szCs w:val="32"/>
        </w:rPr>
        <w:t xml:space="preserve"> %.主要原因是</w:t>
      </w:r>
      <w:r>
        <w:rPr>
          <w:rFonts w:hint="eastAsia" w:ascii="仿宋" w:hAnsi="仿宋" w:eastAsia="仿宋"/>
          <w:sz w:val="32"/>
          <w:szCs w:val="32"/>
          <w:lang w:eastAsia="zh-CN"/>
        </w:rPr>
        <w:t>机构改革，单位合并的</w:t>
      </w:r>
      <w:r>
        <w:rPr>
          <w:rFonts w:hint="eastAsia" w:ascii="仿宋" w:hAnsi="仿宋" w:eastAsia="仿宋"/>
          <w:sz w:val="32"/>
          <w:szCs w:val="32"/>
        </w:rPr>
        <w:t>人员、项目的增加。具体为行政事业单位养老及职业年金、离退休支出409.17万元，占财政拨款（补助）支出</w:t>
      </w:r>
      <w:r>
        <w:rPr>
          <w:rFonts w:hint="eastAsia" w:ascii="仿宋" w:hAnsi="仿宋" w:eastAsia="仿宋"/>
          <w:sz w:val="32"/>
          <w:szCs w:val="32"/>
          <w:lang w:val="en-US" w:eastAsia="zh-CN"/>
        </w:rPr>
        <w:t>4.13</w:t>
      </w:r>
      <w:r>
        <w:rPr>
          <w:rFonts w:hint="eastAsia" w:ascii="仿宋" w:hAnsi="仿宋" w:eastAsia="仿宋"/>
          <w:sz w:val="32"/>
          <w:szCs w:val="32"/>
        </w:rPr>
        <w:t>%；抚恤金支出56.22万元，占财政拨款（补助）支出的0.</w:t>
      </w:r>
      <w:r>
        <w:rPr>
          <w:rFonts w:hint="eastAsia" w:ascii="仿宋" w:hAnsi="仿宋" w:eastAsia="仿宋"/>
          <w:sz w:val="32"/>
          <w:szCs w:val="32"/>
          <w:lang w:val="en-US" w:eastAsia="zh-CN"/>
        </w:rPr>
        <w:t>57</w:t>
      </w:r>
      <w:r>
        <w:rPr>
          <w:rFonts w:hint="eastAsia" w:ascii="仿宋" w:hAnsi="仿宋" w:eastAsia="仿宋"/>
          <w:sz w:val="32"/>
          <w:szCs w:val="32"/>
        </w:rPr>
        <w:t>%，其它社会保障支出243.01万元，占财政拨款（补助）支出</w:t>
      </w:r>
      <w:r>
        <w:rPr>
          <w:rFonts w:hint="eastAsia" w:ascii="仿宋" w:hAnsi="仿宋" w:eastAsia="仿宋"/>
          <w:sz w:val="32"/>
          <w:szCs w:val="32"/>
          <w:lang w:val="en-US" w:eastAsia="zh-CN"/>
        </w:rPr>
        <w:t>2.46</w:t>
      </w:r>
      <w:r>
        <w:rPr>
          <w:rFonts w:hint="eastAsia" w:ascii="仿宋" w:hAnsi="仿宋" w:eastAsia="仿宋"/>
          <w:sz w:val="32"/>
          <w:szCs w:val="32"/>
        </w:rPr>
        <w:t>%；行政事业单位医疗支出252.25万元，占财政拨款（补助）支出的</w:t>
      </w:r>
      <w:r>
        <w:rPr>
          <w:rFonts w:hint="eastAsia" w:ascii="仿宋" w:hAnsi="仿宋" w:eastAsia="仿宋"/>
          <w:sz w:val="32"/>
          <w:szCs w:val="32"/>
          <w:lang w:val="en-US" w:eastAsia="zh-CN"/>
        </w:rPr>
        <w:t>2.55</w:t>
      </w:r>
      <w:r>
        <w:rPr>
          <w:rFonts w:hint="eastAsia" w:ascii="仿宋" w:hAnsi="仿宋" w:eastAsia="仿宋"/>
          <w:sz w:val="32"/>
          <w:szCs w:val="32"/>
        </w:rPr>
        <w:t>%；农林水支出</w:t>
      </w:r>
      <w:r>
        <w:rPr>
          <w:rFonts w:hint="eastAsia" w:ascii="仿宋" w:hAnsi="仿宋" w:eastAsia="仿宋"/>
          <w:sz w:val="32"/>
          <w:szCs w:val="32"/>
          <w:lang w:val="en-US" w:eastAsia="zh-CN"/>
        </w:rPr>
        <w:t>8448.3</w:t>
      </w:r>
      <w:r>
        <w:rPr>
          <w:rFonts w:hint="eastAsia" w:ascii="仿宋" w:hAnsi="仿宋" w:eastAsia="仿宋"/>
          <w:sz w:val="32"/>
          <w:szCs w:val="32"/>
        </w:rPr>
        <w:t>万元，占财政拨款（补助）支出的</w:t>
      </w:r>
      <w:r>
        <w:rPr>
          <w:rFonts w:hint="eastAsia" w:ascii="仿宋" w:hAnsi="仿宋" w:eastAsia="仿宋"/>
          <w:sz w:val="32"/>
          <w:szCs w:val="32"/>
          <w:lang w:val="en-US" w:eastAsia="zh-CN"/>
        </w:rPr>
        <w:t>85.37%</w:t>
      </w:r>
      <w:r>
        <w:rPr>
          <w:rFonts w:hint="eastAsia" w:ascii="仿宋" w:hAnsi="仿宋" w:eastAsia="仿宋"/>
          <w:sz w:val="32"/>
          <w:szCs w:val="32"/>
        </w:rPr>
        <w:t>；住房保障支出332.47万元，占财政拨款（补助）支出的</w:t>
      </w:r>
      <w:r>
        <w:rPr>
          <w:rFonts w:hint="eastAsia" w:ascii="仿宋" w:hAnsi="仿宋" w:eastAsia="仿宋"/>
          <w:sz w:val="32"/>
          <w:szCs w:val="32"/>
          <w:lang w:val="en-US" w:eastAsia="zh-CN"/>
        </w:rPr>
        <w:t>3.36</w:t>
      </w:r>
      <w:r>
        <w:rPr>
          <w:rFonts w:hint="eastAsia" w:ascii="仿宋" w:hAnsi="仿宋" w:eastAsia="仿宋"/>
          <w:sz w:val="32"/>
          <w:szCs w:val="32"/>
        </w:rPr>
        <w:t>%；粮油储备支出4.4万元，占财政拨款（补助）支出的0.0</w:t>
      </w:r>
      <w:r>
        <w:rPr>
          <w:rFonts w:hint="eastAsia" w:ascii="仿宋" w:hAnsi="仿宋" w:eastAsia="仿宋"/>
          <w:sz w:val="32"/>
          <w:szCs w:val="32"/>
          <w:lang w:val="en-US" w:eastAsia="zh-CN"/>
        </w:rPr>
        <w:t>4</w:t>
      </w:r>
      <w:r>
        <w:rPr>
          <w:rFonts w:hint="eastAsia" w:ascii="仿宋" w:hAnsi="仿宋" w:eastAsia="仿宋"/>
          <w:sz w:val="32"/>
          <w:szCs w:val="32"/>
        </w:rPr>
        <w:t>%。其它支出150万元，占财政拨款（补助）支出的</w:t>
      </w:r>
      <w:r>
        <w:rPr>
          <w:rFonts w:hint="eastAsia" w:ascii="仿宋" w:hAnsi="仿宋" w:eastAsia="仿宋"/>
          <w:sz w:val="32"/>
          <w:szCs w:val="32"/>
          <w:lang w:val="en-US" w:eastAsia="zh-CN"/>
        </w:rPr>
        <w:t>1.52</w:t>
      </w:r>
      <w:r>
        <w:rPr>
          <w:rFonts w:hint="eastAsia" w:ascii="仿宋" w:hAnsi="仿宋" w:eastAsia="仿宋"/>
          <w:sz w:val="32"/>
          <w:szCs w:val="32"/>
        </w:rPr>
        <w:t>%。</w:t>
      </w:r>
    </w:p>
    <w:p>
      <w:pPr>
        <w:spacing w:line="560" w:lineRule="exact"/>
        <w:ind w:firstLine="643" w:firstLineChars="200"/>
        <w:rPr>
          <w:rFonts w:ascii="仿宋" w:hAnsi="仿宋" w:eastAsia="仿宋"/>
          <w:b/>
          <w:bCs/>
          <w:sz w:val="32"/>
          <w:szCs w:val="32"/>
        </w:rPr>
      </w:pPr>
      <w:r>
        <w:rPr>
          <w:rFonts w:hint="eastAsia" w:ascii="仿宋" w:hAnsi="仿宋" w:eastAsia="仿宋"/>
          <w:b/>
          <w:bCs/>
          <w:sz w:val="32"/>
          <w:szCs w:val="32"/>
        </w:rPr>
        <w:t>（四）政府性基金情况</w:t>
      </w:r>
    </w:p>
    <w:p>
      <w:pPr>
        <w:spacing w:line="560" w:lineRule="exact"/>
        <w:ind w:firstLine="640" w:firstLineChars="200"/>
        <w:rPr>
          <w:rFonts w:hint="eastAsia" w:ascii="仿宋" w:hAnsi="仿宋" w:eastAsia="仿宋"/>
          <w:b/>
          <w:bCs/>
          <w:sz w:val="32"/>
          <w:szCs w:val="32"/>
          <w:lang w:eastAsia="zh-CN"/>
        </w:rPr>
      </w:pPr>
      <w:r>
        <w:rPr>
          <w:rFonts w:hint="eastAsia" w:ascii="仿宋" w:hAnsi="仿宋" w:eastAsia="仿宋"/>
          <w:sz w:val="32"/>
          <w:szCs w:val="32"/>
          <w:lang w:eastAsia="zh-CN"/>
        </w:rPr>
        <w:t>无</w:t>
      </w:r>
    </w:p>
    <w:p>
      <w:pPr>
        <w:spacing w:line="560" w:lineRule="exact"/>
        <w:ind w:firstLine="643" w:firstLineChars="200"/>
        <w:rPr>
          <w:rFonts w:ascii="仿宋" w:hAnsi="仿宋" w:eastAsia="仿宋"/>
          <w:b/>
          <w:bCs/>
          <w:sz w:val="32"/>
          <w:szCs w:val="32"/>
        </w:rPr>
      </w:pPr>
      <w:r>
        <w:rPr>
          <w:rFonts w:hint="eastAsia" w:ascii="仿宋" w:hAnsi="仿宋" w:eastAsia="仿宋"/>
          <w:b/>
          <w:bCs/>
          <w:sz w:val="32"/>
          <w:szCs w:val="32"/>
        </w:rPr>
        <w:t>（五）机关运行经费等重要事项的说明</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2022年农业农村局机关运行费预算</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266.32</w:t>
      </w:r>
      <w:r>
        <w:rPr>
          <w:rFonts w:hint="eastAsia" w:ascii="仿宋" w:hAnsi="仿宋" w:eastAsia="仿宋"/>
          <w:sz w:val="32"/>
          <w:szCs w:val="32"/>
        </w:rPr>
        <w:t>万元，比2021年(上一年度）预算增加</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19.05</w:t>
      </w:r>
      <w:r>
        <w:rPr>
          <w:rFonts w:hint="eastAsia" w:ascii="仿宋" w:hAnsi="仿宋" w:eastAsia="仿宋"/>
          <w:sz w:val="32"/>
          <w:szCs w:val="32"/>
        </w:rPr>
        <w:t>万元，增长</w:t>
      </w:r>
      <w:r>
        <w:rPr>
          <w:rFonts w:hint="eastAsia" w:ascii="仿宋" w:hAnsi="仿宋" w:eastAsia="仿宋"/>
          <w:sz w:val="32"/>
          <w:szCs w:val="32"/>
          <w:u w:val="single"/>
          <w:lang w:val="en-US" w:eastAsia="zh-CN"/>
        </w:rPr>
        <w:t>0.07</w:t>
      </w:r>
      <w:r>
        <w:rPr>
          <w:rFonts w:hint="eastAsia" w:ascii="仿宋" w:hAnsi="仿宋" w:eastAsia="仿宋"/>
          <w:sz w:val="32"/>
          <w:szCs w:val="32"/>
        </w:rPr>
        <w:t>％</w:t>
      </w:r>
      <w:r>
        <w:rPr>
          <w:rFonts w:hint="eastAsia" w:ascii="仿宋" w:hAnsi="仿宋" w:eastAsia="仿宋"/>
          <w:sz w:val="32"/>
          <w:szCs w:val="32"/>
          <w:lang w:eastAsia="zh-CN"/>
        </w:rPr>
        <w:t>，增长的原因是机构改革原农业农村局下属单位合并</w:t>
      </w:r>
      <w:r>
        <w:rPr>
          <w:rFonts w:hint="eastAsia" w:ascii="仿宋" w:hAnsi="仿宋" w:eastAsia="仿宋"/>
          <w:sz w:val="32"/>
          <w:szCs w:val="32"/>
        </w:rPr>
        <w:t>。</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按照《地方预决算公开操作规程》明确的口径，机关运行费指各部门的公用经费，包括办公及印刷费、邮电费、差旅费、会议费、培训费、公务接待费，福利费、日常维修费、专用材料及一般设备购置费、办公用房水电费、办公用房取暖费、办公用房物业管理费、公务用车运行维护费、其它交通费以及其他费用。</w:t>
      </w:r>
    </w:p>
    <w:p>
      <w:pPr>
        <w:spacing w:line="560" w:lineRule="exact"/>
        <w:ind w:firstLine="643" w:firstLineChars="200"/>
        <w:rPr>
          <w:rFonts w:ascii="仿宋" w:hAnsi="仿宋" w:eastAsia="仿宋"/>
          <w:b/>
          <w:bCs/>
          <w:sz w:val="32"/>
          <w:szCs w:val="32"/>
        </w:rPr>
      </w:pPr>
      <w:r>
        <w:rPr>
          <w:rFonts w:hint="eastAsia" w:ascii="仿宋" w:hAnsi="仿宋" w:eastAsia="仿宋"/>
          <w:b/>
          <w:bCs/>
          <w:sz w:val="32"/>
          <w:szCs w:val="32"/>
        </w:rPr>
        <w:t>（六）政府采购情况</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2022年部门或单位所属各单位政府采购总额</w:t>
      </w:r>
      <w:r>
        <w:rPr>
          <w:rFonts w:hint="eastAsia" w:ascii="仿宋" w:hAnsi="仿宋" w:eastAsia="仿宋"/>
          <w:sz w:val="32"/>
          <w:szCs w:val="32"/>
          <w:u w:val="single"/>
        </w:rPr>
        <w:t xml:space="preserve"> 444.25    </w:t>
      </w:r>
      <w:r>
        <w:rPr>
          <w:rFonts w:hint="eastAsia" w:ascii="仿宋" w:hAnsi="仿宋" w:eastAsia="仿宋"/>
          <w:sz w:val="32"/>
          <w:szCs w:val="32"/>
        </w:rPr>
        <w:t>万元，其中：政府采购货物预算</w:t>
      </w:r>
      <w:r>
        <w:rPr>
          <w:rFonts w:hint="eastAsia" w:ascii="仿宋" w:hAnsi="仿宋" w:eastAsia="仿宋"/>
          <w:sz w:val="32"/>
          <w:szCs w:val="32"/>
          <w:u w:val="single"/>
        </w:rPr>
        <w:t xml:space="preserve">  24.25</w:t>
      </w:r>
      <w:r>
        <w:rPr>
          <w:rFonts w:hint="eastAsia" w:ascii="仿宋" w:hAnsi="仿宋" w:eastAsia="仿宋"/>
          <w:sz w:val="32"/>
          <w:szCs w:val="32"/>
        </w:rPr>
        <w:t>万元、政府采购工程预算</w:t>
      </w:r>
      <w:r>
        <w:rPr>
          <w:rFonts w:hint="eastAsia" w:ascii="仿宋" w:hAnsi="仿宋" w:eastAsia="仿宋"/>
          <w:sz w:val="32"/>
          <w:szCs w:val="32"/>
          <w:u w:val="single"/>
        </w:rPr>
        <w:t xml:space="preserve">     </w:t>
      </w:r>
      <w:r>
        <w:rPr>
          <w:rFonts w:hint="eastAsia" w:ascii="仿宋" w:hAnsi="仿宋" w:eastAsia="仿宋"/>
          <w:sz w:val="32"/>
          <w:szCs w:val="32"/>
        </w:rPr>
        <w:t>万元、政府采购服务预算</w:t>
      </w:r>
      <w:r>
        <w:rPr>
          <w:rFonts w:hint="eastAsia" w:ascii="仿宋" w:hAnsi="仿宋" w:eastAsia="仿宋"/>
          <w:sz w:val="32"/>
          <w:szCs w:val="32"/>
          <w:u w:val="single"/>
        </w:rPr>
        <w:t xml:space="preserve">    420 </w:t>
      </w:r>
      <w:r>
        <w:rPr>
          <w:rFonts w:hint="eastAsia" w:ascii="仿宋" w:hAnsi="仿宋" w:eastAsia="仿宋"/>
          <w:sz w:val="32"/>
          <w:szCs w:val="32"/>
        </w:rPr>
        <w:t>万元。</w:t>
      </w:r>
    </w:p>
    <w:p>
      <w:pPr>
        <w:spacing w:line="560" w:lineRule="exact"/>
        <w:ind w:firstLine="643" w:firstLineChars="200"/>
        <w:rPr>
          <w:rFonts w:ascii="仿宋" w:hAnsi="仿宋" w:eastAsia="仿宋"/>
          <w:b/>
          <w:bCs/>
          <w:sz w:val="32"/>
          <w:szCs w:val="32"/>
        </w:rPr>
      </w:pPr>
      <w:r>
        <w:rPr>
          <w:rFonts w:hint="eastAsia" w:ascii="仿宋" w:hAnsi="仿宋" w:eastAsia="仿宋"/>
          <w:b/>
          <w:bCs/>
          <w:sz w:val="32"/>
          <w:szCs w:val="32"/>
        </w:rPr>
        <w:t>（七）国有资产占有使用情况</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截至21年12月31日、部门共有车辆</w:t>
      </w:r>
      <w:r>
        <w:rPr>
          <w:rFonts w:hint="eastAsia" w:ascii="仿宋" w:hAnsi="仿宋" w:eastAsia="仿宋"/>
          <w:sz w:val="32"/>
          <w:szCs w:val="32"/>
          <w:u w:val="single"/>
        </w:rPr>
        <w:t xml:space="preserve">   2  </w:t>
      </w:r>
      <w:r>
        <w:rPr>
          <w:rFonts w:hint="eastAsia" w:ascii="仿宋" w:hAnsi="仿宋" w:eastAsia="仿宋"/>
          <w:sz w:val="32"/>
          <w:szCs w:val="32"/>
        </w:rPr>
        <w:t>辆、其中、一般公务用车</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0</w:t>
      </w:r>
      <w:r>
        <w:rPr>
          <w:rFonts w:hint="eastAsia" w:ascii="仿宋" w:hAnsi="仿宋" w:eastAsia="仿宋"/>
          <w:sz w:val="32"/>
          <w:szCs w:val="32"/>
          <w:u w:val="single"/>
        </w:rPr>
        <w:t xml:space="preserve">   </w:t>
      </w:r>
      <w:r>
        <w:rPr>
          <w:rFonts w:hint="eastAsia" w:ascii="仿宋" w:hAnsi="仿宋" w:eastAsia="仿宋"/>
          <w:sz w:val="32"/>
          <w:szCs w:val="32"/>
        </w:rPr>
        <w:t>辆、执法执勤用车</w:t>
      </w:r>
      <w:r>
        <w:rPr>
          <w:rFonts w:hint="eastAsia" w:ascii="仿宋" w:hAnsi="仿宋" w:eastAsia="仿宋"/>
          <w:sz w:val="32"/>
          <w:szCs w:val="32"/>
          <w:u w:val="single"/>
        </w:rPr>
        <w:t xml:space="preserve">  2   </w:t>
      </w:r>
      <w:r>
        <w:rPr>
          <w:rFonts w:hint="eastAsia" w:ascii="仿宋" w:hAnsi="仿宋" w:eastAsia="仿宋"/>
          <w:sz w:val="32"/>
          <w:szCs w:val="32"/>
        </w:rPr>
        <w:t>辆。</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2022年部门或单位预算安排购置车辆</w:t>
      </w:r>
      <w:r>
        <w:rPr>
          <w:rFonts w:hint="eastAsia" w:ascii="仿宋" w:hAnsi="仿宋" w:eastAsia="仿宋"/>
          <w:sz w:val="32"/>
          <w:szCs w:val="32"/>
          <w:u w:val="single"/>
        </w:rPr>
        <w:t xml:space="preserve">   0   </w:t>
      </w:r>
      <w:r>
        <w:rPr>
          <w:rFonts w:hint="eastAsia" w:ascii="仿宋" w:hAnsi="仿宋" w:eastAsia="仿宋"/>
          <w:sz w:val="32"/>
          <w:szCs w:val="32"/>
        </w:rPr>
        <w:t>辆，安排购置单位价值200万元以上大型设备具体为：</w:t>
      </w:r>
      <w:r>
        <w:rPr>
          <w:rFonts w:hint="eastAsia" w:ascii="仿宋" w:hAnsi="仿宋" w:eastAsia="仿宋"/>
          <w:sz w:val="32"/>
          <w:szCs w:val="32"/>
          <w:u w:val="single"/>
        </w:rPr>
        <w:t xml:space="preserve">   0  </w:t>
      </w:r>
      <w:r>
        <w:rPr>
          <w:rFonts w:hint="eastAsia" w:ascii="仿宋" w:hAnsi="仿宋" w:eastAsia="仿宋"/>
          <w:sz w:val="32"/>
          <w:szCs w:val="32"/>
        </w:rPr>
        <w:t>。</w:t>
      </w:r>
    </w:p>
    <w:p>
      <w:pPr>
        <w:spacing w:line="560" w:lineRule="exact"/>
        <w:ind w:firstLine="643" w:firstLineChars="200"/>
        <w:rPr>
          <w:rFonts w:ascii="仿宋" w:hAnsi="仿宋" w:eastAsia="仿宋"/>
          <w:b/>
          <w:bCs/>
          <w:sz w:val="32"/>
          <w:szCs w:val="32"/>
        </w:rPr>
      </w:pPr>
      <w:r>
        <w:rPr>
          <w:rFonts w:hint="eastAsia" w:ascii="仿宋" w:hAnsi="仿宋" w:eastAsia="仿宋"/>
          <w:b/>
          <w:bCs/>
          <w:sz w:val="32"/>
          <w:szCs w:val="32"/>
        </w:rPr>
        <w:t>（八）绩效目标设置情况</w:t>
      </w:r>
    </w:p>
    <w:p>
      <w:pPr>
        <w:spacing w:line="56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2022年实行绩效目标管理的项目＿</w:t>
      </w:r>
      <w:r>
        <w:rPr>
          <w:rFonts w:hint="eastAsia" w:ascii="仿宋" w:hAnsi="仿宋" w:eastAsia="仿宋"/>
          <w:sz w:val="32"/>
          <w:szCs w:val="32"/>
          <w:u w:val="single"/>
        </w:rPr>
        <w:t>9</w:t>
      </w:r>
      <w:r>
        <w:rPr>
          <w:rFonts w:hint="eastAsia" w:ascii="仿宋" w:hAnsi="仿宋" w:eastAsia="仿宋"/>
          <w:sz w:val="32"/>
          <w:szCs w:val="32"/>
        </w:rPr>
        <w:t>个，涉及资金</w:t>
      </w:r>
      <w:r>
        <w:rPr>
          <w:rFonts w:hint="eastAsia" w:ascii="仿宋" w:hAnsi="仿宋" w:eastAsia="仿宋"/>
          <w:sz w:val="32"/>
          <w:szCs w:val="32"/>
          <w:lang w:val="en-US" w:eastAsia="zh-CN"/>
        </w:rPr>
        <w:t>12353.4</w:t>
      </w:r>
      <w:r>
        <w:rPr>
          <w:rFonts w:hint="eastAsia" w:ascii="仿宋" w:hAnsi="仿宋" w:eastAsia="仿宋"/>
          <w:sz w:val="32"/>
          <w:szCs w:val="32"/>
        </w:rPr>
        <w:t>万元：</w:t>
      </w:r>
      <w:r>
        <w:rPr>
          <w:rFonts w:hint="eastAsia" w:ascii="仿宋" w:hAnsi="仿宋" w:eastAsia="仿宋"/>
          <w:sz w:val="32"/>
          <w:szCs w:val="32"/>
          <w:lang w:eastAsia="zh-CN"/>
        </w:rPr>
        <w:t>包含以下项目</w:t>
      </w:r>
    </w:p>
    <w:p>
      <w:pPr>
        <w:spacing w:line="560" w:lineRule="exact"/>
        <w:ind w:firstLine="643" w:firstLineChars="200"/>
        <w:rPr>
          <w:rFonts w:hint="eastAsia" w:ascii="仿宋" w:hAnsi="仿宋" w:eastAsia="仿宋" w:cs="仿宋"/>
          <w:b/>
          <w:sz w:val="32"/>
          <w:szCs w:val="32"/>
          <w:lang w:val="en-US" w:eastAsia="zh-CN"/>
        </w:rPr>
      </w:pPr>
      <w:r>
        <w:rPr>
          <w:rFonts w:hint="eastAsia" w:ascii="仿宋" w:hAnsi="仿宋" w:eastAsia="仿宋" w:cs="仿宋"/>
          <w:b/>
          <w:sz w:val="32"/>
          <w:szCs w:val="32"/>
        </w:rPr>
        <w:t>1、</w:t>
      </w:r>
      <w:r>
        <w:rPr>
          <w:rFonts w:hint="eastAsia" w:ascii="仿宋" w:hAnsi="仿宋" w:eastAsia="仿宋" w:cs="仿宋"/>
          <w:b/>
          <w:sz w:val="32"/>
          <w:szCs w:val="32"/>
          <w:lang w:eastAsia="zh-CN"/>
        </w:rPr>
        <w:t>农田建设项目</w:t>
      </w:r>
      <w:r>
        <w:rPr>
          <w:rFonts w:hint="eastAsia" w:ascii="仿宋" w:hAnsi="仿宋" w:eastAsia="仿宋" w:cs="仿宋"/>
          <w:b/>
          <w:sz w:val="32"/>
          <w:szCs w:val="32"/>
          <w:lang w:val="en-US" w:eastAsia="zh-CN"/>
        </w:rPr>
        <w:t>1898万元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A.项目概述: 围绕稳粮、优供、增效目标，实施“藏粮于地、藏粮于技”战略，深入贯彻落实全省统筹整合资金推进高标准农田建设工作会议精神，以发改、自然资源、农业开发、水利和农业农村等部门相关高标准农田建设资金为整合对象，以体制机制创新为动力，着力改善农田基础设施，规范建设标准，建成一批田块平整、土壤肥沃、排灌方便、道路畅通、生态良好的高标准农田，确保粮食安全、生态安全，提高农业综合生产能力，努力把我县建成粮食等主要农产品的重要供应基地，为加快农业大县向农业强县跨越奠定坚实基础。兴国县2022年高标准农田项目总投资1.8亿元，建设高标准农田6万亩，主要建设内容包括土地平整工程、土壤改良工程、灌溉与排水工程、田间道路工程、农田防护与生态保持工程、农田输配电工程，资金来源为统筹整合范围的中央和省级财政资金作为本项目的项目资本金，不足部分通过发行专项债券解决，本次绩效评价资金为中央专项农田建设补助资金1898万元。</w:t>
      </w:r>
    </w:p>
    <w:p>
      <w:pPr>
        <w:adjustRightInd w:val="0"/>
        <w:snapToGrid w:val="0"/>
        <w:spacing w:line="600" w:lineRule="exact"/>
        <w:ind w:firstLine="640" w:firstLineChars="200"/>
        <w:rPr>
          <w:rFonts w:hint="eastAsia" w:ascii="仿宋" w:hAnsi="仿宋" w:eastAsia="仿宋" w:cs="仿宋"/>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B.立项依据：文件暂未下发</w:t>
      </w:r>
    </w:p>
    <w:p>
      <w:pPr>
        <w:adjustRightInd w:val="0"/>
        <w:snapToGrid w:val="0"/>
        <w:spacing w:line="60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C.实施主体</w:t>
      </w:r>
      <w:r>
        <w:rPr>
          <w:rFonts w:hint="eastAsia" w:ascii="仿宋" w:hAnsi="仿宋" w:eastAsia="仿宋" w:cs="仿宋"/>
          <w:b/>
          <w:bCs/>
          <w:sz w:val="32"/>
          <w:szCs w:val="32"/>
          <w:lang w:eastAsia="zh-CN"/>
        </w:rPr>
        <w:t>：兴国县农业农村局及各乡镇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D.实施周期:2022年全年</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E.年度预算安排：</w:t>
      </w:r>
      <w:r>
        <w:rPr>
          <w:rFonts w:hint="eastAsia" w:ascii="仿宋" w:hAnsi="仿宋" w:eastAsia="仿宋" w:cs="仿宋"/>
          <w:sz w:val="32"/>
          <w:szCs w:val="32"/>
          <w:lang w:val="en-US" w:eastAsia="zh-CN"/>
        </w:rPr>
        <w:t>1898</w:t>
      </w:r>
      <w:r>
        <w:rPr>
          <w:rFonts w:hint="eastAsia" w:ascii="仿宋" w:hAnsi="仿宋" w:eastAsia="仿宋" w:cs="仿宋"/>
          <w:sz w:val="32"/>
          <w:szCs w:val="32"/>
        </w:rPr>
        <w:t>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F.年度绩效目标：</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1、产出指标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（1）数量指标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①新建高标准农田面积：年度指标值6万亩。</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②新增高效节水灌溉面积：年度指标值6000亩。</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（2）质量指标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①项目验收合格率：年度指标值95%以上。</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（3）时效指标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①任务完成及时性：在2023年3月底前全面完工，2023年7月前完成市级全面验收。</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（4）成本指标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①亩均投入标准：亩均投资3000元左右。</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2.效益指标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（1）社会效益指标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①粮食综合生产能力：新建高标准农田亩均新增粮食产量100斤以上。</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②田间道路通达率。项目完成后，平原区田间道路通达率达到100%，丘陵、山地达到90%以上。</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（2）生态效益指标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①耕地质量：通过项目实施，项目耕地质量等级逐步提升。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（3）可持续影响</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①水资源利用率：项目建成后，项目区水资源利用率逐步提升。</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3.满意度指标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（1）服务对象满意度指标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①受益群众满意度：受益群众满意度90%以上。</w:t>
      </w:r>
    </w:p>
    <w:p>
      <w:pPr>
        <w:spacing w:line="560" w:lineRule="exact"/>
        <w:ind w:firstLine="643" w:firstLineChars="200"/>
        <w:jc w:val="left"/>
        <w:rPr>
          <w:rFonts w:hint="eastAsia" w:ascii="仿宋" w:hAnsi="仿宋" w:eastAsia="仿宋" w:cs="仿宋"/>
          <w:b/>
          <w:bCs/>
          <w:sz w:val="32"/>
          <w:szCs w:val="32"/>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工作推进措施</w:t>
      </w:r>
    </w:p>
    <w:p>
      <w:pPr>
        <w:spacing w:line="560" w:lineRule="exact"/>
        <w:ind w:firstLine="643" w:firstLineChars="200"/>
        <w:jc w:val="left"/>
        <w:rPr>
          <w:rFonts w:hint="eastAsia" w:ascii="仿宋" w:hAnsi="仿宋" w:eastAsia="仿宋" w:cs="仿宋"/>
          <w:b/>
          <w:sz w:val="32"/>
          <w:szCs w:val="32"/>
        </w:rPr>
      </w:pPr>
      <w:r>
        <w:rPr>
          <w:rFonts w:hint="eastAsia" w:ascii="仿宋" w:hAnsi="仿宋" w:eastAsia="仿宋" w:cs="仿宋"/>
          <w:b/>
          <w:sz w:val="32"/>
          <w:szCs w:val="32"/>
        </w:rPr>
        <w:t>（一）强化宣传，营造氛围</w:t>
      </w:r>
    </w:p>
    <w:p>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进一步加强高标准农田建设工作宣传发动工作，充分利用各种宣传手段宣传高标准农田建设，将建设目的讲清、建后好处讲明，组织群众到已建设好的高标准农田田块进行参观，充分认识到高标准农田建好的良好收益，营造社会全体人员支持并参与高标准农田建设工作的良好氛围，尽量杜绝施工过程的产生纠纷矛盾，确保项目顺利进行。</w:t>
      </w:r>
    </w:p>
    <w:p>
      <w:pPr>
        <w:spacing w:line="560" w:lineRule="exact"/>
        <w:ind w:firstLine="643" w:firstLineChars="200"/>
        <w:jc w:val="left"/>
        <w:rPr>
          <w:rFonts w:hint="eastAsia" w:ascii="仿宋" w:hAnsi="仿宋" w:eastAsia="仿宋" w:cs="仿宋"/>
          <w:b/>
          <w:sz w:val="32"/>
          <w:szCs w:val="32"/>
        </w:rPr>
      </w:pPr>
      <w:r>
        <w:rPr>
          <w:rFonts w:hint="eastAsia" w:ascii="仿宋" w:hAnsi="仿宋" w:eastAsia="仿宋" w:cs="仿宋"/>
          <w:b/>
          <w:sz w:val="32"/>
          <w:szCs w:val="32"/>
        </w:rPr>
        <w:t>（二）精心谋划，扎实推进</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紧盯2021年4.5万亩建设任务，在保证工程质量的前提下切实加快施工进度，备足建设物资，增派施工人员，增调施工机械，转变单一施工模式，实行多点施工，流水作业，推动项目全线开花，倒排工期，挂图作战，抢晴施工，抢雨天间隙施工，加班加点施工，确保3月底前全面完工，不影响春耕生产。</w:t>
      </w:r>
    </w:p>
    <w:p>
      <w:pPr>
        <w:spacing w:line="560" w:lineRule="exact"/>
        <w:ind w:firstLine="643" w:firstLineChars="200"/>
        <w:jc w:val="left"/>
        <w:rPr>
          <w:rFonts w:hint="eastAsia" w:ascii="仿宋" w:hAnsi="仿宋" w:eastAsia="仿宋" w:cs="仿宋"/>
          <w:b/>
          <w:sz w:val="32"/>
          <w:szCs w:val="32"/>
        </w:rPr>
      </w:pPr>
      <w:r>
        <w:rPr>
          <w:rFonts w:hint="eastAsia" w:ascii="仿宋" w:hAnsi="仿宋" w:eastAsia="仿宋" w:cs="仿宋"/>
          <w:b/>
          <w:sz w:val="32"/>
          <w:szCs w:val="32"/>
        </w:rPr>
        <w:t>（三）加强监管，注重质量</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建立“四位一体”的监管体系，瞄准关键环节，严把工程质量，组织专门队伍，常态化深入项目现场，重点督促项目进度，检查项目工程质量。全面压实乡村两级主体责任，乡镇分别成立高标准农田建设工作领导小组，明确专人负责，抓实业务培训，加强现场调度。完善工作考核机制，把高标准农田建设工作纳入乡镇年度综合考评，项目质量作为重点考核内容，切实加强考核监管</w:t>
      </w:r>
      <w:r>
        <w:rPr>
          <w:rFonts w:hint="eastAsia" w:ascii="仿宋" w:hAnsi="仿宋" w:eastAsia="仿宋" w:cs="仿宋"/>
          <w:bCs/>
          <w:sz w:val="32"/>
          <w:szCs w:val="32"/>
        </w:rPr>
        <w:t>。同时要充分发挥群众监督作用。</w:t>
      </w:r>
      <w:r>
        <w:rPr>
          <w:rFonts w:hint="eastAsia" w:ascii="仿宋" w:hAnsi="仿宋" w:eastAsia="仿宋" w:cs="仿宋"/>
          <w:sz w:val="32"/>
          <w:szCs w:val="32"/>
        </w:rPr>
        <w:t>在每个项目村分别成立以农村党员、退休干部等村民代表为主的项目监管理事会，对项目建设加强日常监督，坚决杜绝不规范工艺操作、掺杂使假、偷工减料等行为，帮助调解矛盾纠纷。</w:t>
      </w:r>
    </w:p>
    <w:p>
      <w:pPr>
        <w:tabs>
          <w:tab w:val="left" w:pos="1068"/>
        </w:tabs>
        <w:spacing w:line="560" w:lineRule="exact"/>
        <w:ind w:firstLine="643" w:firstLineChars="200"/>
        <w:jc w:val="left"/>
        <w:rPr>
          <w:rFonts w:hint="eastAsia" w:ascii="仿宋" w:hAnsi="仿宋" w:eastAsia="仿宋" w:cs="仿宋"/>
          <w:b/>
          <w:sz w:val="32"/>
          <w:szCs w:val="32"/>
        </w:rPr>
      </w:pPr>
      <w:r>
        <w:rPr>
          <w:rFonts w:hint="eastAsia" w:ascii="仿宋" w:hAnsi="仿宋" w:eastAsia="仿宋" w:cs="仿宋"/>
          <w:b/>
          <w:sz w:val="32"/>
          <w:szCs w:val="32"/>
        </w:rPr>
        <w:t>（四）建管并行，确保效益</w:t>
      </w:r>
    </w:p>
    <w:p>
      <w:pPr>
        <w:tabs>
          <w:tab w:val="left" w:pos="1068"/>
        </w:tabs>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真正落实建后管理责任，确保长期受益。高标准农田既要建好，更要管好用好，才能使当地群众长期受益，为此，要研究出台具有可行性和可操作性的《项目建后管护实施方案》，按照“谁受益，谁管护”和“市场化运作和政府补助相结合”的原则，建立以项目村为管护主体的长效管护机制，选定管护人员，并与管护人员签订管护合同；</w:t>
      </w:r>
      <w:r>
        <w:rPr>
          <w:rFonts w:hint="eastAsia" w:ascii="仿宋" w:hAnsi="仿宋" w:eastAsia="仿宋" w:cs="仿宋"/>
          <w:color w:val="000000"/>
          <w:sz w:val="32"/>
          <w:szCs w:val="32"/>
        </w:rPr>
        <w:t>县农业农村局要将高标准农田建后管护工作纳入年度督查计划，并定期进行督导；乡（镇）要将建后管护列入对各项目村年度综合考核体系，建立管护台账</w:t>
      </w:r>
      <w:r>
        <w:rPr>
          <w:rFonts w:hint="eastAsia" w:ascii="仿宋" w:hAnsi="仿宋" w:eastAsia="仿宋" w:cs="仿宋"/>
          <w:color w:val="333333"/>
          <w:sz w:val="32"/>
          <w:szCs w:val="32"/>
        </w:rPr>
        <w:t>。</w:t>
      </w:r>
      <w:r>
        <w:rPr>
          <w:rFonts w:hint="eastAsia" w:ascii="仿宋" w:hAnsi="仿宋" w:eastAsia="仿宋" w:cs="仿宋"/>
          <w:sz w:val="32"/>
          <w:szCs w:val="32"/>
        </w:rPr>
        <w:t>确保高标准农田建一片，成一片，高效利用一片，真正惠及一方百姓。</w:t>
      </w:r>
    </w:p>
    <w:p>
      <w:pPr>
        <w:spacing w:line="440" w:lineRule="exact"/>
        <w:jc w:val="center"/>
        <w:rPr>
          <w:rFonts w:hint="eastAsia" w:ascii="仿宋" w:hAnsi="仿宋" w:eastAsia="仿宋" w:cs="仿宋"/>
          <w:b/>
          <w:bCs/>
          <w:sz w:val="32"/>
          <w:szCs w:val="32"/>
        </w:rPr>
      </w:pPr>
    </w:p>
    <w:p>
      <w:pPr>
        <w:spacing w:line="440" w:lineRule="exact"/>
        <w:jc w:val="center"/>
        <w:rPr>
          <w:rFonts w:hint="eastAsia" w:ascii="仿宋" w:hAnsi="仿宋" w:eastAsia="仿宋" w:cs="仿宋"/>
          <w:b/>
          <w:bCs/>
          <w:sz w:val="32"/>
          <w:szCs w:val="32"/>
        </w:rPr>
      </w:pPr>
      <w:r>
        <w:rPr>
          <w:rFonts w:hint="eastAsia" w:ascii="仿宋" w:hAnsi="仿宋" w:eastAsia="仿宋" w:cs="仿宋"/>
          <w:b/>
          <w:bCs/>
          <w:sz w:val="32"/>
          <w:szCs w:val="32"/>
        </w:rPr>
        <w:t>2022年农田建设补助资金绩效目标目标表</w:t>
      </w:r>
    </w:p>
    <w:p>
      <w:pPr>
        <w:jc w:val="center"/>
        <w:rPr>
          <w:rFonts w:hint="eastAsia" w:ascii="仿宋" w:hAnsi="仿宋" w:eastAsia="仿宋" w:cs="仿宋"/>
          <w:b/>
          <w:bCs/>
          <w:sz w:val="32"/>
          <w:szCs w:val="32"/>
        </w:rPr>
      </w:pPr>
      <w:r>
        <w:rPr>
          <w:rFonts w:hint="eastAsia" w:ascii="仿宋" w:hAnsi="仿宋" w:eastAsia="仿宋" w:cs="仿宋"/>
          <w:b/>
          <w:bCs/>
          <w:sz w:val="32"/>
          <w:szCs w:val="32"/>
        </w:rPr>
        <w:t>（2021年度）</w:t>
      </w:r>
    </w:p>
    <w:tbl>
      <w:tblPr>
        <w:tblStyle w:val="3"/>
        <w:tblW w:w="9720" w:type="dxa"/>
        <w:tblInd w:w="-72" w:type="dxa"/>
        <w:tblLayout w:type="autofit"/>
        <w:tblCellMar>
          <w:top w:w="0" w:type="dxa"/>
          <w:left w:w="108" w:type="dxa"/>
          <w:bottom w:w="0" w:type="dxa"/>
          <w:right w:w="108" w:type="dxa"/>
        </w:tblCellMar>
      </w:tblPr>
      <w:tblGrid>
        <w:gridCol w:w="805"/>
        <w:gridCol w:w="995"/>
        <w:gridCol w:w="1260"/>
        <w:gridCol w:w="285"/>
        <w:gridCol w:w="2222"/>
        <w:gridCol w:w="1276"/>
        <w:gridCol w:w="425"/>
        <w:gridCol w:w="1276"/>
        <w:gridCol w:w="1176"/>
      </w:tblGrid>
      <w:tr>
        <w:tblPrEx>
          <w:tblCellMar>
            <w:top w:w="0" w:type="dxa"/>
            <w:left w:w="108" w:type="dxa"/>
            <w:bottom w:w="0" w:type="dxa"/>
            <w:right w:w="108" w:type="dxa"/>
          </w:tblCellMar>
        </w:tblPrEx>
        <w:trPr>
          <w:trHeight w:val="969" w:hRule="exact"/>
        </w:trPr>
        <w:tc>
          <w:tcPr>
            <w:tcW w:w="180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转移支付</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（项目）名称</w:t>
            </w:r>
          </w:p>
        </w:tc>
        <w:tc>
          <w:tcPr>
            <w:tcW w:w="7920" w:type="dxa"/>
            <w:gridSpan w:val="7"/>
            <w:tcBorders>
              <w:top w:val="single" w:color="auto" w:sz="4" w:space="0"/>
              <w:left w:val="nil"/>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仿宋" w:hAnsi="仿宋" w:eastAsia="仿宋" w:cs="仿宋"/>
                <w:kern w:val="0"/>
                <w:sz w:val="32"/>
                <w:szCs w:val="32"/>
              </w:rPr>
            </w:pPr>
            <w:r>
              <w:rPr>
                <w:rFonts w:hint="eastAsia" w:ascii="仿宋" w:hAnsi="仿宋" w:eastAsia="仿宋" w:cs="仿宋"/>
                <w:kern w:val="0"/>
                <w:sz w:val="32"/>
                <w:szCs w:val="32"/>
              </w:rPr>
              <w:t>兴国县2022年度高标准农田建设项　</w:t>
            </w:r>
          </w:p>
        </w:tc>
      </w:tr>
      <w:tr>
        <w:tblPrEx>
          <w:tblCellMar>
            <w:top w:w="0" w:type="dxa"/>
            <w:left w:w="108" w:type="dxa"/>
            <w:bottom w:w="0" w:type="dxa"/>
            <w:right w:w="108" w:type="dxa"/>
          </w:tblCellMar>
        </w:tblPrEx>
        <w:trPr>
          <w:trHeight w:val="540" w:hRule="exact"/>
        </w:trPr>
        <w:tc>
          <w:tcPr>
            <w:tcW w:w="180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jc w:val="center"/>
              <w:textAlignment w:val="auto"/>
              <w:rPr>
                <w:rFonts w:hint="eastAsia" w:ascii="仿宋" w:hAnsi="仿宋" w:eastAsia="仿宋" w:cs="仿宋"/>
                <w:kern w:val="0"/>
                <w:sz w:val="32"/>
                <w:szCs w:val="32"/>
              </w:rPr>
            </w:pPr>
            <w:r>
              <w:rPr>
                <w:rFonts w:hint="eastAsia" w:ascii="仿宋" w:hAnsi="仿宋" w:eastAsia="仿宋" w:cs="仿宋"/>
                <w:kern w:val="0"/>
                <w:sz w:val="32"/>
                <w:szCs w:val="32"/>
              </w:rPr>
              <w:t>中央主管部门</w:t>
            </w:r>
          </w:p>
        </w:tc>
        <w:tc>
          <w:tcPr>
            <w:tcW w:w="7920" w:type="dxa"/>
            <w:gridSpan w:val="7"/>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jc w:val="center"/>
              <w:textAlignment w:val="auto"/>
              <w:rPr>
                <w:rFonts w:hint="eastAsia" w:ascii="仿宋" w:hAnsi="仿宋" w:eastAsia="仿宋" w:cs="仿宋"/>
                <w:kern w:val="0"/>
                <w:sz w:val="32"/>
                <w:szCs w:val="32"/>
              </w:rPr>
            </w:pPr>
            <w:r>
              <w:rPr>
                <w:rFonts w:hint="eastAsia" w:ascii="仿宋" w:hAnsi="仿宋" w:eastAsia="仿宋" w:cs="仿宋"/>
                <w:kern w:val="0"/>
                <w:sz w:val="32"/>
                <w:szCs w:val="32"/>
              </w:rPr>
              <w:t>　</w:t>
            </w:r>
          </w:p>
        </w:tc>
      </w:tr>
      <w:tr>
        <w:tblPrEx>
          <w:tblCellMar>
            <w:top w:w="0" w:type="dxa"/>
            <w:left w:w="108" w:type="dxa"/>
            <w:bottom w:w="0" w:type="dxa"/>
            <w:right w:w="108" w:type="dxa"/>
          </w:tblCellMar>
        </w:tblPrEx>
        <w:trPr>
          <w:trHeight w:val="950" w:hRule="exact"/>
        </w:trPr>
        <w:tc>
          <w:tcPr>
            <w:tcW w:w="180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32"/>
                <w:szCs w:val="32"/>
              </w:rPr>
            </w:pPr>
            <w:r>
              <w:rPr>
                <w:rFonts w:hint="eastAsia" w:ascii="仿宋" w:hAnsi="仿宋" w:eastAsia="仿宋" w:cs="仿宋"/>
                <w:kern w:val="0"/>
                <w:sz w:val="24"/>
                <w:szCs w:val="24"/>
              </w:rPr>
              <w:t>地方主管部门</w:t>
            </w:r>
          </w:p>
        </w:tc>
        <w:tc>
          <w:tcPr>
            <w:tcW w:w="3767" w:type="dxa"/>
            <w:gridSpan w:val="3"/>
            <w:tcBorders>
              <w:top w:val="single" w:color="auto" w:sz="4" w:space="0"/>
              <w:left w:val="nil"/>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32"/>
                <w:szCs w:val="32"/>
              </w:rPr>
            </w:pPr>
            <w:r>
              <w:rPr>
                <w:rFonts w:hint="eastAsia" w:ascii="仿宋" w:hAnsi="仿宋" w:eastAsia="仿宋" w:cs="仿宋"/>
                <w:kern w:val="0"/>
                <w:sz w:val="32"/>
                <w:szCs w:val="32"/>
              </w:rPr>
              <w:t>　兴国县人民政府</w:t>
            </w:r>
          </w:p>
        </w:tc>
        <w:tc>
          <w:tcPr>
            <w:tcW w:w="1276" w:type="dxa"/>
            <w:tcBorders>
              <w:top w:val="nil"/>
              <w:left w:val="nil"/>
              <w:bottom w:val="single" w:color="auto"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资金使用单位</w:t>
            </w:r>
          </w:p>
        </w:tc>
        <w:tc>
          <w:tcPr>
            <w:tcW w:w="2877"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兴国县农业农村局　</w:t>
            </w:r>
          </w:p>
        </w:tc>
      </w:tr>
      <w:tr>
        <w:tblPrEx>
          <w:tblCellMar>
            <w:top w:w="0" w:type="dxa"/>
            <w:left w:w="108" w:type="dxa"/>
            <w:bottom w:w="0" w:type="dxa"/>
            <w:right w:w="108" w:type="dxa"/>
          </w:tblCellMar>
        </w:tblPrEx>
        <w:trPr>
          <w:trHeight w:val="1070" w:hRule="exact"/>
        </w:trPr>
        <w:tc>
          <w:tcPr>
            <w:tcW w:w="180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资金情况</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（万元）</w:t>
            </w:r>
          </w:p>
        </w:tc>
        <w:tc>
          <w:tcPr>
            <w:tcW w:w="1545"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22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全年预算数（A）</w:t>
            </w:r>
          </w:p>
        </w:tc>
        <w:tc>
          <w:tcPr>
            <w:tcW w:w="12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全年执行数（B）</w:t>
            </w:r>
          </w:p>
        </w:tc>
        <w:tc>
          <w:tcPr>
            <w:tcW w:w="287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预算执行率（B/A）</w:t>
            </w:r>
          </w:p>
        </w:tc>
      </w:tr>
      <w:tr>
        <w:tblPrEx>
          <w:tblCellMar>
            <w:top w:w="0" w:type="dxa"/>
            <w:left w:w="108" w:type="dxa"/>
            <w:bottom w:w="0" w:type="dxa"/>
            <w:right w:w="108" w:type="dxa"/>
          </w:tblCellMar>
        </w:tblPrEx>
        <w:trPr>
          <w:trHeight w:val="765" w:hRule="exact"/>
        </w:trPr>
        <w:tc>
          <w:tcPr>
            <w:tcW w:w="1800"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545"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年度资金总额</w:t>
            </w:r>
          </w:p>
        </w:tc>
        <w:tc>
          <w:tcPr>
            <w:tcW w:w="22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1898</w:t>
            </w:r>
          </w:p>
        </w:tc>
        <w:tc>
          <w:tcPr>
            <w:tcW w:w="12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1898</w:t>
            </w:r>
          </w:p>
        </w:tc>
        <w:tc>
          <w:tcPr>
            <w:tcW w:w="287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100%　</w:t>
            </w:r>
          </w:p>
        </w:tc>
      </w:tr>
      <w:tr>
        <w:tblPrEx>
          <w:tblCellMar>
            <w:top w:w="0" w:type="dxa"/>
            <w:left w:w="108" w:type="dxa"/>
            <w:bottom w:w="0" w:type="dxa"/>
            <w:right w:w="108" w:type="dxa"/>
          </w:tblCellMar>
        </w:tblPrEx>
        <w:trPr>
          <w:trHeight w:val="1178" w:hRule="exact"/>
        </w:trPr>
        <w:tc>
          <w:tcPr>
            <w:tcW w:w="1800"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545"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其中：中央财政资金</w:t>
            </w:r>
          </w:p>
        </w:tc>
        <w:tc>
          <w:tcPr>
            <w:tcW w:w="22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1898</w:t>
            </w:r>
          </w:p>
        </w:tc>
        <w:tc>
          <w:tcPr>
            <w:tcW w:w="12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1898</w:t>
            </w:r>
          </w:p>
        </w:tc>
        <w:tc>
          <w:tcPr>
            <w:tcW w:w="287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100%　</w:t>
            </w:r>
          </w:p>
        </w:tc>
      </w:tr>
      <w:tr>
        <w:tblPrEx>
          <w:tblCellMar>
            <w:top w:w="0" w:type="dxa"/>
            <w:left w:w="108" w:type="dxa"/>
            <w:bottom w:w="0" w:type="dxa"/>
            <w:right w:w="108" w:type="dxa"/>
          </w:tblCellMar>
        </w:tblPrEx>
        <w:trPr>
          <w:trHeight w:val="615" w:hRule="exact"/>
        </w:trPr>
        <w:tc>
          <w:tcPr>
            <w:tcW w:w="1800"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545"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地方资金</w:t>
            </w:r>
          </w:p>
        </w:tc>
        <w:tc>
          <w:tcPr>
            <w:tcW w:w="22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2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287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585" w:hRule="exact"/>
        </w:trPr>
        <w:tc>
          <w:tcPr>
            <w:tcW w:w="1800"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545"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其他资金</w:t>
            </w:r>
          </w:p>
        </w:tc>
        <w:tc>
          <w:tcPr>
            <w:tcW w:w="22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2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287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855" w:hRule="exact"/>
        </w:trPr>
        <w:tc>
          <w:tcPr>
            <w:tcW w:w="805"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总体目标完成情况</w:t>
            </w:r>
          </w:p>
        </w:tc>
        <w:tc>
          <w:tcPr>
            <w:tcW w:w="4762"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总体目标</w:t>
            </w:r>
          </w:p>
        </w:tc>
        <w:tc>
          <w:tcPr>
            <w:tcW w:w="4153"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全年实际完成情况</w:t>
            </w:r>
          </w:p>
        </w:tc>
      </w:tr>
      <w:tr>
        <w:tblPrEx>
          <w:tblCellMar>
            <w:top w:w="0" w:type="dxa"/>
            <w:left w:w="108" w:type="dxa"/>
            <w:bottom w:w="0" w:type="dxa"/>
            <w:right w:w="108" w:type="dxa"/>
          </w:tblCellMar>
        </w:tblPrEx>
        <w:trPr>
          <w:trHeight w:val="9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4762"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建设高标准农田6万亩，有效改善项目区农田基础设施条件，提升耕地质量，提高粮食生产能力。其中新增高效节水面积6000亩。</w:t>
            </w:r>
          </w:p>
        </w:tc>
        <w:tc>
          <w:tcPr>
            <w:tcW w:w="4153"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694" w:hRule="exact"/>
        </w:trPr>
        <w:tc>
          <w:tcPr>
            <w:tcW w:w="805"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绩效</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指标</w:t>
            </w:r>
          </w:p>
        </w:tc>
        <w:tc>
          <w:tcPr>
            <w:tcW w:w="9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一级指标</w:t>
            </w:r>
          </w:p>
        </w:tc>
        <w:tc>
          <w:tcPr>
            <w:tcW w:w="12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二级指标</w:t>
            </w: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三级指标</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年度指标值</w:t>
            </w:r>
          </w:p>
        </w:tc>
        <w:tc>
          <w:tcPr>
            <w:tcW w:w="12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全年完成值</w:t>
            </w: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未完成原因和改进措施</w:t>
            </w:r>
          </w:p>
        </w:tc>
      </w:tr>
      <w:tr>
        <w:tblPrEx>
          <w:tblCellMar>
            <w:top w:w="0" w:type="dxa"/>
            <w:left w:w="108" w:type="dxa"/>
            <w:bottom w:w="0" w:type="dxa"/>
            <w:right w:w="108" w:type="dxa"/>
          </w:tblCellMar>
        </w:tblPrEx>
        <w:trPr>
          <w:trHeight w:val="85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restart"/>
            <w:tcBorders>
              <w:top w:val="nil"/>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产出</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指标</w:t>
            </w:r>
          </w:p>
        </w:tc>
        <w:tc>
          <w:tcPr>
            <w:tcW w:w="1260" w:type="dxa"/>
            <w:vMerge w:val="restart"/>
            <w:tcBorders>
              <w:top w:val="nil"/>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数量指标</w:t>
            </w: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新增高标准农田建设面积</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6万亩　</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655"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1260"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其中：新增高效节水灌溉面积</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6000亩</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质量指标</w:t>
            </w: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项目验收合格率</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Style w:val="5"/>
                <w:rFonts w:hint="eastAsia" w:ascii="仿宋" w:hAnsi="仿宋" w:eastAsia="仿宋" w:cs="仿宋"/>
                <w:b w:val="0"/>
                <w:color w:val="333333"/>
                <w:sz w:val="24"/>
                <w:szCs w:val="24"/>
                <w:shd w:val="clear" w:color="auto" w:fill="FFFFFF"/>
              </w:rPr>
              <w:t>≥</w:t>
            </w:r>
            <w:r>
              <w:rPr>
                <w:rFonts w:hint="eastAsia" w:ascii="仿宋" w:hAnsi="仿宋" w:eastAsia="仿宋" w:cs="仿宋"/>
                <w:kern w:val="0"/>
                <w:sz w:val="24"/>
                <w:szCs w:val="24"/>
              </w:rPr>
              <w:t>95%</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947"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时效指标</w:t>
            </w: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任务完成的及时性</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2023年全面完工</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成本指标</w:t>
            </w: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亩均投入标准</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3000元左右　</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535"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效益</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指标</w:t>
            </w:r>
          </w:p>
        </w:tc>
        <w:tc>
          <w:tcPr>
            <w:tcW w:w="1260"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经济效益</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指标</w:t>
            </w: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社会效益</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指标</w:t>
            </w: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粮食综合生产能力</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明显提升</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776"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田间道路通达度</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平原区到达100%，丘陵、山地不低于90%</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生态效益</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指标</w:t>
            </w: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耕地质量</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逐步提升</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可持续影响指标</w:t>
            </w: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水资源利用率</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逐步提升</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66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满意度指标</w:t>
            </w:r>
          </w:p>
        </w:tc>
        <w:tc>
          <w:tcPr>
            <w:tcW w:w="1260"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服务对象</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满意度指标</w:t>
            </w: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受益群众满意度</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Style w:val="5"/>
                <w:rFonts w:hint="eastAsia" w:ascii="仿宋" w:hAnsi="仿宋" w:eastAsia="仿宋" w:cs="仿宋"/>
                <w:b w:val="0"/>
                <w:color w:val="333333"/>
                <w:sz w:val="24"/>
                <w:szCs w:val="24"/>
                <w:shd w:val="clear" w:color="auto" w:fill="FFFFFF"/>
              </w:rPr>
              <w:t>≥</w:t>
            </w:r>
            <w:r>
              <w:rPr>
                <w:rFonts w:hint="eastAsia" w:ascii="仿宋" w:hAnsi="仿宋" w:eastAsia="仿宋" w:cs="仿宋"/>
                <w:kern w:val="0"/>
                <w:sz w:val="24"/>
                <w:szCs w:val="24"/>
              </w:rPr>
              <w:t>90%　</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2507"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01"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1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vMerge w:val="continue"/>
            <w:tcBorders>
              <w:top w:val="nil"/>
              <w:left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995" w:type="dxa"/>
            <w:vMerge w:val="continue"/>
            <w:tcBorders>
              <w:top w:val="nil"/>
              <w:left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p>
        </w:tc>
        <w:tc>
          <w:tcPr>
            <w:tcW w:w="1260" w:type="dxa"/>
            <w:tcBorders>
              <w:top w:val="nil"/>
              <w:left w:val="nil"/>
              <w:bottom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2507" w:type="dxa"/>
            <w:gridSpan w:val="2"/>
            <w:tcBorders>
              <w:top w:val="nil"/>
              <w:left w:val="nil"/>
              <w:bottom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01" w:type="dxa"/>
            <w:gridSpan w:val="2"/>
            <w:tcBorders>
              <w:top w:val="nil"/>
              <w:left w:val="nil"/>
              <w:bottom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276" w:type="dxa"/>
            <w:tcBorders>
              <w:top w:val="nil"/>
              <w:left w:val="nil"/>
              <w:bottom w:val="nil"/>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176" w:type="dxa"/>
            <w:tcBorders>
              <w:top w:val="nil"/>
              <w:left w:val="nil"/>
              <w:bottom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340" w:hRule="exact"/>
        </w:trPr>
        <w:tc>
          <w:tcPr>
            <w:tcW w:w="805"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说明</w:t>
            </w:r>
          </w:p>
        </w:tc>
        <w:tc>
          <w:tcPr>
            <w:tcW w:w="8915" w:type="dxa"/>
            <w:gridSpan w:val="8"/>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请在此处简要说明中央巡视、各级审计和财政监督中发现的问题及其所涉及的金额，如没有请填无。</w:t>
            </w:r>
          </w:p>
        </w:tc>
      </w:tr>
    </w:tbl>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_GB2312"/>
          <w:sz w:val="24"/>
          <w:szCs w:val="24"/>
        </w:rPr>
      </w:pPr>
    </w:p>
    <w:p>
      <w:pPr>
        <w:adjustRightInd w:val="0"/>
        <w:snapToGrid w:val="0"/>
        <w:spacing w:line="600" w:lineRule="exact"/>
        <w:ind w:firstLine="602" w:firstLineChars="0"/>
        <w:rPr>
          <w:rFonts w:hint="eastAsia" w:ascii="仿宋" w:hAnsi="仿宋" w:eastAsia="仿宋" w:cs="仿宋"/>
          <w:b w:val="0"/>
          <w:bCs/>
          <w:color w:val="000000"/>
          <w:kern w:val="0"/>
          <w:sz w:val="28"/>
          <w:szCs w:val="28"/>
          <w:lang w:val="en-US" w:eastAsia="zh-CN"/>
        </w:rPr>
      </w:pPr>
      <w:r>
        <w:rPr>
          <w:rFonts w:hint="eastAsia" w:eastAsia="仿宋_GB2312"/>
          <w:sz w:val="30"/>
          <w:szCs w:val="30"/>
          <w:lang w:eastAsia="zh-CN"/>
        </w:rPr>
        <w:t>以及包含</w:t>
      </w:r>
      <w:r>
        <w:rPr>
          <w:rFonts w:hint="eastAsia" w:eastAsia="仿宋_GB2312"/>
          <w:sz w:val="30"/>
          <w:szCs w:val="30"/>
          <w:lang w:val="en-US" w:eastAsia="zh-CN"/>
        </w:rPr>
        <w:t>2022年烟叶贴息1000万元、</w:t>
      </w:r>
      <w:r>
        <w:rPr>
          <w:rFonts w:hint="eastAsia" w:ascii="仿宋" w:hAnsi="仿宋" w:eastAsia="仿宋" w:cs="仿宋"/>
          <w:b w:val="0"/>
          <w:bCs/>
          <w:sz w:val="28"/>
          <w:szCs w:val="28"/>
        </w:rPr>
        <w:t>2022年农产品品牌创建奖补</w:t>
      </w:r>
      <w:r>
        <w:rPr>
          <w:rFonts w:hint="eastAsia" w:ascii="仿宋" w:hAnsi="仿宋" w:eastAsia="仿宋" w:cs="仿宋"/>
          <w:b w:val="0"/>
          <w:bCs/>
          <w:sz w:val="28"/>
          <w:szCs w:val="28"/>
          <w:lang w:val="en-US" w:eastAsia="zh-CN"/>
        </w:rPr>
        <w:t>101万元、</w:t>
      </w:r>
      <w:r>
        <w:rPr>
          <w:rFonts w:hint="eastAsia" w:ascii="仿宋" w:hAnsi="仿宋" w:eastAsia="仿宋" w:cs="仿宋"/>
          <w:b w:val="0"/>
          <w:bCs/>
          <w:sz w:val="28"/>
          <w:szCs w:val="28"/>
        </w:rPr>
        <w:t>农田建设项目</w:t>
      </w:r>
      <w:r>
        <w:rPr>
          <w:rFonts w:hint="eastAsia" w:ascii="仿宋" w:hAnsi="仿宋" w:eastAsia="仿宋" w:cs="仿宋"/>
          <w:b w:val="0"/>
          <w:bCs/>
          <w:sz w:val="28"/>
          <w:szCs w:val="28"/>
          <w:lang w:val="en-US" w:eastAsia="zh-CN"/>
        </w:rPr>
        <w:t>1898万元、</w:t>
      </w:r>
      <w:r>
        <w:rPr>
          <w:rFonts w:hint="eastAsia" w:ascii="仿宋" w:hAnsi="仿宋" w:eastAsia="仿宋" w:cs="仿宋"/>
          <w:b w:val="0"/>
          <w:bCs/>
          <w:sz w:val="28"/>
          <w:szCs w:val="28"/>
        </w:rPr>
        <w:t>农村环卫一体化项目</w:t>
      </w:r>
      <w:r>
        <w:rPr>
          <w:rFonts w:hint="eastAsia" w:ascii="仿宋" w:hAnsi="仿宋" w:eastAsia="仿宋" w:cs="仿宋"/>
          <w:b w:val="0"/>
          <w:bCs/>
          <w:sz w:val="28"/>
          <w:szCs w:val="28"/>
          <w:lang w:val="en-US" w:eastAsia="zh-CN"/>
        </w:rPr>
        <w:t>6700万元、</w:t>
      </w:r>
      <w:r>
        <w:rPr>
          <w:rFonts w:hint="eastAsia" w:ascii="仿宋" w:hAnsi="仿宋" w:eastAsia="仿宋" w:cs="仿宋"/>
          <w:b w:val="0"/>
          <w:bCs/>
          <w:sz w:val="28"/>
          <w:szCs w:val="28"/>
        </w:rPr>
        <w:t>县级储备用油项目</w:t>
      </w:r>
      <w:r>
        <w:rPr>
          <w:rFonts w:hint="eastAsia" w:ascii="仿宋" w:hAnsi="仿宋" w:eastAsia="仿宋" w:cs="仿宋"/>
          <w:b w:val="0"/>
          <w:bCs/>
          <w:sz w:val="28"/>
          <w:szCs w:val="28"/>
          <w:lang w:val="en-US" w:eastAsia="zh-CN"/>
        </w:rPr>
        <w:t>4.4万元、</w:t>
      </w:r>
      <w:r>
        <w:rPr>
          <w:rFonts w:hint="eastAsia" w:ascii="仿宋" w:hAnsi="仿宋" w:eastAsia="仿宋" w:cs="仿宋"/>
          <w:b w:val="0"/>
          <w:bCs/>
          <w:color w:val="000000"/>
          <w:kern w:val="0"/>
          <w:sz w:val="28"/>
          <w:szCs w:val="28"/>
        </w:rPr>
        <w:t>富硒产业项目</w:t>
      </w:r>
      <w:r>
        <w:rPr>
          <w:rFonts w:hint="eastAsia" w:ascii="仿宋" w:hAnsi="仿宋" w:eastAsia="仿宋" w:cs="仿宋"/>
          <w:b w:val="0"/>
          <w:bCs/>
          <w:color w:val="000000"/>
          <w:kern w:val="0"/>
          <w:sz w:val="28"/>
          <w:szCs w:val="28"/>
          <w:lang w:val="en-US" w:eastAsia="zh-CN"/>
        </w:rPr>
        <w:t>100万元、</w:t>
      </w:r>
      <w:r>
        <w:rPr>
          <w:rFonts w:hint="eastAsia" w:ascii="仿宋" w:hAnsi="仿宋" w:eastAsia="仿宋" w:cs="仿宋"/>
          <w:b w:val="0"/>
          <w:bCs/>
          <w:color w:val="000000"/>
          <w:kern w:val="0"/>
          <w:sz w:val="28"/>
          <w:szCs w:val="28"/>
        </w:rPr>
        <w:t xml:space="preserve">2022产业振兴贷款贴息 </w:t>
      </w:r>
      <w:r>
        <w:rPr>
          <w:rFonts w:hint="eastAsia" w:ascii="仿宋" w:hAnsi="仿宋" w:eastAsia="仿宋" w:cs="仿宋"/>
          <w:b w:val="0"/>
          <w:bCs/>
          <w:color w:val="000000"/>
          <w:kern w:val="0"/>
          <w:sz w:val="28"/>
          <w:szCs w:val="28"/>
          <w:lang w:val="en-US" w:eastAsia="zh-CN"/>
        </w:rPr>
        <w:t>1000万元、</w:t>
      </w:r>
      <w:r>
        <w:rPr>
          <w:rFonts w:hint="eastAsia" w:ascii="仿宋" w:hAnsi="仿宋" w:eastAsia="仿宋" w:cs="仿宋"/>
          <w:b w:val="0"/>
          <w:bCs/>
          <w:color w:val="000000"/>
          <w:kern w:val="0"/>
          <w:sz w:val="28"/>
          <w:szCs w:val="28"/>
        </w:rPr>
        <w:t>粮食生产补贴</w:t>
      </w:r>
      <w:r>
        <w:rPr>
          <w:rFonts w:hint="eastAsia" w:ascii="仿宋" w:hAnsi="仿宋" w:eastAsia="仿宋" w:cs="仿宋"/>
          <w:b w:val="0"/>
          <w:bCs/>
          <w:color w:val="000000"/>
          <w:kern w:val="0"/>
          <w:sz w:val="28"/>
          <w:szCs w:val="28"/>
          <w:lang w:val="en-US" w:eastAsia="zh-CN"/>
        </w:rPr>
        <w:t>1250万元、</w:t>
      </w:r>
      <w:r>
        <w:rPr>
          <w:rFonts w:hint="eastAsia" w:ascii="仿宋" w:hAnsi="仿宋" w:eastAsia="仿宋" w:cs="仿宋"/>
          <w:b w:val="0"/>
          <w:bCs/>
          <w:color w:val="000000"/>
          <w:kern w:val="0"/>
          <w:sz w:val="28"/>
          <w:szCs w:val="28"/>
        </w:rPr>
        <w:t>灰鹅生产发展资金</w:t>
      </w:r>
      <w:r>
        <w:rPr>
          <w:rFonts w:hint="eastAsia" w:ascii="仿宋" w:hAnsi="仿宋" w:eastAsia="仿宋" w:cs="仿宋"/>
          <w:b w:val="0"/>
          <w:bCs/>
          <w:color w:val="000000"/>
          <w:kern w:val="0"/>
          <w:sz w:val="28"/>
          <w:szCs w:val="28"/>
          <w:lang w:val="en-US" w:eastAsia="zh-CN"/>
        </w:rPr>
        <w:t>100万元。</w:t>
      </w:r>
    </w:p>
    <w:p>
      <w:pPr>
        <w:adjustRightInd w:val="0"/>
        <w:snapToGrid w:val="0"/>
        <w:spacing w:line="600" w:lineRule="exact"/>
        <w:ind w:firstLine="602" w:firstLineChars="0"/>
        <w:rPr>
          <w:rFonts w:hint="eastAsia" w:ascii="仿宋" w:hAnsi="仿宋" w:eastAsia="仿宋" w:cs="仿宋"/>
          <w:b w:val="0"/>
          <w:bCs/>
          <w:color w:val="000000"/>
          <w:kern w:val="0"/>
          <w:sz w:val="28"/>
          <w:szCs w:val="28"/>
          <w:lang w:val="en-US" w:eastAsia="zh-CN"/>
        </w:rPr>
      </w:pPr>
    </w:p>
    <w:p>
      <w:pPr>
        <w:adjustRightInd w:val="0"/>
        <w:snapToGrid w:val="0"/>
        <w:spacing w:line="600" w:lineRule="exact"/>
        <w:ind w:firstLine="602" w:firstLineChars="0"/>
        <w:rPr>
          <w:rFonts w:hint="eastAsia" w:ascii="仿宋" w:hAnsi="仿宋" w:eastAsia="仿宋" w:cs="仿宋"/>
          <w:b w:val="0"/>
          <w:bCs/>
          <w:color w:val="000000"/>
          <w:kern w:val="0"/>
          <w:sz w:val="28"/>
          <w:szCs w:val="28"/>
          <w:lang w:val="en-US" w:eastAsia="zh-CN"/>
        </w:rPr>
      </w:pPr>
    </w:p>
    <w:p>
      <w:pPr>
        <w:spacing w:line="560" w:lineRule="exact"/>
        <w:ind w:firstLine="643" w:firstLineChars="200"/>
        <w:rPr>
          <w:rFonts w:ascii="楷体" w:hAnsi="楷体" w:eastAsia="楷体"/>
          <w:b/>
          <w:bCs/>
          <w:sz w:val="32"/>
          <w:szCs w:val="32"/>
        </w:rPr>
      </w:pPr>
      <w:r>
        <w:rPr>
          <w:rFonts w:hint="eastAsia" w:ascii="楷体" w:hAnsi="楷体" w:eastAsia="楷体"/>
          <w:b/>
          <w:bCs/>
          <w:sz w:val="32"/>
          <w:szCs w:val="32"/>
        </w:rPr>
        <w:t>二、</w:t>
      </w:r>
      <w:r>
        <w:rPr>
          <w:rFonts w:hint="eastAsia" w:ascii="楷体" w:hAnsi="楷体" w:eastAsia="楷体"/>
          <w:b/>
          <w:bCs/>
          <w:sz w:val="32"/>
          <w:szCs w:val="32"/>
          <w:lang w:val="en-US" w:eastAsia="zh-CN"/>
        </w:rPr>
        <w:t>2022</w:t>
      </w:r>
      <w:r>
        <w:rPr>
          <w:rFonts w:hint="eastAsia" w:ascii="楷体" w:hAnsi="楷体" w:eastAsia="楷体"/>
          <w:b/>
          <w:bCs/>
          <w:sz w:val="32"/>
          <w:szCs w:val="32"/>
        </w:rPr>
        <w:t>年“三公”经费预算情况说明</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2022年兴国县农业农村局“三公”经费一般公共预算安排85.5万元。其中：</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因公出国（境）费0万元，比上年增（减）0万元，主</w:t>
      </w:r>
    </w:p>
    <w:p>
      <w:pPr>
        <w:spacing w:line="560" w:lineRule="exact"/>
        <w:rPr>
          <w:rFonts w:ascii="仿宋" w:hAnsi="仿宋" w:eastAsia="仿宋"/>
          <w:sz w:val="32"/>
          <w:szCs w:val="32"/>
        </w:rPr>
      </w:pPr>
      <w:r>
        <w:rPr>
          <w:rFonts w:hint="eastAsia" w:ascii="仿宋" w:hAnsi="仿宋" w:eastAsia="仿宋"/>
          <w:sz w:val="32"/>
          <w:szCs w:val="32"/>
        </w:rPr>
        <w:t xml:space="preserve">要原因是： </w:t>
      </w:r>
      <w:r>
        <w:rPr>
          <w:rFonts w:hint="eastAsia" w:ascii="仿宋" w:hAnsi="仿宋" w:eastAsia="仿宋"/>
          <w:sz w:val="32"/>
          <w:szCs w:val="32"/>
          <w:lang w:eastAsia="zh-CN"/>
        </w:rPr>
        <w:t>无</w:t>
      </w:r>
      <w:r>
        <w:rPr>
          <w:rFonts w:hint="eastAsia" w:ascii="仿宋" w:hAnsi="仿宋" w:eastAsia="仿宋"/>
          <w:sz w:val="32"/>
          <w:szCs w:val="32"/>
        </w:rPr>
        <w:t>。</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公务接待费78.5万元，比上年增4.4万元，主要原因</w:t>
      </w:r>
    </w:p>
    <w:p>
      <w:pPr>
        <w:spacing w:line="560" w:lineRule="exact"/>
        <w:rPr>
          <w:rFonts w:ascii="仿宋" w:hAnsi="仿宋" w:eastAsia="仿宋"/>
          <w:sz w:val="32"/>
          <w:szCs w:val="32"/>
        </w:rPr>
      </w:pPr>
      <w:r>
        <w:rPr>
          <w:rFonts w:hint="eastAsia" w:ascii="仿宋" w:hAnsi="仿宋" w:eastAsia="仿宋"/>
          <w:sz w:val="32"/>
          <w:szCs w:val="32"/>
        </w:rPr>
        <w:t>是：机构改革，</w:t>
      </w:r>
      <w:r>
        <w:rPr>
          <w:rFonts w:hint="eastAsia" w:ascii="仿宋" w:hAnsi="仿宋" w:eastAsia="仿宋"/>
          <w:sz w:val="32"/>
          <w:szCs w:val="32"/>
          <w:lang w:eastAsia="zh-CN"/>
        </w:rPr>
        <w:t>下属单位合并</w:t>
      </w:r>
      <w:r>
        <w:rPr>
          <w:rFonts w:hint="eastAsia" w:ascii="仿宋" w:hAnsi="仿宋" w:eastAsia="仿宋"/>
          <w:sz w:val="32"/>
          <w:szCs w:val="32"/>
        </w:rPr>
        <w:t>。</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公务用车运行维护费7万元，比上年减8万元，主要原因是：减少开支。</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公务用车购置费0万元，比上年增（减）0万元，主要</w:t>
      </w:r>
    </w:p>
    <w:p>
      <w:pPr>
        <w:spacing w:line="560" w:lineRule="exact"/>
        <w:rPr>
          <w:rFonts w:hint="eastAsia" w:ascii="仿宋" w:hAnsi="仿宋" w:eastAsia="仿宋"/>
          <w:sz w:val="32"/>
          <w:szCs w:val="32"/>
        </w:rPr>
      </w:pPr>
      <w:r>
        <w:rPr>
          <w:rFonts w:hint="eastAsia" w:ascii="仿宋" w:hAnsi="仿宋" w:eastAsia="仿宋"/>
          <w:sz w:val="32"/>
          <w:szCs w:val="32"/>
        </w:rPr>
        <w:t>原因是：</w:t>
      </w:r>
      <w:r>
        <w:rPr>
          <w:rFonts w:hint="eastAsia" w:ascii="仿宋" w:hAnsi="仿宋" w:eastAsia="仿宋"/>
          <w:sz w:val="32"/>
          <w:szCs w:val="32"/>
          <w:lang w:eastAsia="zh-CN"/>
        </w:rPr>
        <w:t>无</w:t>
      </w:r>
      <w:r>
        <w:rPr>
          <w:rFonts w:hint="eastAsia" w:ascii="仿宋" w:hAnsi="仿宋" w:eastAsia="仿宋"/>
          <w:sz w:val="32"/>
          <w:szCs w:val="32"/>
        </w:rPr>
        <w:t>。</w:t>
      </w:r>
    </w:p>
    <w:p>
      <w:pPr>
        <w:numPr>
          <w:ilvl w:val="0"/>
          <w:numId w:val="0"/>
        </w:numPr>
        <w:spacing w:line="560" w:lineRule="exact"/>
        <w:ind w:left="630" w:leftChars="0"/>
        <w:jc w:val="center"/>
        <w:rPr>
          <w:rFonts w:hint="eastAsia" w:ascii="黑体" w:hAnsi="黑体" w:eastAsia="黑体" w:cs="黑体"/>
          <w:sz w:val="32"/>
          <w:szCs w:val="32"/>
          <w:lang w:val="en-US" w:eastAsia="zh-CN"/>
        </w:rPr>
      </w:pPr>
    </w:p>
    <w:p>
      <w:pPr>
        <w:numPr>
          <w:ilvl w:val="0"/>
          <w:numId w:val="0"/>
        </w:numPr>
        <w:spacing w:line="560" w:lineRule="exact"/>
        <w:ind w:left="630" w:leftChars="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第三部分兴国县农业农村局部六预算表</w:t>
      </w:r>
    </w:p>
    <w:p>
      <w:pPr>
        <w:numPr>
          <w:ilvl w:val="0"/>
          <w:numId w:val="0"/>
        </w:numPr>
        <w:spacing w:line="560" w:lineRule="exact"/>
        <w:ind w:left="630" w:leftChars="0"/>
        <w:jc w:val="center"/>
        <w:rPr>
          <w:rFonts w:hint="eastAsia" w:ascii="黑体" w:hAnsi="黑体" w:eastAsia="黑体" w:cs="黑体"/>
          <w:sz w:val="32"/>
          <w:szCs w:val="32"/>
          <w:lang w:val="en-US" w:eastAsia="zh-CN"/>
        </w:rPr>
      </w:pPr>
    </w:p>
    <w:p>
      <w:pPr>
        <w:numPr>
          <w:ilvl w:val="0"/>
          <w:numId w:val="0"/>
        </w:numPr>
        <w:spacing w:line="560" w:lineRule="exact"/>
        <w:ind w:left="630" w:leftChars="0"/>
        <w:jc w:val="center"/>
        <w:rPr>
          <w:rFonts w:hint="eastAsia" w:ascii="黑体" w:hAnsi="黑体" w:eastAsia="黑体" w:cs="黑体"/>
          <w:sz w:val="32"/>
          <w:szCs w:val="32"/>
          <w:lang w:val="en-US" w:eastAsia="zh-CN"/>
        </w:rPr>
      </w:pPr>
      <w:bookmarkStart w:id="0" w:name="_GoBack"/>
      <w:bookmarkEnd w:id="0"/>
    </w:p>
    <w:p>
      <w:pPr>
        <w:numPr>
          <w:ilvl w:val="0"/>
          <w:numId w:val="0"/>
        </w:numPr>
        <w:spacing w:line="240" w:lineRule="auto"/>
        <w:rPr>
          <w:rFonts w:hint="default" w:ascii="仿宋" w:hAnsi="仿宋" w:eastAsia="仿宋"/>
          <w:sz w:val="32"/>
          <w:szCs w:val="32"/>
          <w:lang w:val="en-US" w:eastAsia="zh-CN"/>
        </w:rPr>
      </w:pPr>
      <w:r>
        <w:rPr>
          <w:rFonts w:hint="default" w:ascii="仿宋" w:hAnsi="仿宋" w:eastAsia="仿宋"/>
          <w:sz w:val="32"/>
          <w:szCs w:val="32"/>
          <w:lang w:val="en-US" w:eastAsia="zh-CN"/>
        </w:rPr>
        <w:drawing>
          <wp:inline distT="0" distB="0" distL="114300" distR="114300">
            <wp:extent cx="5264785" cy="3162935"/>
            <wp:effectExtent l="0" t="0" r="12065" b="18415"/>
            <wp:docPr id="7" name="图片 7" descr="QQ截图20220308105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QQ截图20220308105722"/>
                    <pic:cNvPicPr>
                      <a:picLocks noChangeAspect="1"/>
                    </pic:cNvPicPr>
                  </pic:nvPicPr>
                  <pic:blipFill>
                    <a:blip r:embed="rId4"/>
                    <a:stretch>
                      <a:fillRect/>
                    </a:stretch>
                  </pic:blipFill>
                  <pic:spPr>
                    <a:xfrm>
                      <a:off x="0" y="0"/>
                      <a:ext cx="5264785" cy="3162935"/>
                    </a:xfrm>
                    <a:prstGeom prst="rect">
                      <a:avLst/>
                    </a:prstGeom>
                  </pic:spPr>
                </pic:pic>
              </a:graphicData>
            </a:graphic>
          </wp:inline>
        </w:drawing>
      </w:r>
    </w:p>
    <w:p>
      <w:pPr>
        <w:spacing w:line="240" w:lineRule="auto"/>
        <w:ind w:firstLine="0" w:firstLineChars="0"/>
        <w:jc w:val="both"/>
        <w:rPr>
          <w:rFonts w:hint="eastAsia" w:ascii="仿宋" w:hAnsi="仿宋" w:eastAsia="仿宋"/>
          <w:sz w:val="32"/>
          <w:szCs w:val="32"/>
        </w:rPr>
      </w:pPr>
      <w:r>
        <w:rPr>
          <w:rFonts w:hint="eastAsia" w:ascii="仿宋" w:hAnsi="仿宋" w:eastAsia="仿宋"/>
          <w:sz w:val="32"/>
          <w:szCs w:val="32"/>
        </w:rPr>
        <w:t xml:space="preserve"> </w:t>
      </w:r>
    </w:p>
    <w:p>
      <w:pPr>
        <w:spacing w:line="240" w:lineRule="auto"/>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471160" cy="4580255"/>
            <wp:effectExtent l="0" t="0" r="15240" b="10795"/>
            <wp:docPr id="8" name="图片 8" descr="QQ截图20220308110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QQ截图20220308110349"/>
                    <pic:cNvPicPr>
                      <a:picLocks noChangeAspect="1"/>
                    </pic:cNvPicPr>
                  </pic:nvPicPr>
                  <pic:blipFill>
                    <a:blip r:embed="rId5"/>
                    <a:stretch>
                      <a:fillRect/>
                    </a:stretch>
                  </pic:blipFill>
                  <pic:spPr>
                    <a:xfrm>
                      <a:off x="0" y="0"/>
                      <a:ext cx="5471160" cy="4580255"/>
                    </a:xfrm>
                    <a:prstGeom prst="rect">
                      <a:avLst/>
                    </a:prstGeom>
                  </pic:spPr>
                </pic:pic>
              </a:graphicData>
            </a:graphic>
          </wp:inline>
        </w:drawing>
      </w:r>
    </w:p>
    <w:p>
      <w:pPr>
        <w:spacing w:line="240" w:lineRule="auto"/>
        <w:ind w:firstLine="0" w:firstLineChars="0"/>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6156325" cy="2845435"/>
            <wp:effectExtent l="0" t="0" r="15875" b="12065"/>
            <wp:docPr id="10" name="图片 10" descr="QQ截图20220308110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QQ截图20220308110415"/>
                    <pic:cNvPicPr>
                      <a:picLocks noChangeAspect="1"/>
                    </pic:cNvPicPr>
                  </pic:nvPicPr>
                  <pic:blipFill>
                    <a:blip r:embed="rId6"/>
                    <a:stretch>
                      <a:fillRect/>
                    </a:stretch>
                  </pic:blipFill>
                  <pic:spPr>
                    <a:xfrm>
                      <a:off x="0" y="0"/>
                      <a:ext cx="6156325" cy="2845435"/>
                    </a:xfrm>
                    <a:prstGeom prst="rect">
                      <a:avLst/>
                    </a:prstGeom>
                  </pic:spPr>
                </pic:pic>
              </a:graphicData>
            </a:graphic>
          </wp:inline>
        </w:drawing>
      </w:r>
    </w:p>
    <w:p/>
    <w:p/>
    <w:p/>
    <w:p>
      <w:pPr>
        <w:rPr>
          <w:rFonts w:hint="eastAsia" w:eastAsia="宋体"/>
          <w:lang w:eastAsia="zh-CN"/>
        </w:rPr>
      </w:pPr>
      <w:r>
        <w:rPr>
          <w:rFonts w:hint="eastAsia" w:eastAsia="宋体"/>
          <w:lang w:eastAsia="zh-CN"/>
        </w:rPr>
        <w:drawing>
          <wp:inline distT="0" distB="0" distL="114300" distR="114300">
            <wp:extent cx="5638800" cy="6543675"/>
            <wp:effectExtent l="0" t="0" r="0" b="9525"/>
            <wp:docPr id="11" name="图片 11" descr="QQ截图20220308110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QQ截图20220308110748"/>
                    <pic:cNvPicPr>
                      <a:picLocks noChangeAspect="1"/>
                    </pic:cNvPicPr>
                  </pic:nvPicPr>
                  <pic:blipFill>
                    <a:blip r:embed="rId7"/>
                    <a:stretch>
                      <a:fillRect/>
                    </a:stretch>
                  </pic:blipFill>
                  <pic:spPr>
                    <a:xfrm>
                      <a:off x="0" y="0"/>
                      <a:ext cx="5638800" cy="6543675"/>
                    </a:xfrm>
                    <a:prstGeom prst="rect">
                      <a:avLst/>
                    </a:prstGeom>
                  </pic:spPr>
                </pic:pic>
              </a:graphicData>
            </a:graphic>
          </wp:inline>
        </w:drawing>
      </w: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r>
        <w:rPr>
          <w:rFonts w:hint="eastAsia" w:eastAsia="宋体"/>
          <w:lang w:eastAsia="zh-CN"/>
        </w:rPr>
        <w:drawing>
          <wp:inline distT="0" distB="0" distL="114300" distR="114300">
            <wp:extent cx="5791200" cy="5095875"/>
            <wp:effectExtent l="0" t="0" r="0" b="9525"/>
            <wp:docPr id="12" name="图片 12" descr="QQ截图20220308110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QQ截图20220308110909"/>
                    <pic:cNvPicPr>
                      <a:picLocks noChangeAspect="1"/>
                    </pic:cNvPicPr>
                  </pic:nvPicPr>
                  <pic:blipFill>
                    <a:blip r:embed="rId8"/>
                    <a:stretch>
                      <a:fillRect/>
                    </a:stretch>
                  </pic:blipFill>
                  <pic:spPr>
                    <a:xfrm>
                      <a:off x="0" y="0"/>
                      <a:ext cx="5791200" cy="5095875"/>
                    </a:xfrm>
                    <a:prstGeom prst="rect">
                      <a:avLst/>
                    </a:prstGeom>
                  </pic:spPr>
                </pic:pic>
              </a:graphicData>
            </a:graphic>
          </wp:inline>
        </w:drawing>
      </w:r>
    </w:p>
    <w:p>
      <w:pPr>
        <w:rPr>
          <w:rFonts w:hint="eastAsia" w:eastAsia="宋体"/>
          <w:lang w:eastAsia="zh-CN"/>
        </w:rPr>
      </w:pPr>
    </w:p>
    <w:p>
      <w:pPr>
        <w:rPr>
          <w:rFonts w:hint="eastAsia" w:eastAsia="宋体"/>
          <w:lang w:eastAsia="zh-CN"/>
        </w:rPr>
      </w:pPr>
      <w:r>
        <w:rPr>
          <w:rFonts w:hint="eastAsia" w:eastAsia="宋体"/>
          <w:lang w:eastAsia="zh-CN"/>
        </w:rPr>
        <w:drawing>
          <wp:inline distT="0" distB="0" distL="114300" distR="114300">
            <wp:extent cx="5273675" cy="4969510"/>
            <wp:effectExtent l="0" t="0" r="3175" b="2540"/>
            <wp:docPr id="13" name="图片 13" descr="QQ截图20220308111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QQ截图20220308111102"/>
                    <pic:cNvPicPr>
                      <a:picLocks noChangeAspect="1"/>
                    </pic:cNvPicPr>
                  </pic:nvPicPr>
                  <pic:blipFill>
                    <a:blip r:embed="rId9"/>
                    <a:stretch>
                      <a:fillRect/>
                    </a:stretch>
                  </pic:blipFill>
                  <pic:spPr>
                    <a:xfrm>
                      <a:off x="0" y="0"/>
                      <a:ext cx="5273675" cy="4969510"/>
                    </a:xfrm>
                    <a:prstGeom prst="rect">
                      <a:avLst/>
                    </a:prstGeom>
                  </pic:spPr>
                </pic:pic>
              </a:graphicData>
            </a:graphic>
          </wp:inline>
        </w:drawing>
      </w:r>
    </w:p>
    <w:p>
      <w:pPr>
        <w:rPr>
          <w:rFonts w:hint="eastAsia" w:eastAsia="宋体"/>
          <w:lang w:eastAsia="zh-CN"/>
        </w:rPr>
      </w:pPr>
      <w:r>
        <w:rPr>
          <w:rFonts w:hint="eastAsia" w:eastAsia="宋体"/>
          <w:lang w:eastAsia="zh-CN"/>
        </w:rPr>
        <w:drawing>
          <wp:inline distT="0" distB="0" distL="114300" distR="114300">
            <wp:extent cx="4905375" cy="6143625"/>
            <wp:effectExtent l="0" t="0" r="9525" b="9525"/>
            <wp:docPr id="14" name="图片 14" descr="QQ截图2022030811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QQ截图20220308111201"/>
                    <pic:cNvPicPr>
                      <a:picLocks noChangeAspect="1"/>
                    </pic:cNvPicPr>
                  </pic:nvPicPr>
                  <pic:blipFill>
                    <a:blip r:embed="rId10"/>
                    <a:stretch>
                      <a:fillRect/>
                    </a:stretch>
                  </pic:blipFill>
                  <pic:spPr>
                    <a:xfrm>
                      <a:off x="0" y="0"/>
                      <a:ext cx="4905375" cy="6143625"/>
                    </a:xfrm>
                    <a:prstGeom prst="rect">
                      <a:avLst/>
                    </a:prstGeom>
                  </pic:spPr>
                </pic:pic>
              </a:graphicData>
            </a:graphic>
          </wp:inline>
        </w:drawing>
      </w:r>
    </w:p>
    <w:p>
      <w:pPr>
        <w:rPr>
          <w:rFonts w:hint="eastAsia" w:eastAsia="宋体"/>
          <w:lang w:eastAsia="zh-CN"/>
        </w:rPr>
      </w:pPr>
      <w:r>
        <w:rPr>
          <w:rFonts w:hint="eastAsia" w:eastAsia="宋体"/>
          <w:lang w:eastAsia="zh-CN"/>
        </w:rPr>
        <w:drawing>
          <wp:inline distT="0" distB="0" distL="114300" distR="114300">
            <wp:extent cx="5271770" cy="1978025"/>
            <wp:effectExtent l="0" t="0" r="5080" b="3175"/>
            <wp:docPr id="15" name="图片 15" descr="QQ截图20220308111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Q截图20220308111304"/>
                    <pic:cNvPicPr>
                      <a:picLocks noChangeAspect="1"/>
                    </pic:cNvPicPr>
                  </pic:nvPicPr>
                  <pic:blipFill>
                    <a:blip r:embed="rId11"/>
                    <a:stretch>
                      <a:fillRect/>
                    </a:stretch>
                  </pic:blipFill>
                  <pic:spPr>
                    <a:xfrm>
                      <a:off x="0" y="0"/>
                      <a:ext cx="5271770" cy="1978025"/>
                    </a:xfrm>
                    <a:prstGeom prst="rect">
                      <a:avLst/>
                    </a:prstGeom>
                  </pic:spPr>
                </pic:pic>
              </a:graphicData>
            </a:graphic>
          </wp:inline>
        </w:drawing>
      </w: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r>
        <w:rPr>
          <w:rFonts w:hint="eastAsia" w:eastAsia="宋体"/>
          <w:lang w:eastAsia="zh-CN"/>
        </w:rPr>
        <w:drawing>
          <wp:inline distT="0" distB="0" distL="114300" distR="114300">
            <wp:extent cx="5273040" cy="2305050"/>
            <wp:effectExtent l="0" t="0" r="3810" b="0"/>
            <wp:docPr id="16" name="图片 16" descr="QQ截图20220308111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QQ截图20220308111346"/>
                    <pic:cNvPicPr>
                      <a:picLocks noChangeAspect="1"/>
                    </pic:cNvPicPr>
                  </pic:nvPicPr>
                  <pic:blipFill>
                    <a:blip r:embed="rId12"/>
                    <a:stretch>
                      <a:fillRect/>
                    </a:stretch>
                  </pic:blipFill>
                  <pic:spPr>
                    <a:xfrm>
                      <a:off x="0" y="0"/>
                      <a:ext cx="5273040" cy="2305050"/>
                    </a:xfrm>
                    <a:prstGeom prst="rect">
                      <a:avLst/>
                    </a:prstGeom>
                  </pic:spPr>
                </pic:pic>
              </a:graphicData>
            </a:graphic>
          </wp:inline>
        </w:drawing>
      </w:r>
    </w:p>
    <w:p>
      <w:pPr>
        <w:bidi w:val="0"/>
        <w:jc w:val="center"/>
        <w:rPr>
          <w:rFonts w:hint="eastAsia" w:ascii="Calibri" w:hAnsi="Calibri" w:eastAsia="宋体" w:cs="Times New Roman"/>
          <w:kern w:val="2"/>
          <w:sz w:val="21"/>
          <w:szCs w:val="21"/>
          <w:lang w:val="en-US" w:eastAsia="zh-CN" w:bidi="ar-SA"/>
        </w:rPr>
      </w:pPr>
    </w:p>
    <w:p>
      <w:pPr>
        <w:bidi w:val="0"/>
        <w:jc w:val="center"/>
        <w:rPr>
          <w:rFonts w:hint="eastAsia" w:ascii="Calibri" w:hAnsi="Calibri" w:eastAsia="宋体" w:cs="Times New Roman"/>
          <w:kern w:val="2"/>
          <w:sz w:val="21"/>
          <w:szCs w:val="21"/>
          <w:lang w:val="en-US" w:eastAsia="zh-CN" w:bidi="ar-SA"/>
        </w:rPr>
      </w:pPr>
      <w:r>
        <w:rPr>
          <w:rFonts w:hint="eastAsia" w:ascii="Calibri" w:hAnsi="Calibri" w:eastAsia="宋体" w:cs="Times New Roman"/>
          <w:kern w:val="2"/>
          <w:sz w:val="21"/>
          <w:szCs w:val="21"/>
          <w:lang w:val="en-US" w:eastAsia="zh-CN" w:bidi="ar-SA"/>
        </w:rPr>
        <w:drawing>
          <wp:inline distT="0" distB="0" distL="114300" distR="114300">
            <wp:extent cx="5268595" cy="5787390"/>
            <wp:effectExtent l="0" t="0" r="8255" b="3810"/>
            <wp:docPr id="17" name="图片 17" descr="QQ截图20220308111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QQ截图20220308111753"/>
                    <pic:cNvPicPr>
                      <a:picLocks noChangeAspect="1"/>
                    </pic:cNvPicPr>
                  </pic:nvPicPr>
                  <pic:blipFill>
                    <a:blip r:embed="rId13"/>
                    <a:stretch>
                      <a:fillRect/>
                    </a:stretch>
                  </pic:blipFill>
                  <pic:spPr>
                    <a:xfrm>
                      <a:off x="0" y="0"/>
                      <a:ext cx="5268595" cy="5787390"/>
                    </a:xfrm>
                    <a:prstGeom prst="rect">
                      <a:avLst/>
                    </a:prstGeom>
                  </pic:spPr>
                </pic:pic>
              </a:graphicData>
            </a:graphic>
          </wp:inline>
        </w:drawing>
      </w:r>
    </w:p>
    <w:p>
      <w:pPr>
        <w:spacing w:line="240" w:lineRule="auto"/>
        <w:ind w:firstLine="0" w:firstLineChars="0"/>
        <w:jc w:val="center"/>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drawing>
          <wp:inline distT="0" distB="0" distL="114300" distR="114300">
            <wp:extent cx="5958205" cy="4515485"/>
            <wp:effectExtent l="0" t="0" r="4445" b="18415"/>
            <wp:docPr id="1" name="图片 1" descr="QQ截图20230620161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230620161359"/>
                    <pic:cNvPicPr>
                      <a:picLocks noChangeAspect="1"/>
                    </pic:cNvPicPr>
                  </pic:nvPicPr>
                  <pic:blipFill>
                    <a:blip r:embed="rId14"/>
                    <a:stretch>
                      <a:fillRect/>
                    </a:stretch>
                  </pic:blipFill>
                  <pic:spPr>
                    <a:xfrm>
                      <a:off x="0" y="0"/>
                      <a:ext cx="5958205" cy="4515485"/>
                    </a:xfrm>
                    <a:prstGeom prst="rect">
                      <a:avLst/>
                    </a:prstGeom>
                  </pic:spPr>
                </pic:pic>
              </a:graphicData>
            </a:graphic>
          </wp:inline>
        </w:drawing>
      </w:r>
    </w:p>
    <w:p>
      <w:pPr>
        <w:pStyle w:val="2"/>
        <w:rPr>
          <w:rFonts w:hint="eastAsia"/>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（七）使用非财政拨款结余：填列历年滚存的非限定用途的非统计财政拨款结余弥补XX年收支差额的数额。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（八）上年结转和结余：填列XX年全部结转和结余的资金数，包括当年结转结余资金和历年滚存结转结余资金。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对部门或单位预算中涉及的支出功能分类科目（明细到项级），结合部门实际，参照《XX年政府收支分类科目》的规范说明行解释。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pPr>
        <w:bidi w:val="0"/>
        <w:jc w:val="center"/>
        <w:rPr>
          <w:rFonts w:hint="eastAsia" w:ascii="Calibri" w:hAnsi="Calibri" w:eastAsia="宋体" w:cs="Times New Roman"/>
          <w:kern w:val="2"/>
          <w:sz w:val="21"/>
          <w:szCs w:val="21"/>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NTAxYTA0NTllZTU0OWY5NWY0MWNlMzBjNGU2OTYifQ=="/>
  </w:docVars>
  <w:rsids>
    <w:rsidRoot w:val="00C910AC"/>
    <w:rsid w:val="000627A5"/>
    <w:rsid w:val="000631B0"/>
    <w:rsid w:val="000915AE"/>
    <w:rsid w:val="00095AD5"/>
    <w:rsid w:val="0011786F"/>
    <w:rsid w:val="00146DEC"/>
    <w:rsid w:val="001571D2"/>
    <w:rsid w:val="00164F5A"/>
    <w:rsid w:val="001B23F7"/>
    <w:rsid w:val="001D50F5"/>
    <w:rsid w:val="001E306A"/>
    <w:rsid w:val="001E6731"/>
    <w:rsid w:val="00217661"/>
    <w:rsid w:val="00264F09"/>
    <w:rsid w:val="00277CE8"/>
    <w:rsid w:val="003122FC"/>
    <w:rsid w:val="003304DA"/>
    <w:rsid w:val="00361E05"/>
    <w:rsid w:val="00385D53"/>
    <w:rsid w:val="003865CB"/>
    <w:rsid w:val="003E3390"/>
    <w:rsid w:val="00424903"/>
    <w:rsid w:val="0046221F"/>
    <w:rsid w:val="00475382"/>
    <w:rsid w:val="004A5304"/>
    <w:rsid w:val="004E5419"/>
    <w:rsid w:val="00503070"/>
    <w:rsid w:val="00557DB2"/>
    <w:rsid w:val="00591F9B"/>
    <w:rsid w:val="005B7237"/>
    <w:rsid w:val="005D1E08"/>
    <w:rsid w:val="006935CB"/>
    <w:rsid w:val="006C0E53"/>
    <w:rsid w:val="006C76F2"/>
    <w:rsid w:val="00711DBF"/>
    <w:rsid w:val="00714CD5"/>
    <w:rsid w:val="0074269A"/>
    <w:rsid w:val="007677B7"/>
    <w:rsid w:val="007E07AA"/>
    <w:rsid w:val="00801232"/>
    <w:rsid w:val="00812EAC"/>
    <w:rsid w:val="0085701D"/>
    <w:rsid w:val="00866E98"/>
    <w:rsid w:val="0088452B"/>
    <w:rsid w:val="00886D75"/>
    <w:rsid w:val="008934D5"/>
    <w:rsid w:val="008C1B6D"/>
    <w:rsid w:val="009B26F2"/>
    <w:rsid w:val="009C20EF"/>
    <w:rsid w:val="009E4EB5"/>
    <w:rsid w:val="009E61ED"/>
    <w:rsid w:val="009F0218"/>
    <w:rsid w:val="00A766A4"/>
    <w:rsid w:val="00A943DA"/>
    <w:rsid w:val="00AD51BC"/>
    <w:rsid w:val="00AF6B14"/>
    <w:rsid w:val="00B1439B"/>
    <w:rsid w:val="00B177B7"/>
    <w:rsid w:val="00BA7F96"/>
    <w:rsid w:val="00C12F96"/>
    <w:rsid w:val="00C30DAD"/>
    <w:rsid w:val="00C6209A"/>
    <w:rsid w:val="00C7466D"/>
    <w:rsid w:val="00C910AC"/>
    <w:rsid w:val="00CD671D"/>
    <w:rsid w:val="00D13107"/>
    <w:rsid w:val="00D96BEC"/>
    <w:rsid w:val="00DC6EAD"/>
    <w:rsid w:val="00E06043"/>
    <w:rsid w:val="00E371FE"/>
    <w:rsid w:val="00E47CDC"/>
    <w:rsid w:val="00E819DD"/>
    <w:rsid w:val="00ED1780"/>
    <w:rsid w:val="00F32B54"/>
    <w:rsid w:val="00F66627"/>
    <w:rsid w:val="00F91A5E"/>
    <w:rsid w:val="00FA71CE"/>
    <w:rsid w:val="06A74829"/>
    <w:rsid w:val="0D5026FB"/>
    <w:rsid w:val="0DBB4760"/>
    <w:rsid w:val="109253E6"/>
    <w:rsid w:val="11A876BD"/>
    <w:rsid w:val="18F76870"/>
    <w:rsid w:val="1BA63D90"/>
    <w:rsid w:val="1C755ED0"/>
    <w:rsid w:val="23AF5689"/>
    <w:rsid w:val="28161E6B"/>
    <w:rsid w:val="2ABC5239"/>
    <w:rsid w:val="2C4D6197"/>
    <w:rsid w:val="2EF66AA3"/>
    <w:rsid w:val="30314FE0"/>
    <w:rsid w:val="349105D6"/>
    <w:rsid w:val="38C66483"/>
    <w:rsid w:val="3CC47BE6"/>
    <w:rsid w:val="3DD74869"/>
    <w:rsid w:val="42E06D32"/>
    <w:rsid w:val="42E27EFA"/>
    <w:rsid w:val="44D17D95"/>
    <w:rsid w:val="45FD55EE"/>
    <w:rsid w:val="49A91A84"/>
    <w:rsid w:val="4C841783"/>
    <w:rsid w:val="4E1464B4"/>
    <w:rsid w:val="56592E61"/>
    <w:rsid w:val="58644E43"/>
    <w:rsid w:val="59616A02"/>
    <w:rsid w:val="5C710132"/>
    <w:rsid w:val="5D68417C"/>
    <w:rsid w:val="5ECB4E4C"/>
    <w:rsid w:val="6102514E"/>
    <w:rsid w:val="61FD4500"/>
    <w:rsid w:val="62A90210"/>
    <w:rsid w:val="657477CF"/>
    <w:rsid w:val="69AC6DCF"/>
    <w:rsid w:val="6C6318B9"/>
    <w:rsid w:val="6CD10E93"/>
    <w:rsid w:val="6E6042C5"/>
    <w:rsid w:val="705C1CF0"/>
    <w:rsid w:val="75EF6EBF"/>
    <w:rsid w:val="76097038"/>
    <w:rsid w:val="76EA42C9"/>
    <w:rsid w:val="770C6338"/>
    <w:rsid w:val="791740A9"/>
    <w:rsid w:val="79CC425F"/>
    <w:rsid w:val="7FC403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character" w:styleId="5">
    <w:name w:val="Strong"/>
    <w:basedOn w:val="4"/>
    <w:qFormat/>
    <w:uiPriority w:val="22"/>
    <w:rPr>
      <w:b/>
      <w:bCs/>
    </w:rPr>
  </w:style>
  <w:style w:type="character" w:customStyle="1" w:styleId="6">
    <w:name w:val="15"/>
    <w:basedOn w:val="4"/>
    <w:qFormat/>
    <w:uiPriority w:val="0"/>
    <w:rPr>
      <w:rFonts w:hint="default" w:ascii="Times New Roman" w:hAnsi="Times New Roman" w:cs="Times New Roman"/>
      <w:color w:val="000000"/>
      <w:sz w:val="24"/>
      <w:szCs w:val="24"/>
    </w:rPr>
  </w:style>
  <w:style w:type="character" w:customStyle="1" w:styleId="7">
    <w:name w:val="16"/>
    <w:basedOn w:val="4"/>
    <w:qFormat/>
    <w:uiPriority w:val="0"/>
    <w:rPr>
      <w:rFonts w:hint="eastAsia" w:ascii="宋体" w:hAnsi="宋体" w:eastAsia="宋体"/>
      <w:color w:val="000000"/>
      <w:sz w:val="24"/>
      <w:szCs w:val="24"/>
    </w:rPr>
  </w:style>
  <w:style w:type="paragraph" w:customStyle="1" w:styleId="8">
    <w:name w:val="0"/>
    <w:basedOn w:val="1"/>
    <w:qFormat/>
    <w:uiPriority w:val="0"/>
    <w:pPr>
      <w:widowControl/>
    </w:pPr>
    <w:rPr>
      <w:rFonts w:ascii="Times New Roman" w:hAnsi="Times New Roman"/>
      <w:kern w:val="0"/>
      <w:szCs w:val="20"/>
    </w:rPr>
  </w:style>
  <w:style w:type="paragraph" w:customStyle="1" w:styleId="9">
    <w:name w:val="正文首行缩进 21"/>
    <w:basedOn w:val="1"/>
    <w:qFormat/>
    <w:uiPriority w:val="99"/>
    <w:pPr>
      <w:ind w:left="420" w:leftChars="200" w:firstLine="210"/>
    </w:pPr>
    <w:rPr>
      <w:rFonts w:cs="宋体"/>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60AE08C-1143-41E2-B4C9-A39ED9DA96EA}">
  <ds:schemaRefs/>
</ds:datastoreItem>
</file>

<file path=docProps/app.xml><?xml version="1.0" encoding="utf-8"?>
<Properties xmlns="http://schemas.openxmlformats.org/officeDocument/2006/extended-properties" xmlns:vt="http://schemas.openxmlformats.org/officeDocument/2006/docPropsVTypes">
  <Template>Normal</Template>
  <Pages>24</Pages>
  <Words>6921</Words>
  <Characters>7419</Characters>
  <Lines>74</Lines>
  <Paragraphs>21</Paragraphs>
  <TotalTime>4</TotalTime>
  <ScaleCrop>false</ScaleCrop>
  <LinksUpToDate>false</LinksUpToDate>
  <CharactersWithSpaces>7640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2022-02-06T08:48:00Z</dcterms:created>
  <dc:creator>Administrator</dc:creator>
  <cp:lastModifiedBy>凌联福</cp:lastModifiedBy>
  <dcterms:modified xsi:type="dcterms:W3CDTF">2023-07-16T07:56:55Z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EAC17F16BF6348A3B912198B8943B324_13</vt:lpwstr>
  </property>
</Properties>
</file>