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Pr>
        <w:pStyle w:val="8"/>
        <w:adjustRightInd w:val="0"/>
        <w:snapToGrid w:val="0"/>
        <w:spacing w:before="0" w:beforeAutospacing="0" w:after="0" w:afterAutospacing="0" w:line="600" w:lineRule="exact"/>
        <w:jc w:val="center"/>
        <w:rPr>
          <w:rFonts w:hint="eastAsia" w:ascii="方正小标宋简体" w:hAnsi="方正小标宋简体" w:eastAsia="方正小标宋简体" w:cs="方正小标宋简体"/>
          <w:b w:val="0"/>
          <w:bCs w:val="0"/>
          <w:spacing w:val="-20"/>
          <w:sz w:val="44"/>
          <w:szCs w:val="44"/>
        </w:rPr>
      </w:pPr>
      <w:r>
        <w:rPr>
          <w:rFonts w:hint="eastAsia" w:ascii="方正小标宋简体" w:hAnsi="方正小标宋简体" w:eastAsia="方正小标宋简体" w:cs="方正小标宋简体"/>
          <w:b w:val="0"/>
          <w:bCs w:val="0"/>
          <w:spacing w:val="-20"/>
          <w:sz w:val="44"/>
          <w:szCs w:val="44"/>
        </w:rPr>
        <w:t>兴国县</w:t>
      </w:r>
      <w:r>
        <w:rPr>
          <w:rFonts w:hint="eastAsia" w:ascii="方正小标宋简体" w:hAnsi="方正小标宋简体" w:eastAsia="方正小标宋简体" w:cs="方正小标宋简体"/>
          <w:b w:val="0"/>
          <w:bCs w:val="0"/>
          <w:spacing w:val="-20"/>
          <w:sz w:val="44"/>
          <w:szCs w:val="44"/>
          <w:lang w:eastAsia="zh-CN"/>
        </w:rPr>
        <w:t>住房和</w:t>
      </w:r>
      <w:r>
        <w:rPr>
          <w:rFonts w:hint="eastAsia" w:ascii="方正小标宋简体" w:hAnsi="方正小标宋简体" w:eastAsia="方正小标宋简体" w:cs="方正小标宋简体"/>
          <w:b w:val="0"/>
          <w:bCs w:val="0"/>
          <w:spacing w:val="-20"/>
          <w:sz w:val="44"/>
          <w:szCs w:val="44"/>
        </w:rPr>
        <w:t>城乡建设局</w:t>
      </w:r>
      <w:r>
        <w:rPr>
          <w:rFonts w:hint="eastAsia" w:ascii="方正小标宋简体" w:hAnsi="方正小标宋简体" w:eastAsia="方正小标宋简体" w:cs="方正小标宋简体"/>
          <w:b w:val="0"/>
          <w:bCs w:val="0"/>
          <w:spacing w:val="-20"/>
          <w:sz w:val="44"/>
          <w:szCs w:val="44"/>
          <w:lang w:val="en-US" w:eastAsia="zh-CN"/>
        </w:rPr>
        <w:t>2022</w:t>
      </w:r>
      <w:r>
        <w:rPr>
          <w:rFonts w:hint="eastAsia" w:ascii="方正小标宋简体" w:hAnsi="方正小标宋简体" w:eastAsia="方正小标宋简体" w:cs="方正小标宋简体"/>
          <w:b w:val="0"/>
          <w:bCs w:val="0"/>
          <w:spacing w:val="-20"/>
          <w:sz w:val="44"/>
          <w:szCs w:val="44"/>
        </w:rPr>
        <w:t>年度</w:t>
      </w:r>
      <w:r>
        <w:rPr>
          <w:rFonts w:hint="eastAsia" w:ascii="方正小标宋简体" w:hAnsi="方正小标宋简体" w:eastAsia="方正小标宋简体" w:cs="方正小标宋简体"/>
          <w:b w:val="0"/>
          <w:bCs w:val="0"/>
          <w:spacing w:val="-20"/>
          <w:sz w:val="44"/>
          <w:szCs w:val="44"/>
          <w:lang w:eastAsia="zh-CN"/>
        </w:rPr>
        <w:t>部门预</w:t>
      </w:r>
      <w:r>
        <w:rPr>
          <w:rFonts w:hint="eastAsia" w:ascii="方正小标宋简体" w:hAnsi="方正小标宋简体" w:eastAsia="方正小标宋简体" w:cs="方正小标宋简体"/>
          <w:b w:val="0"/>
          <w:bCs w:val="0"/>
          <w:spacing w:val="-20"/>
          <w:sz w:val="44"/>
          <w:szCs w:val="44"/>
        </w:rPr>
        <w:t>算</w:t>
      </w:r>
    </w:p>
    <w:p>
      <w:pPr>
        <w:pStyle w:val="8"/>
        <w:adjustRightInd w:val="0"/>
        <w:snapToGrid w:val="0"/>
        <w:spacing w:before="0" w:beforeAutospacing="0" w:after="0" w:afterAutospacing="0" w:line="600" w:lineRule="exact"/>
        <w:ind w:firstLine="585"/>
        <w:jc w:val="center"/>
        <w:rPr>
          <w:rFonts w:hint="eastAsia"/>
          <w:sz w:val="36"/>
          <w:szCs w:val="36"/>
        </w:rPr>
      </w:pPr>
      <w:r>
        <w:rPr>
          <w:rFonts w:hint="eastAsia"/>
          <w:sz w:val="36"/>
          <w:szCs w:val="36"/>
        </w:rPr>
        <w:t xml:space="preserve"> </w:t>
      </w:r>
    </w:p>
    <w:p>
      <w:pPr>
        <w:pStyle w:val="8"/>
        <w:keepNext w:val="0"/>
        <w:keepLines w:val="0"/>
        <w:pageBreakBefore w:val="0"/>
        <w:widowControl/>
        <w:kinsoku/>
        <w:wordWrap/>
        <w:overflowPunct/>
        <w:topLinePunct w:val="0"/>
        <w:autoSpaceDE/>
        <w:autoSpaceDN/>
        <w:bidi w:val="0"/>
        <w:adjustRightInd w:val="0"/>
        <w:snapToGrid w:val="0"/>
        <w:spacing w:before="0" w:beforeAutospacing="0" w:after="162" w:afterLines="50" w:afterAutospacing="0" w:line="600" w:lineRule="exact"/>
        <w:jc w:val="center"/>
        <w:textAlignment w:val="auto"/>
        <w:outlineLvl w:val="9"/>
        <w:rPr>
          <w:rFonts w:hint="eastAsia" w:ascii="黑体" w:hAnsi="黑体" w:eastAsia="黑体"/>
          <w:sz w:val="36"/>
          <w:szCs w:val="36"/>
        </w:rPr>
      </w:pPr>
      <w:r>
        <w:rPr>
          <w:rFonts w:hint="eastAsia" w:ascii="黑体" w:hAnsi="黑体" w:eastAsia="黑体"/>
          <w:sz w:val="36"/>
          <w:szCs w:val="36"/>
        </w:rPr>
        <w:t>目    录</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firstLine="602" w:firstLineChars="200"/>
        <w:jc w:val="both"/>
        <w:textAlignment w:val="auto"/>
        <w:outlineLvl w:val="9"/>
        <w:rPr>
          <w:rFonts w:hint="eastAsia" w:cs="Times New Roman"/>
          <w:b/>
          <w:bCs/>
          <w:kern w:val="2"/>
          <w:sz w:val="30"/>
          <w:szCs w:val="30"/>
        </w:rPr>
      </w:pPr>
      <w:r>
        <w:rPr>
          <w:rFonts w:cs="Times New Roman"/>
          <w:b/>
          <w:bCs/>
          <w:kern w:val="2"/>
          <w:sz w:val="30"/>
          <w:szCs w:val="30"/>
        </w:rPr>
        <w:t xml:space="preserve">第一部分 </w:t>
      </w:r>
      <w:r>
        <w:rPr>
          <w:rFonts w:hint="eastAsia" w:cs="Times New Roman"/>
          <w:b/>
          <w:bCs/>
          <w:kern w:val="2"/>
          <w:sz w:val="30"/>
          <w:szCs w:val="30"/>
          <w:lang w:eastAsia="zh-CN"/>
        </w:rPr>
        <w:t>部门</w:t>
      </w:r>
      <w:r>
        <w:rPr>
          <w:rFonts w:cs="Times New Roman"/>
          <w:b/>
          <w:bCs/>
          <w:kern w:val="2"/>
          <w:sz w:val="30"/>
          <w:szCs w:val="30"/>
        </w:rPr>
        <w:t>概况</w:t>
      </w:r>
    </w:p>
    <w:p>
      <w:pPr>
        <w:pStyle w:val="8"/>
        <w:keepNext w:val="0"/>
        <w:keepLines w:val="0"/>
        <w:pageBreakBefore w:val="0"/>
        <w:widowControl/>
        <w:numPr>
          <w:ilvl w:val="0"/>
          <w:numId w:val="1"/>
        </w:numPr>
        <w:kinsoku/>
        <w:wordWrap/>
        <w:overflowPunct/>
        <w:topLinePunct w:val="0"/>
        <w:autoSpaceDE/>
        <w:autoSpaceDN/>
        <w:bidi w:val="0"/>
        <w:adjustRightInd w:val="0"/>
        <w:snapToGrid w:val="0"/>
        <w:spacing w:before="0" w:beforeAutospacing="0" w:after="0" w:afterAutospacing="0" w:line="360" w:lineRule="auto"/>
        <w:ind w:left="0" w:firstLine="560" w:firstLineChars="200"/>
        <w:jc w:val="both"/>
        <w:textAlignment w:val="auto"/>
        <w:outlineLvl w:val="9"/>
        <w:rPr>
          <w:rFonts w:cs="Times New Roman"/>
          <w:kern w:val="2"/>
          <w:sz w:val="28"/>
          <w:szCs w:val="28"/>
        </w:rPr>
      </w:pPr>
      <w:r>
        <w:rPr>
          <w:rFonts w:cs="Times New Roman"/>
          <w:kern w:val="2"/>
          <w:sz w:val="28"/>
          <w:szCs w:val="28"/>
        </w:rPr>
        <w:t>主要职能</w:t>
      </w:r>
    </w:p>
    <w:p>
      <w:pPr>
        <w:pStyle w:val="8"/>
        <w:keepNext w:val="0"/>
        <w:keepLines w:val="0"/>
        <w:pageBreakBefore w:val="0"/>
        <w:widowControl/>
        <w:numPr>
          <w:ilvl w:val="0"/>
          <w:numId w:val="1"/>
        </w:numPr>
        <w:kinsoku/>
        <w:wordWrap/>
        <w:overflowPunct/>
        <w:topLinePunct w:val="0"/>
        <w:autoSpaceDE/>
        <w:autoSpaceDN/>
        <w:bidi w:val="0"/>
        <w:adjustRightInd w:val="0"/>
        <w:snapToGrid w:val="0"/>
        <w:spacing w:before="0" w:beforeAutospacing="0" w:after="0" w:afterAutospacing="0" w:line="360" w:lineRule="auto"/>
        <w:ind w:left="0" w:firstLine="560" w:firstLineChars="200"/>
        <w:jc w:val="both"/>
        <w:textAlignment w:val="auto"/>
        <w:outlineLvl w:val="9"/>
        <w:rPr>
          <w:rFonts w:cs="Times New Roman"/>
          <w:kern w:val="2"/>
          <w:sz w:val="28"/>
          <w:szCs w:val="28"/>
        </w:rPr>
      </w:pPr>
      <w:r>
        <w:rPr>
          <w:rFonts w:hint="eastAsia" w:cs="Times New Roman"/>
          <w:kern w:val="2"/>
          <w:sz w:val="28"/>
          <w:szCs w:val="28"/>
          <w:lang w:eastAsia="zh-CN"/>
        </w:rPr>
        <w:t>基本情况</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firstLine="602" w:firstLineChars="200"/>
        <w:jc w:val="both"/>
        <w:textAlignment w:val="auto"/>
        <w:outlineLvl w:val="9"/>
        <w:rPr>
          <w:rFonts w:hint="eastAsia" w:cs="Times New Roman"/>
          <w:b/>
          <w:bCs/>
          <w:kern w:val="2"/>
          <w:sz w:val="30"/>
          <w:szCs w:val="30"/>
        </w:rPr>
      </w:pPr>
      <w:r>
        <w:rPr>
          <w:rFonts w:cs="Times New Roman"/>
          <w:b/>
          <w:bCs/>
          <w:kern w:val="2"/>
          <w:sz w:val="30"/>
          <w:szCs w:val="30"/>
        </w:rPr>
        <w:t>第</w:t>
      </w:r>
      <w:r>
        <w:rPr>
          <w:rFonts w:hint="eastAsia" w:cs="Times New Roman"/>
          <w:b/>
          <w:bCs/>
          <w:kern w:val="2"/>
          <w:sz w:val="30"/>
          <w:szCs w:val="30"/>
          <w:lang w:eastAsia="zh-CN"/>
        </w:rPr>
        <w:t>二</w:t>
      </w:r>
      <w:r>
        <w:rPr>
          <w:rFonts w:cs="Times New Roman"/>
          <w:b/>
          <w:bCs/>
          <w:kern w:val="2"/>
          <w:sz w:val="30"/>
          <w:szCs w:val="30"/>
        </w:rPr>
        <w:t>部分  20</w:t>
      </w:r>
      <w:r>
        <w:rPr>
          <w:rFonts w:hint="eastAsia" w:cs="Times New Roman"/>
          <w:b/>
          <w:bCs/>
          <w:kern w:val="2"/>
          <w:sz w:val="30"/>
          <w:szCs w:val="30"/>
          <w:lang w:val="en-US" w:eastAsia="zh-CN"/>
        </w:rPr>
        <w:t>22</w:t>
      </w:r>
      <w:r>
        <w:rPr>
          <w:rFonts w:cs="Times New Roman"/>
          <w:b/>
          <w:bCs/>
          <w:kern w:val="2"/>
          <w:sz w:val="30"/>
          <w:szCs w:val="30"/>
        </w:rPr>
        <w:t>年度</w:t>
      </w:r>
      <w:r>
        <w:rPr>
          <w:rFonts w:hint="eastAsia" w:cs="Times New Roman"/>
          <w:b/>
          <w:bCs/>
          <w:kern w:val="2"/>
          <w:sz w:val="30"/>
          <w:szCs w:val="30"/>
          <w:lang w:eastAsia="zh-CN"/>
        </w:rPr>
        <w:t>部门预算</w:t>
      </w:r>
      <w:r>
        <w:rPr>
          <w:rFonts w:cs="Times New Roman"/>
          <w:b/>
          <w:bCs/>
          <w:kern w:val="2"/>
          <w:sz w:val="30"/>
          <w:szCs w:val="30"/>
        </w:rPr>
        <w:t>情况说明</w:t>
      </w:r>
    </w:p>
    <w:p>
      <w:pPr>
        <w:keepNext w:val="0"/>
        <w:keepLines w:val="0"/>
        <w:pageBreakBefore w:val="0"/>
        <w:widowControl/>
        <w:kinsoku/>
        <w:wordWrap/>
        <w:overflowPunct/>
        <w:topLinePunct w:val="0"/>
        <w:autoSpaceDE/>
        <w:autoSpaceDN/>
        <w:bidi w:val="0"/>
        <w:spacing w:line="360" w:lineRule="auto"/>
        <w:ind w:left="0" w:firstLine="560" w:firstLineChars="200"/>
        <w:jc w:val="both"/>
        <w:textAlignment w:val="auto"/>
        <w:outlineLvl w:val="9"/>
        <w:rPr>
          <w:rFonts w:ascii="宋体" w:hAnsi="宋体"/>
          <w:sz w:val="28"/>
          <w:szCs w:val="28"/>
        </w:rPr>
      </w:pPr>
      <w:r>
        <w:rPr>
          <w:rFonts w:ascii="宋体" w:hAnsi="宋体"/>
          <w:sz w:val="28"/>
          <w:szCs w:val="28"/>
        </w:rPr>
        <w:t>一、</w:t>
      </w:r>
      <w:r>
        <w:rPr>
          <w:rFonts w:hint="eastAsia" w:ascii="宋体" w:hAnsi="宋体"/>
          <w:sz w:val="28"/>
          <w:szCs w:val="28"/>
          <w:lang w:val="en-US" w:eastAsia="zh-CN"/>
        </w:rPr>
        <w:t>2021年部门预算</w:t>
      </w:r>
      <w:r>
        <w:rPr>
          <w:rFonts w:ascii="宋体" w:hAnsi="宋体"/>
          <w:sz w:val="28"/>
          <w:szCs w:val="28"/>
        </w:rPr>
        <w:t>收</w:t>
      </w:r>
      <w:r>
        <w:rPr>
          <w:rFonts w:hint="eastAsia" w:ascii="宋体" w:hAnsi="宋体"/>
          <w:sz w:val="28"/>
          <w:szCs w:val="28"/>
          <w:lang w:eastAsia="zh-CN"/>
        </w:rPr>
        <w:t>支</w:t>
      </w:r>
      <w:r>
        <w:rPr>
          <w:rFonts w:ascii="宋体" w:hAnsi="宋体"/>
          <w:sz w:val="28"/>
          <w:szCs w:val="28"/>
        </w:rPr>
        <w:t>情况说明</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firstLine="560" w:firstLineChars="200"/>
        <w:jc w:val="both"/>
        <w:textAlignment w:val="auto"/>
        <w:outlineLvl w:val="9"/>
        <w:rPr>
          <w:rFonts w:cs="Times New Roman"/>
          <w:kern w:val="2"/>
          <w:sz w:val="28"/>
          <w:szCs w:val="28"/>
        </w:rPr>
      </w:pPr>
      <w:r>
        <w:rPr>
          <w:rFonts w:hint="eastAsia" w:cs="Times New Roman"/>
          <w:kern w:val="2"/>
          <w:sz w:val="28"/>
          <w:szCs w:val="28"/>
          <w:lang w:eastAsia="zh-CN"/>
        </w:rPr>
        <w:t>二、</w:t>
      </w:r>
      <w:r>
        <w:rPr>
          <w:rFonts w:hint="eastAsia" w:cs="Times New Roman"/>
          <w:kern w:val="2"/>
          <w:sz w:val="28"/>
          <w:szCs w:val="28"/>
          <w:lang w:val="en-US" w:eastAsia="zh-CN"/>
        </w:rPr>
        <w:t>2021年“</w:t>
      </w:r>
      <w:r>
        <w:rPr>
          <w:rFonts w:cs="Times New Roman"/>
          <w:kern w:val="2"/>
          <w:sz w:val="28"/>
          <w:szCs w:val="28"/>
        </w:rPr>
        <w:t>三公”经费</w:t>
      </w:r>
      <w:r>
        <w:rPr>
          <w:rFonts w:hint="eastAsia" w:cs="Times New Roman"/>
          <w:kern w:val="2"/>
          <w:sz w:val="28"/>
          <w:szCs w:val="28"/>
          <w:lang w:eastAsia="zh-CN"/>
        </w:rPr>
        <w:t>预</w:t>
      </w:r>
      <w:r>
        <w:rPr>
          <w:rFonts w:cs="Times New Roman"/>
          <w:kern w:val="2"/>
          <w:sz w:val="28"/>
          <w:szCs w:val="28"/>
        </w:rPr>
        <w:t>算情况说明</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firstLine="602" w:firstLineChars="200"/>
        <w:jc w:val="both"/>
        <w:textAlignment w:val="auto"/>
        <w:outlineLvl w:val="9"/>
        <w:rPr>
          <w:rFonts w:cs="Times New Roman"/>
          <w:b/>
          <w:bCs/>
          <w:kern w:val="2"/>
          <w:sz w:val="30"/>
          <w:szCs w:val="30"/>
        </w:rPr>
      </w:pPr>
      <w:r>
        <w:rPr>
          <w:rFonts w:cs="Times New Roman"/>
          <w:b/>
          <w:bCs/>
          <w:kern w:val="2"/>
          <w:sz w:val="30"/>
          <w:szCs w:val="30"/>
        </w:rPr>
        <w:t>第</w:t>
      </w:r>
      <w:r>
        <w:rPr>
          <w:rFonts w:hint="eastAsia" w:cs="Times New Roman"/>
          <w:b/>
          <w:bCs/>
          <w:kern w:val="2"/>
          <w:sz w:val="30"/>
          <w:szCs w:val="30"/>
          <w:lang w:eastAsia="zh-CN"/>
        </w:rPr>
        <w:t>三</w:t>
      </w:r>
      <w:r>
        <w:rPr>
          <w:rFonts w:cs="Times New Roman"/>
          <w:b/>
          <w:bCs/>
          <w:kern w:val="2"/>
          <w:sz w:val="30"/>
          <w:szCs w:val="30"/>
        </w:rPr>
        <w:t>部分  20</w:t>
      </w:r>
      <w:r>
        <w:rPr>
          <w:rFonts w:hint="eastAsia" w:cs="Times New Roman"/>
          <w:b/>
          <w:bCs/>
          <w:kern w:val="2"/>
          <w:sz w:val="30"/>
          <w:szCs w:val="30"/>
          <w:lang w:val="en-US" w:eastAsia="zh-CN"/>
        </w:rPr>
        <w:t>22</w:t>
      </w:r>
      <w:r>
        <w:rPr>
          <w:rFonts w:cs="Times New Roman"/>
          <w:b/>
          <w:bCs/>
          <w:kern w:val="2"/>
          <w:sz w:val="30"/>
          <w:szCs w:val="30"/>
        </w:rPr>
        <w:t>年度</w:t>
      </w:r>
      <w:r>
        <w:rPr>
          <w:rFonts w:hint="eastAsia" w:cs="Times New Roman"/>
          <w:b/>
          <w:bCs/>
          <w:kern w:val="2"/>
          <w:sz w:val="30"/>
          <w:szCs w:val="30"/>
          <w:lang w:eastAsia="zh-CN"/>
        </w:rPr>
        <w:t>部门预算</w:t>
      </w:r>
      <w:r>
        <w:rPr>
          <w:rFonts w:cs="Times New Roman"/>
          <w:b/>
          <w:bCs/>
          <w:kern w:val="2"/>
          <w:sz w:val="30"/>
          <w:szCs w:val="30"/>
        </w:rPr>
        <w:t>表</w:t>
      </w:r>
    </w:p>
    <w:p>
      <w:pPr>
        <w:keepNext w:val="0"/>
        <w:keepLines w:val="0"/>
        <w:pageBreakBefore w:val="0"/>
        <w:widowControl/>
        <w:kinsoku/>
        <w:wordWrap/>
        <w:overflowPunct/>
        <w:topLinePunct w:val="0"/>
        <w:autoSpaceDE/>
        <w:autoSpaceDN/>
        <w:bidi w:val="0"/>
        <w:spacing w:line="360" w:lineRule="auto"/>
        <w:ind w:left="0" w:firstLine="560" w:firstLineChars="200"/>
        <w:jc w:val="both"/>
        <w:textAlignment w:val="auto"/>
        <w:outlineLvl w:val="9"/>
        <w:rPr>
          <w:rFonts w:ascii="宋体" w:hAnsi="宋体"/>
          <w:sz w:val="28"/>
          <w:szCs w:val="28"/>
        </w:rPr>
      </w:pPr>
      <w:r>
        <w:rPr>
          <w:rFonts w:ascii="宋体" w:hAnsi="宋体"/>
          <w:sz w:val="28"/>
          <w:szCs w:val="28"/>
        </w:rPr>
        <w:t>一、收支</w:t>
      </w:r>
      <w:r>
        <w:rPr>
          <w:rFonts w:hint="eastAsia" w:ascii="宋体" w:hAnsi="宋体"/>
          <w:sz w:val="28"/>
          <w:szCs w:val="28"/>
          <w:lang w:eastAsia="zh-CN"/>
        </w:rPr>
        <w:t>预</w:t>
      </w:r>
      <w:r>
        <w:rPr>
          <w:rFonts w:ascii="宋体" w:hAnsi="宋体"/>
          <w:sz w:val="28"/>
          <w:szCs w:val="28"/>
        </w:rPr>
        <w:t>算总表</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firstLine="560" w:firstLineChars="200"/>
        <w:jc w:val="both"/>
        <w:textAlignment w:val="auto"/>
        <w:outlineLvl w:val="9"/>
        <w:rPr>
          <w:rFonts w:hint="eastAsia" w:cs="Times New Roman" w:eastAsiaTheme="minorEastAsia"/>
          <w:kern w:val="2"/>
          <w:sz w:val="28"/>
          <w:szCs w:val="28"/>
          <w:lang w:eastAsia="zh-CN"/>
        </w:rPr>
      </w:pPr>
      <w:r>
        <w:rPr>
          <w:rFonts w:cs="Times New Roman"/>
          <w:kern w:val="2"/>
          <w:sz w:val="28"/>
          <w:szCs w:val="28"/>
        </w:rPr>
        <w:t>二、</w:t>
      </w:r>
      <w:r>
        <w:rPr>
          <w:rFonts w:hint="eastAsia" w:cs="Times New Roman"/>
          <w:kern w:val="2"/>
          <w:sz w:val="28"/>
          <w:szCs w:val="28"/>
          <w:lang w:eastAsia="zh-CN"/>
        </w:rPr>
        <w:t>部门</w:t>
      </w:r>
      <w:r>
        <w:rPr>
          <w:rFonts w:cs="Times New Roman"/>
          <w:kern w:val="2"/>
          <w:sz w:val="28"/>
          <w:szCs w:val="28"/>
        </w:rPr>
        <w:t>收入</w:t>
      </w:r>
      <w:r>
        <w:rPr>
          <w:rFonts w:hint="eastAsia" w:cs="Times New Roman"/>
          <w:kern w:val="2"/>
          <w:sz w:val="28"/>
          <w:szCs w:val="28"/>
          <w:lang w:eastAsia="zh-CN"/>
        </w:rPr>
        <w:t>总表</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firstLine="560" w:firstLineChars="200"/>
        <w:jc w:val="both"/>
        <w:textAlignment w:val="auto"/>
        <w:outlineLvl w:val="9"/>
        <w:rPr>
          <w:rFonts w:cs="Times New Roman"/>
          <w:kern w:val="2"/>
          <w:sz w:val="28"/>
          <w:szCs w:val="28"/>
        </w:rPr>
      </w:pPr>
      <w:r>
        <w:rPr>
          <w:rFonts w:cs="Times New Roman"/>
          <w:kern w:val="2"/>
          <w:sz w:val="28"/>
          <w:szCs w:val="28"/>
        </w:rPr>
        <w:t>三、</w:t>
      </w:r>
      <w:r>
        <w:rPr>
          <w:rFonts w:hint="eastAsia" w:cs="Times New Roman"/>
          <w:kern w:val="2"/>
          <w:sz w:val="28"/>
          <w:szCs w:val="28"/>
          <w:lang w:eastAsia="zh-CN"/>
        </w:rPr>
        <w:t>部门</w:t>
      </w:r>
      <w:r>
        <w:rPr>
          <w:rFonts w:cs="Times New Roman"/>
          <w:kern w:val="2"/>
          <w:sz w:val="28"/>
          <w:szCs w:val="28"/>
        </w:rPr>
        <w:t>支出</w:t>
      </w:r>
      <w:r>
        <w:rPr>
          <w:rFonts w:hint="eastAsia" w:cs="Times New Roman"/>
          <w:kern w:val="2"/>
          <w:sz w:val="28"/>
          <w:szCs w:val="28"/>
          <w:lang w:eastAsia="zh-CN"/>
        </w:rPr>
        <w:t>总</w:t>
      </w:r>
      <w:r>
        <w:rPr>
          <w:rFonts w:cs="Times New Roman"/>
          <w:kern w:val="2"/>
          <w:sz w:val="28"/>
          <w:szCs w:val="28"/>
        </w:rPr>
        <w:t>表</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firstLine="560" w:firstLineChars="200"/>
        <w:jc w:val="both"/>
        <w:textAlignment w:val="auto"/>
        <w:outlineLvl w:val="9"/>
        <w:rPr>
          <w:rFonts w:hint="eastAsia" w:cs="Times New Roman"/>
          <w:kern w:val="2"/>
          <w:sz w:val="28"/>
          <w:szCs w:val="28"/>
          <w:lang w:eastAsia="zh-CN"/>
        </w:rPr>
      </w:pPr>
      <w:r>
        <w:rPr>
          <w:rFonts w:cs="Times New Roman"/>
          <w:kern w:val="2"/>
          <w:sz w:val="28"/>
          <w:szCs w:val="28"/>
        </w:rPr>
        <w:t>四、</w:t>
      </w:r>
      <w:r>
        <w:rPr>
          <w:rFonts w:hint="eastAsia" w:cs="Times New Roman"/>
          <w:kern w:val="2"/>
          <w:sz w:val="28"/>
          <w:szCs w:val="28"/>
          <w:lang w:eastAsia="zh-CN"/>
        </w:rPr>
        <w:t>财政拨款收支总表</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firstLine="560" w:firstLineChars="200"/>
        <w:jc w:val="both"/>
        <w:textAlignment w:val="auto"/>
        <w:outlineLvl w:val="9"/>
        <w:rPr>
          <w:rFonts w:cs="Times New Roman"/>
          <w:kern w:val="2"/>
          <w:sz w:val="28"/>
          <w:szCs w:val="28"/>
        </w:rPr>
      </w:pPr>
      <w:r>
        <w:rPr>
          <w:rFonts w:cs="Times New Roman"/>
          <w:kern w:val="2"/>
          <w:sz w:val="28"/>
          <w:szCs w:val="28"/>
        </w:rPr>
        <w:t>五、一般公共预算支出表</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firstLine="560" w:firstLineChars="200"/>
        <w:jc w:val="both"/>
        <w:textAlignment w:val="auto"/>
        <w:outlineLvl w:val="9"/>
        <w:rPr>
          <w:rFonts w:cs="Times New Roman"/>
          <w:kern w:val="2"/>
          <w:sz w:val="28"/>
          <w:szCs w:val="28"/>
        </w:rPr>
      </w:pPr>
      <w:r>
        <w:rPr>
          <w:rFonts w:cs="Times New Roman"/>
          <w:kern w:val="2"/>
          <w:sz w:val="28"/>
          <w:szCs w:val="28"/>
        </w:rPr>
        <w:t>六、一般公共预算</w:t>
      </w:r>
      <w:r>
        <w:rPr>
          <w:rFonts w:hint="eastAsia" w:cs="Times New Roman"/>
          <w:kern w:val="2"/>
          <w:sz w:val="28"/>
          <w:szCs w:val="28"/>
          <w:lang w:eastAsia="zh-CN"/>
        </w:rPr>
        <w:t>基本</w:t>
      </w:r>
      <w:r>
        <w:rPr>
          <w:rFonts w:cs="Times New Roman"/>
          <w:kern w:val="2"/>
          <w:sz w:val="28"/>
          <w:szCs w:val="28"/>
        </w:rPr>
        <w:t>支出表</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firstLine="560" w:firstLineChars="200"/>
        <w:jc w:val="both"/>
        <w:textAlignment w:val="auto"/>
        <w:outlineLvl w:val="9"/>
        <w:rPr>
          <w:rFonts w:cs="Times New Roman"/>
          <w:kern w:val="2"/>
          <w:sz w:val="28"/>
          <w:szCs w:val="28"/>
        </w:rPr>
      </w:pPr>
      <w:r>
        <w:rPr>
          <w:rFonts w:cs="Times New Roman"/>
          <w:kern w:val="2"/>
          <w:sz w:val="28"/>
          <w:szCs w:val="28"/>
        </w:rPr>
        <w:t>七、一般公共预算“三公”经费支出表</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firstLine="560" w:firstLineChars="200"/>
        <w:jc w:val="both"/>
        <w:textAlignment w:val="auto"/>
        <w:outlineLvl w:val="9"/>
        <w:rPr>
          <w:rFonts w:cs="Times New Roman"/>
          <w:kern w:val="2"/>
          <w:sz w:val="28"/>
          <w:szCs w:val="28"/>
        </w:rPr>
      </w:pPr>
      <w:r>
        <w:rPr>
          <w:rFonts w:cs="Times New Roman"/>
          <w:kern w:val="2"/>
          <w:sz w:val="28"/>
          <w:szCs w:val="28"/>
        </w:rPr>
        <w:t>八、政府性基金预算支出表</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firstLine="560" w:firstLineChars="200"/>
        <w:jc w:val="both"/>
        <w:textAlignment w:val="auto"/>
        <w:outlineLvl w:val="9"/>
        <w:rPr>
          <w:rFonts w:hint="default" w:cs="Times New Roman" w:eastAsiaTheme="minorEastAsia"/>
          <w:kern w:val="2"/>
          <w:sz w:val="28"/>
          <w:szCs w:val="28"/>
          <w:lang w:val="en-US" w:eastAsia="zh-CN"/>
        </w:rPr>
      </w:pPr>
      <w:r>
        <w:rPr>
          <w:rFonts w:hint="eastAsia" w:cs="Times New Roman"/>
          <w:kern w:val="2"/>
          <w:sz w:val="28"/>
          <w:szCs w:val="28"/>
          <w:lang w:eastAsia="zh-CN"/>
        </w:rPr>
        <w:t>九、国有资本经营预算支出表</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firstLine="560" w:firstLineChars="200"/>
        <w:jc w:val="both"/>
        <w:textAlignment w:val="auto"/>
        <w:outlineLvl w:val="9"/>
        <w:rPr>
          <w:rFonts w:hint="eastAsia" w:cs="Times New Roman"/>
          <w:kern w:val="2"/>
          <w:sz w:val="28"/>
          <w:szCs w:val="28"/>
          <w:lang w:eastAsia="zh-CN"/>
        </w:rPr>
      </w:pPr>
      <w:r>
        <w:rPr>
          <w:rFonts w:hint="eastAsia" w:cs="Times New Roman"/>
          <w:kern w:val="2"/>
          <w:sz w:val="28"/>
          <w:szCs w:val="28"/>
          <w:lang w:eastAsia="zh-CN"/>
        </w:rPr>
        <w:t>十、部门整体支出绩效目标表</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firstLine="560" w:firstLineChars="200"/>
        <w:jc w:val="both"/>
        <w:textAlignment w:val="auto"/>
        <w:outlineLvl w:val="9"/>
        <w:rPr>
          <w:rFonts w:hint="eastAsia" w:cs="Times New Roman"/>
          <w:kern w:val="2"/>
          <w:sz w:val="28"/>
          <w:szCs w:val="28"/>
          <w:lang w:eastAsia="zh-CN"/>
        </w:rPr>
      </w:pPr>
      <w:r>
        <w:rPr>
          <w:rFonts w:hint="eastAsia" w:cs="Times New Roman"/>
          <w:kern w:val="2"/>
          <w:sz w:val="28"/>
          <w:szCs w:val="28"/>
          <w:lang w:eastAsia="zh-CN"/>
        </w:rPr>
        <w:t>十一、项目支出绩效目标表</w:t>
      </w:r>
    </w:p>
    <w:p>
      <w:pPr>
        <w:pStyle w:val="8"/>
        <w:adjustRightInd w:val="0"/>
        <w:snapToGrid w:val="0"/>
        <w:spacing w:before="0" w:beforeAutospacing="0" w:after="0" w:afterAutospacing="0" w:line="700" w:lineRule="exact"/>
        <w:ind w:firstLine="602" w:firstLineChars="200"/>
        <w:rPr>
          <w:rFonts w:hint="eastAsia"/>
          <w:b/>
          <w:bCs/>
          <w:sz w:val="30"/>
          <w:szCs w:val="30"/>
          <w:lang w:eastAsia="zh-CN"/>
        </w:rPr>
      </w:pPr>
      <w:r>
        <w:rPr>
          <w:rFonts w:hint="eastAsia"/>
          <w:b/>
          <w:bCs/>
          <w:sz w:val="30"/>
          <w:szCs w:val="30"/>
        </w:rPr>
        <w:t>第</w:t>
      </w:r>
      <w:r>
        <w:rPr>
          <w:rFonts w:hint="eastAsia"/>
          <w:b/>
          <w:bCs/>
          <w:sz w:val="30"/>
          <w:szCs w:val="30"/>
          <w:lang w:eastAsia="zh-CN"/>
        </w:rPr>
        <w:t>四</w:t>
      </w:r>
      <w:r>
        <w:rPr>
          <w:rFonts w:hint="eastAsia"/>
          <w:b/>
          <w:bCs/>
          <w:sz w:val="30"/>
          <w:szCs w:val="30"/>
        </w:rPr>
        <w:t xml:space="preserve">部分 </w:t>
      </w:r>
      <w:r>
        <w:rPr>
          <w:rFonts w:hint="eastAsia"/>
          <w:b/>
          <w:bCs/>
          <w:sz w:val="30"/>
          <w:szCs w:val="30"/>
          <w:lang w:eastAsia="zh-CN"/>
        </w:rPr>
        <w:t>名词解释</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600" w:lineRule="exact"/>
        <w:jc w:val="center"/>
        <w:textAlignment w:val="auto"/>
        <w:outlineLvl w:val="9"/>
        <w:rPr>
          <w:b/>
          <w:bCs/>
          <w:sz w:val="32"/>
          <w:szCs w:val="32"/>
        </w:rPr>
      </w:pPr>
      <w:r>
        <w:rPr>
          <w:rFonts w:hint="eastAsia"/>
          <w:b/>
          <w:bCs/>
          <w:sz w:val="32"/>
          <w:szCs w:val="32"/>
        </w:rPr>
        <w:t>第一部分 兴国县</w:t>
      </w:r>
      <w:r>
        <w:rPr>
          <w:rFonts w:hint="eastAsia"/>
          <w:b/>
          <w:bCs/>
          <w:sz w:val="32"/>
          <w:szCs w:val="32"/>
          <w:lang w:eastAsia="zh-CN"/>
        </w:rPr>
        <w:t>住房和</w:t>
      </w:r>
      <w:r>
        <w:rPr>
          <w:rFonts w:hint="eastAsia"/>
          <w:b/>
          <w:bCs/>
          <w:sz w:val="32"/>
          <w:szCs w:val="32"/>
        </w:rPr>
        <w:t>城乡建设局</w:t>
      </w:r>
      <w:r>
        <w:rPr>
          <w:rFonts w:hint="eastAsia"/>
          <w:b/>
          <w:bCs/>
          <w:sz w:val="32"/>
          <w:szCs w:val="32"/>
          <w:lang w:eastAsia="zh-CN"/>
        </w:rPr>
        <w:t>部门</w:t>
      </w:r>
      <w:r>
        <w:rPr>
          <w:rFonts w:hint="eastAsia"/>
          <w:b/>
          <w:bCs/>
          <w:sz w:val="32"/>
          <w:szCs w:val="32"/>
        </w:rPr>
        <w:t>概况</w:t>
      </w:r>
    </w:p>
    <w:p>
      <w:pPr>
        <w:pStyle w:val="8"/>
        <w:adjustRightInd w:val="0"/>
        <w:snapToGrid w:val="0"/>
        <w:spacing w:before="0" w:beforeAutospacing="0" w:after="0" w:afterAutospacing="0" w:line="700" w:lineRule="exact"/>
        <w:ind w:firstLine="602" w:firstLineChars="200"/>
        <w:rPr>
          <w:rFonts w:hint="eastAsia" w:cs="Times New Roman"/>
          <w:kern w:val="2"/>
          <w:sz w:val="30"/>
          <w:szCs w:val="30"/>
        </w:rPr>
      </w:pPr>
      <w:r>
        <w:rPr>
          <w:rFonts w:cs="Times New Roman"/>
          <w:b/>
          <w:bCs/>
          <w:kern w:val="2"/>
          <w:sz w:val="30"/>
          <w:szCs w:val="30"/>
        </w:rPr>
        <w:t>一、</w:t>
      </w:r>
      <w:r>
        <w:rPr>
          <w:rFonts w:hint="eastAsia" w:cs="Times New Roman"/>
          <w:b/>
          <w:bCs/>
          <w:kern w:val="2"/>
          <w:sz w:val="30"/>
          <w:szCs w:val="30"/>
          <w:lang w:eastAsia="zh-CN"/>
        </w:rPr>
        <w:t>部门</w:t>
      </w:r>
      <w:r>
        <w:rPr>
          <w:b/>
          <w:bCs/>
          <w:sz w:val="30"/>
          <w:szCs w:val="30"/>
        </w:rPr>
        <w:t>主要职</w:t>
      </w:r>
      <w:r>
        <w:rPr>
          <w:rFonts w:cs="Times New Roman"/>
          <w:b/>
          <w:bCs/>
          <w:kern w:val="2"/>
          <w:sz w:val="30"/>
          <w:szCs w:val="30"/>
        </w:rPr>
        <w:t>能</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color w:val="333333"/>
          <w:sz w:val="28"/>
          <w:szCs w:val="28"/>
          <w:lang w:eastAsia="zh-CN"/>
        </w:rPr>
      </w:pPr>
      <w:r>
        <w:rPr>
          <w:rFonts w:hint="eastAsia"/>
          <w:color w:val="333333"/>
          <w:sz w:val="28"/>
          <w:szCs w:val="28"/>
        </w:rPr>
        <w:t>（一）贯彻执行国家、省、市、县关于</w:t>
      </w:r>
      <w:r>
        <w:rPr>
          <w:rFonts w:hint="eastAsia"/>
          <w:color w:val="333333"/>
          <w:sz w:val="28"/>
          <w:szCs w:val="28"/>
          <w:lang w:eastAsia="zh-CN"/>
        </w:rPr>
        <w:t>住房和</w:t>
      </w:r>
      <w:r>
        <w:rPr>
          <w:rFonts w:hint="eastAsia"/>
          <w:color w:val="333333"/>
          <w:sz w:val="28"/>
          <w:szCs w:val="28"/>
        </w:rPr>
        <w:t>城乡建设事业的方针政策和法律法规、</w:t>
      </w:r>
      <w:r>
        <w:rPr>
          <w:rFonts w:hint="eastAsia"/>
          <w:color w:val="333333"/>
          <w:sz w:val="28"/>
          <w:szCs w:val="28"/>
          <w:lang w:eastAsia="zh-CN"/>
        </w:rPr>
        <w:t>研究拟定全县房地产行业、城市建设、村镇建设、工程建设、建筑业、勘察设计咨询业、建筑节能与科技进步、市政公用事业、人民防空的规范性文件及相关发展战略、中长期规划、改革方案并组织实施。</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color w:val="333333"/>
          <w:sz w:val="28"/>
          <w:szCs w:val="28"/>
        </w:rPr>
      </w:pPr>
      <w:r>
        <w:rPr>
          <w:rFonts w:hint="eastAsia"/>
          <w:color w:val="333333"/>
          <w:sz w:val="28"/>
          <w:szCs w:val="28"/>
        </w:rPr>
        <w:t>（二）</w:t>
      </w:r>
      <w:r>
        <w:rPr>
          <w:rFonts w:hint="eastAsia"/>
          <w:color w:val="333333"/>
          <w:sz w:val="28"/>
          <w:szCs w:val="28"/>
          <w:lang w:eastAsia="zh-CN"/>
        </w:rPr>
        <w:t>负责全县住房和城乡建设以及人民防空行政审批事项办理和服务工作</w:t>
      </w:r>
      <w:r>
        <w:rPr>
          <w:rFonts w:hint="eastAsia"/>
          <w:color w:val="333333"/>
          <w:sz w:val="28"/>
          <w:szCs w:val="28"/>
        </w:rPr>
        <w:t>。</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color w:val="333333"/>
          <w:sz w:val="28"/>
          <w:szCs w:val="28"/>
          <w:lang w:eastAsia="zh-CN"/>
        </w:rPr>
      </w:pPr>
      <w:r>
        <w:rPr>
          <w:rFonts w:hint="eastAsia"/>
          <w:color w:val="333333"/>
          <w:sz w:val="28"/>
          <w:szCs w:val="28"/>
        </w:rPr>
        <w:t>（三）</w:t>
      </w:r>
      <w:r>
        <w:rPr>
          <w:rFonts w:hint="eastAsia"/>
          <w:color w:val="333333"/>
          <w:sz w:val="28"/>
          <w:szCs w:val="28"/>
          <w:lang w:eastAsia="zh-CN"/>
        </w:rPr>
        <w:t>负责保障全县城镇低收入家庭和政策性住房工作。拟定住房保障相关政策，编制住房保障发展规划和年度计划。负责城区保障性住房和直管公房经营的监督管理，会同有关部门做好全县有关公共租赁住房资金安排、监督管理。</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color w:val="333333"/>
          <w:sz w:val="28"/>
          <w:szCs w:val="28"/>
          <w:lang w:eastAsia="zh-CN"/>
        </w:rPr>
      </w:pPr>
      <w:r>
        <w:rPr>
          <w:rFonts w:hint="eastAsia"/>
          <w:color w:val="333333"/>
          <w:sz w:val="28"/>
          <w:szCs w:val="28"/>
        </w:rPr>
        <w:t>（四）</w:t>
      </w:r>
      <w:r>
        <w:rPr>
          <w:rFonts w:hint="eastAsia"/>
          <w:color w:val="333333"/>
          <w:sz w:val="28"/>
          <w:szCs w:val="28"/>
          <w:lang w:eastAsia="zh-CN"/>
        </w:rPr>
        <w:t>负责全县住房制度改革工作。拟定住房制度改革相关政策及配套措施，指导乡镇（区）住房制度改革。研究提出住房和城乡建设重大问题的政策建议。</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eastAsia="宋体"/>
          <w:color w:val="333333"/>
          <w:sz w:val="28"/>
          <w:szCs w:val="28"/>
          <w:lang w:eastAsia="zh-CN"/>
        </w:rPr>
      </w:pPr>
      <w:r>
        <w:rPr>
          <w:rFonts w:hint="eastAsia"/>
          <w:color w:val="333333"/>
          <w:sz w:val="28"/>
          <w:szCs w:val="28"/>
        </w:rPr>
        <w:t>（五）负责</w:t>
      </w:r>
      <w:r>
        <w:rPr>
          <w:rFonts w:hint="eastAsia"/>
          <w:color w:val="333333"/>
          <w:sz w:val="28"/>
          <w:szCs w:val="28"/>
          <w:lang w:eastAsia="zh-CN"/>
        </w:rPr>
        <w:t>规范</w:t>
      </w:r>
      <w:r>
        <w:rPr>
          <w:rFonts w:hint="eastAsia"/>
          <w:color w:val="333333"/>
          <w:sz w:val="28"/>
          <w:szCs w:val="28"/>
        </w:rPr>
        <w:t>全县</w:t>
      </w:r>
      <w:r>
        <w:rPr>
          <w:rFonts w:hint="eastAsia"/>
          <w:color w:val="333333"/>
          <w:sz w:val="28"/>
          <w:szCs w:val="28"/>
          <w:lang w:eastAsia="zh-CN"/>
        </w:rPr>
        <w:t>房地产市场秩序、监督管理房地产市场工作；负责全县房地产开发企业开发经营和房地产测绘及其成果运用的监督管理工作；会同或配合有关部门组织拟订房地产市场监督执行，制定房地产开发、房屋交易、房屋租赁、房屋面积管理、房地产估价与经纪管理、物业管理、房屋征收、住房专项维修资金管理等方面的制度并监督执行。</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color w:val="333333"/>
          <w:sz w:val="28"/>
          <w:szCs w:val="28"/>
          <w:lang w:eastAsia="zh-CN"/>
        </w:rPr>
      </w:pPr>
      <w:r>
        <w:rPr>
          <w:rFonts w:hint="eastAsia"/>
          <w:color w:val="333333"/>
          <w:sz w:val="28"/>
          <w:szCs w:val="28"/>
        </w:rPr>
        <w:t>（六）负责推进全县建筑行业节能</w:t>
      </w:r>
      <w:r>
        <w:rPr>
          <w:rFonts w:hint="eastAsia"/>
          <w:color w:val="333333"/>
          <w:sz w:val="28"/>
          <w:szCs w:val="28"/>
          <w:lang w:eastAsia="zh-CN"/>
        </w:rPr>
        <w:t>、城镇</w:t>
      </w:r>
      <w:r>
        <w:rPr>
          <w:rFonts w:hint="eastAsia"/>
          <w:color w:val="333333"/>
          <w:sz w:val="28"/>
          <w:szCs w:val="28"/>
        </w:rPr>
        <w:t>减排工作</w:t>
      </w:r>
      <w:r>
        <w:rPr>
          <w:rFonts w:hint="eastAsia"/>
          <w:color w:val="333333"/>
          <w:sz w:val="28"/>
          <w:szCs w:val="28"/>
          <w:lang w:eastAsia="zh-CN"/>
        </w:rPr>
        <w:t>，推广绿色建筑和装配式建筑。会同有关部门拟定建筑节能的政策、规划并监督实施，组织实施重大节能项目，推进城镇减排。</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color w:val="333333"/>
          <w:sz w:val="28"/>
          <w:szCs w:val="28"/>
        </w:rPr>
      </w:pPr>
      <w:r>
        <w:rPr>
          <w:rFonts w:hint="eastAsia"/>
          <w:color w:val="333333"/>
          <w:sz w:val="28"/>
          <w:szCs w:val="28"/>
        </w:rPr>
        <w:t>（七）指导全县村镇规划建设管理工作。拟定小城镇和村庄建设政策并指导实施，指导村镇规划的编制、农村住房建设及危房改造，指导小城镇和村庄人居生态环境改善工作，指导全县重点镇、示范镇建设。</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color w:val="333333"/>
          <w:sz w:val="28"/>
          <w:szCs w:val="28"/>
          <w:lang w:val="en-US" w:eastAsia="zh-CN"/>
        </w:rPr>
      </w:pPr>
      <w:r>
        <w:rPr>
          <w:rFonts w:hint="eastAsia"/>
          <w:color w:val="333333"/>
          <w:sz w:val="28"/>
          <w:szCs w:val="28"/>
        </w:rPr>
        <w:t>（八）</w:t>
      </w:r>
      <w:r>
        <w:rPr>
          <w:rFonts w:hint="eastAsia"/>
          <w:color w:val="333333"/>
          <w:sz w:val="28"/>
          <w:szCs w:val="28"/>
          <w:lang w:eastAsia="zh-CN"/>
        </w:rPr>
        <w:t>监督管理全县建筑市场，规范市场各方主体行为。负责全县建筑工程质量安全监督管理工作；综合负责全县建筑业行业管理，规范建筑市场；负责一般性工业与民用建筑工程造价、工程定额和费用标准的管理；负责全县建筑装饰装修行业管理；指导和监督管理建筑市场准入、工程招标投标、工程监理、工程质量与施工安全；拟定施工、建设监理、建筑工程质量、建筑安全生产和竣工验收备案、工程质量检测管理的规范性文件并监督实施；参与指导预拌混凝土、预拌砂浆等建筑材料的管理；组织协调建设行业对外经济技术合作。</w:t>
      </w:r>
      <w:r>
        <w:rPr>
          <w:rFonts w:hint="eastAsia"/>
          <w:color w:val="333333"/>
          <w:sz w:val="28"/>
          <w:szCs w:val="28"/>
          <w:lang w:val="en-US" w:eastAsia="zh-CN"/>
        </w:rPr>
        <w:t xml:space="preserve"> </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color w:val="333333"/>
          <w:sz w:val="28"/>
          <w:szCs w:val="28"/>
        </w:rPr>
      </w:pPr>
      <w:r>
        <w:rPr>
          <w:rFonts w:hint="eastAsia"/>
          <w:color w:val="333333"/>
          <w:sz w:val="28"/>
          <w:szCs w:val="28"/>
        </w:rPr>
        <w:t>（</w:t>
      </w:r>
      <w:r>
        <w:rPr>
          <w:rFonts w:cs="Times New Roman"/>
          <w:kern w:val="2"/>
          <w:sz w:val="28"/>
          <w:szCs w:val="28"/>
        </w:rPr>
        <w:t>九</w:t>
      </w:r>
      <w:r>
        <w:rPr>
          <w:rFonts w:hint="eastAsia"/>
          <w:color w:val="333333"/>
          <w:sz w:val="28"/>
          <w:szCs w:val="28"/>
        </w:rPr>
        <w:t>）负责全县</w:t>
      </w:r>
      <w:r>
        <w:rPr>
          <w:rFonts w:hint="eastAsia"/>
          <w:color w:val="333333"/>
          <w:sz w:val="28"/>
          <w:szCs w:val="28"/>
          <w:lang w:eastAsia="zh-CN"/>
        </w:rPr>
        <w:t>住房</w:t>
      </w:r>
      <w:r>
        <w:rPr>
          <w:rFonts w:hint="eastAsia"/>
          <w:color w:val="333333"/>
          <w:sz w:val="28"/>
          <w:szCs w:val="28"/>
        </w:rPr>
        <w:t>和</w:t>
      </w:r>
      <w:r>
        <w:rPr>
          <w:rFonts w:hint="eastAsia"/>
          <w:color w:val="333333"/>
          <w:sz w:val="28"/>
          <w:szCs w:val="28"/>
          <w:lang w:eastAsia="zh-CN"/>
        </w:rPr>
        <w:t>城乡</w:t>
      </w:r>
      <w:r>
        <w:rPr>
          <w:rFonts w:hint="eastAsia"/>
          <w:color w:val="333333"/>
          <w:sz w:val="28"/>
          <w:szCs w:val="28"/>
        </w:rPr>
        <w:t>建设的执法监察工作。</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color w:val="333333"/>
          <w:sz w:val="28"/>
          <w:szCs w:val="28"/>
          <w:lang w:eastAsia="zh-CN"/>
        </w:rPr>
      </w:pPr>
      <w:r>
        <w:rPr>
          <w:rFonts w:hint="eastAsia"/>
          <w:color w:val="333333"/>
          <w:sz w:val="28"/>
          <w:szCs w:val="28"/>
        </w:rPr>
        <w:t>（十）</w:t>
      </w:r>
      <w:r>
        <w:rPr>
          <w:rFonts w:hint="eastAsia"/>
          <w:color w:val="333333"/>
          <w:sz w:val="28"/>
          <w:szCs w:val="28"/>
          <w:lang w:eastAsia="zh-CN"/>
        </w:rPr>
        <w:t>负责住房和城乡建设领域的安全生产监管工作，督促相关单位落实好行业安全生产责任制。</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color w:val="333333"/>
          <w:spacing w:val="-4"/>
          <w:sz w:val="28"/>
          <w:szCs w:val="28"/>
          <w:lang w:eastAsia="zh-CN"/>
        </w:rPr>
      </w:pPr>
      <w:r>
        <w:rPr>
          <w:rFonts w:hint="eastAsia"/>
          <w:color w:val="333333"/>
          <w:spacing w:val="-4"/>
          <w:sz w:val="28"/>
          <w:szCs w:val="28"/>
        </w:rPr>
        <w:t>（十一）负责</w:t>
      </w:r>
      <w:r>
        <w:rPr>
          <w:rFonts w:hint="eastAsia"/>
          <w:color w:val="333333"/>
          <w:spacing w:val="-4"/>
          <w:sz w:val="28"/>
          <w:szCs w:val="28"/>
          <w:lang w:eastAsia="zh-CN"/>
        </w:rPr>
        <w:t>住房和城乡建设领域生态环境保护和节能减排工作，督促指导相关单位落实生态环境保护责任制。</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color w:val="333333"/>
          <w:sz w:val="28"/>
          <w:szCs w:val="28"/>
        </w:rPr>
      </w:pPr>
      <w:r>
        <w:rPr>
          <w:rFonts w:hint="eastAsia"/>
          <w:color w:val="333333"/>
          <w:sz w:val="28"/>
          <w:szCs w:val="28"/>
        </w:rPr>
        <w:t>（十二）</w:t>
      </w:r>
      <w:r>
        <w:rPr>
          <w:rFonts w:hint="eastAsia"/>
          <w:color w:val="333333"/>
          <w:sz w:val="28"/>
          <w:szCs w:val="28"/>
          <w:lang w:eastAsia="zh-CN"/>
        </w:rPr>
        <w:t>完成</w:t>
      </w:r>
      <w:r>
        <w:rPr>
          <w:rFonts w:hint="eastAsia"/>
          <w:color w:val="333333"/>
          <w:sz w:val="28"/>
          <w:szCs w:val="28"/>
        </w:rPr>
        <w:t>县委、县政府交办的其它工作</w:t>
      </w:r>
      <w:r>
        <w:rPr>
          <w:rFonts w:hint="eastAsia"/>
          <w:color w:val="333333"/>
          <w:sz w:val="28"/>
          <w:szCs w:val="28"/>
          <w:lang w:eastAsia="zh-CN"/>
        </w:rPr>
        <w:t>任务</w:t>
      </w:r>
      <w:r>
        <w:rPr>
          <w:rFonts w:hint="eastAsia"/>
          <w:color w:val="333333"/>
          <w:sz w:val="28"/>
          <w:szCs w:val="28"/>
        </w:rPr>
        <w:t>。</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602" w:firstLineChars="200"/>
        <w:textAlignment w:val="auto"/>
        <w:rPr>
          <w:rFonts w:hint="eastAsia" w:cs="Times New Roman"/>
          <w:b/>
          <w:bCs/>
          <w:kern w:val="2"/>
          <w:sz w:val="30"/>
          <w:szCs w:val="30"/>
        </w:rPr>
      </w:pP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602" w:firstLineChars="200"/>
        <w:textAlignment w:val="auto"/>
        <w:rPr>
          <w:rFonts w:hint="eastAsia" w:eastAsia="宋体"/>
          <w:sz w:val="28"/>
          <w:szCs w:val="28"/>
          <w:lang w:val="en-US" w:eastAsia="zh-CN"/>
        </w:rPr>
      </w:pPr>
      <w:r>
        <w:rPr>
          <w:rFonts w:hint="eastAsia" w:cs="Times New Roman"/>
          <w:b/>
          <w:bCs/>
          <w:kern w:val="2"/>
          <w:sz w:val="30"/>
          <w:szCs w:val="30"/>
        </w:rPr>
        <w:t>二、</w:t>
      </w:r>
      <w:r>
        <w:rPr>
          <w:rFonts w:hint="eastAsia" w:cs="Times New Roman"/>
          <w:b/>
          <w:bCs/>
          <w:kern w:val="2"/>
          <w:sz w:val="30"/>
          <w:szCs w:val="30"/>
          <w:lang w:eastAsia="zh-CN"/>
        </w:rPr>
        <w:t>部门基本情况</w:t>
      </w:r>
    </w:p>
    <w:p>
      <w:pPr>
        <w:spacing w:line="600" w:lineRule="exact"/>
        <w:ind w:firstLine="600" w:firstLineChars="200"/>
        <w:rPr>
          <w:rFonts w:hint="eastAsia" w:ascii="宋体" w:hAnsi="宋体" w:eastAsia="宋体" w:cs="宋体"/>
          <w:color w:val="000000"/>
          <w:kern w:val="0"/>
          <w:sz w:val="30"/>
          <w:szCs w:val="30"/>
        </w:rPr>
      </w:pPr>
      <w:r>
        <w:rPr>
          <w:rFonts w:hint="eastAsia" w:ascii="宋体" w:hAnsi="宋体" w:eastAsia="宋体" w:cs="宋体"/>
          <w:color w:val="000000"/>
          <w:kern w:val="0"/>
          <w:sz w:val="30"/>
          <w:szCs w:val="30"/>
          <w:lang w:eastAsia="zh-CN"/>
        </w:rPr>
        <w:t>（一）</w:t>
      </w:r>
      <w:r>
        <w:rPr>
          <w:rFonts w:hint="eastAsia" w:ascii="宋体" w:hAnsi="宋体" w:eastAsia="宋体" w:cs="宋体"/>
          <w:color w:val="000000"/>
          <w:kern w:val="0"/>
          <w:sz w:val="30"/>
          <w:szCs w:val="30"/>
        </w:rPr>
        <w:t>兴国县住房和城乡建设局</w:t>
      </w:r>
      <w:r>
        <w:rPr>
          <w:rFonts w:hint="eastAsia" w:ascii="宋体" w:hAnsi="宋体" w:eastAsia="宋体" w:cs="宋体"/>
          <w:color w:val="000000"/>
          <w:kern w:val="0"/>
          <w:sz w:val="30"/>
          <w:szCs w:val="30"/>
          <w:lang w:eastAsia="zh-CN"/>
        </w:rPr>
        <w:t>部门</w:t>
      </w:r>
      <w:r>
        <w:rPr>
          <w:rFonts w:hint="eastAsia" w:ascii="宋体" w:hAnsi="宋体" w:eastAsia="宋体" w:cs="宋体"/>
          <w:color w:val="000000"/>
          <w:kern w:val="0"/>
          <w:sz w:val="30"/>
          <w:szCs w:val="30"/>
        </w:rPr>
        <w:t>共有预算单位</w:t>
      </w:r>
      <w:r>
        <w:rPr>
          <w:rFonts w:hint="eastAsia" w:ascii="宋体" w:hAnsi="宋体" w:eastAsia="宋体" w:cs="宋体"/>
          <w:color w:val="000000"/>
          <w:kern w:val="0"/>
          <w:sz w:val="30"/>
          <w:szCs w:val="30"/>
          <w:lang w:val="en-US" w:eastAsia="zh-CN"/>
        </w:rPr>
        <w:t>2</w:t>
      </w:r>
      <w:r>
        <w:rPr>
          <w:rFonts w:hint="eastAsia" w:ascii="宋体" w:hAnsi="宋体" w:eastAsia="宋体" w:cs="宋体"/>
          <w:color w:val="000000"/>
          <w:kern w:val="0"/>
          <w:sz w:val="30"/>
          <w:szCs w:val="30"/>
        </w:rPr>
        <w:t>个，包括：兴国县住建局本级</w:t>
      </w:r>
      <w:r>
        <w:rPr>
          <w:rFonts w:hint="eastAsia" w:ascii="宋体" w:hAnsi="宋体" w:eastAsia="宋体" w:cs="宋体"/>
          <w:color w:val="000000"/>
          <w:kern w:val="0"/>
          <w:sz w:val="30"/>
          <w:szCs w:val="30"/>
          <w:lang w:eastAsia="zh-CN"/>
        </w:rPr>
        <w:t>、兴国县城镇发展服务中心。</w:t>
      </w:r>
      <w:r>
        <w:rPr>
          <w:rFonts w:hint="eastAsia" w:ascii="宋体" w:hAnsi="宋体" w:eastAsia="宋体" w:cs="宋体"/>
          <w:color w:val="000000"/>
          <w:kern w:val="0"/>
          <w:sz w:val="30"/>
          <w:szCs w:val="30"/>
        </w:rPr>
        <w:t>编制人数</w:t>
      </w:r>
      <w:r>
        <w:rPr>
          <w:rFonts w:hint="eastAsia" w:ascii="宋体" w:hAnsi="宋体" w:eastAsia="宋体" w:cs="宋体"/>
          <w:color w:val="000000"/>
          <w:kern w:val="0"/>
          <w:sz w:val="30"/>
          <w:szCs w:val="30"/>
          <w:lang w:val="en-US" w:eastAsia="zh-CN"/>
        </w:rPr>
        <w:t>62</w:t>
      </w:r>
      <w:r>
        <w:rPr>
          <w:rFonts w:hint="eastAsia" w:ascii="宋体" w:hAnsi="宋体" w:eastAsia="宋体" w:cs="宋体"/>
          <w:color w:val="000000"/>
          <w:kern w:val="0"/>
          <w:sz w:val="30"/>
          <w:szCs w:val="30"/>
        </w:rPr>
        <w:t>人，其中：行政编制（含工勤编）2</w:t>
      </w:r>
      <w:r>
        <w:rPr>
          <w:rFonts w:hint="eastAsia" w:ascii="宋体" w:hAnsi="宋体" w:eastAsia="宋体" w:cs="宋体"/>
          <w:color w:val="000000"/>
          <w:kern w:val="0"/>
          <w:sz w:val="30"/>
          <w:szCs w:val="30"/>
          <w:lang w:val="en-US" w:eastAsia="zh-CN"/>
        </w:rPr>
        <w:t>1</w:t>
      </w:r>
      <w:r>
        <w:rPr>
          <w:rFonts w:hint="eastAsia" w:ascii="宋体" w:hAnsi="宋体" w:eastAsia="宋体" w:cs="宋体"/>
          <w:color w:val="000000"/>
          <w:kern w:val="0"/>
          <w:sz w:val="30"/>
          <w:szCs w:val="30"/>
        </w:rPr>
        <w:t>人、事业编制</w:t>
      </w:r>
      <w:r>
        <w:rPr>
          <w:rFonts w:hint="eastAsia" w:ascii="宋体" w:hAnsi="宋体" w:eastAsia="宋体" w:cs="宋体"/>
          <w:color w:val="000000"/>
          <w:kern w:val="0"/>
          <w:sz w:val="30"/>
          <w:szCs w:val="30"/>
          <w:lang w:val="en-US" w:eastAsia="zh-CN"/>
        </w:rPr>
        <w:t>41</w:t>
      </w:r>
      <w:r>
        <w:rPr>
          <w:rFonts w:hint="eastAsia" w:ascii="宋体" w:hAnsi="宋体" w:eastAsia="宋体" w:cs="宋体"/>
          <w:color w:val="000000"/>
          <w:kern w:val="0"/>
          <w:sz w:val="30"/>
          <w:szCs w:val="30"/>
        </w:rPr>
        <w:t>人；遗属补助</w:t>
      </w:r>
      <w:r>
        <w:rPr>
          <w:rFonts w:hint="eastAsia" w:ascii="宋体" w:hAnsi="宋体" w:eastAsia="宋体" w:cs="宋体"/>
          <w:color w:val="000000"/>
          <w:kern w:val="0"/>
          <w:sz w:val="30"/>
          <w:szCs w:val="30"/>
          <w:lang w:val="en-US" w:eastAsia="zh-CN"/>
        </w:rPr>
        <w:t>3</w:t>
      </w:r>
      <w:r>
        <w:rPr>
          <w:rFonts w:hint="eastAsia" w:ascii="宋体" w:hAnsi="宋体" w:eastAsia="宋体" w:cs="宋体"/>
          <w:color w:val="000000"/>
          <w:kern w:val="0"/>
          <w:sz w:val="30"/>
          <w:szCs w:val="30"/>
        </w:rPr>
        <w:t>人，聘用人员</w:t>
      </w:r>
      <w:r>
        <w:rPr>
          <w:rFonts w:hint="eastAsia" w:ascii="宋体" w:hAnsi="宋体" w:eastAsia="宋体" w:cs="宋体"/>
          <w:color w:val="000000"/>
          <w:kern w:val="0"/>
          <w:sz w:val="30"/>
          <w:szCs w:val="30"/>
          <w:lang w:val="en-US" w:eastAsia="zh-CN"/>
        </w:rPr>
        <w:t>23</w:t>
      </w:r>
      <w:r>
        <w:rPr>
          <w:rFonts w:hint="eastAsia" w:ascii="宋体" w:hAnsi="宋体" w:eastAsia="宋体" w:cs="宋体"/>
          <w:color w:val="000000"/>
          <w:kern w:val="0"/>
          <w:sz w:val="30"/>
          <w:szCs w:val="30"/>
        </w:rPr>
        <w:t>人。</w:t>
      </w:r>
    </w:p>
    <w:p>
      <w:pPr>
        <w:spacing w:line="600" w:lineRule="exact"/>
        <w:ind w:firstLine="600" w:firstLineChars="200"/>
        <w:rPr>
          <w:rFonts w:hint="eastAsia" w:ascii="宋体" w:hAnsi="宋体" w:eastAsia="宋体" w:cs="宋体"/>
          <w:color w:val="0000FF"/>
          <w:kern w:val="0"/>
          <w:sz w:val="30"/>
          <w:szCs w:val="30"/>
          <w:lang w:eastAsia="zh-CN"/>
        </w:rPr>
      </w:pPr>
      <w:r>
        <w:rPr>
          <w:rFonts w:hint="eastAsia" w:ascii="宋体" w:hAnsi="宋体" w:eastAsia="宋体" w:cs="宋体"/>
          <w:color w:val="000000"/>
          <w:kern w:val="0"/>
          <w:sz w:val="30"/>
          <w:szCs w:val="30"/>
          <w:lang w:eastAsia="zh-CN"/>
        </w:rPr>
        <w:t>（二）兴国县住房和城乡建设局</w:t>
      </w:r>
      <w:r>
        <w:rPr>
          <w:rFonts w:hint="eastAsia" w:ascii="宋体" w:hAnsi="宋体" w:eastAsia="宋体" w:cs="宋体"/>
          <w:i w:val="0"/>
          <w:iCs w:val="0"/>
          <w:caps w:val="0"/>
          <w:color w:val="333333"/>
          <w:spacing w:val="0"/>
          <w:sz w:val="30"/>
          <w:szCs w:val="30"/>
          <w:shd w:val="clear" w:color="auto" w:fill="FFFFFF"/>
        </w:rPr>
        <w:t>内设7个职能股室</w:t>
      </w:r>
      <w:r>
        <w:rPr>
          <w:rFonts w:hint="eastAsia" w:ascii="宋体" w:hAnsi="宋体" w:eastAsia="宋体" w:cs="宋体"/>
          <w:i w:val="0"/>
          <w:iCs w:val="0"/>
          <w:caps w:val="0"/>
          <w:color w:val="333333"/>
          <w:spacing w:val="0"/>
          <w:sz w:val="30"/>
          <w:szCs w:val="30"/>
          <w:shd w:val="clear" w:color="auto" w:fill="FFFFFF"/>
          <w:lang w:eastAsia="zh-CN"/>
        </w:rPr>
        <w:t>：</w:t>
      </w:r>
      <w:r>
        <w:rPr>
          <w:rFonts w:hint="eastAsia" w:ascii="宋体" w:hAnsi="宋体" w:eastAsia="宋体" w:cs="宋体"/>
          <w:i w:val="0"/>
          <w:iCs w:val="0"/>
          <w:caps w:val="0"/>
          <w:color w:val="333333"/>
          <w:spacing w:val="0"/>
          <w:sz w:val="30"/>
          <w:szCs w:val="30"/>
          <w:shd w:val="clear" w:color="auto" w:fill="FFFFFF"/>
        </w:rPr>
        <w:t>办公室、综合股、住房保障与房地产市场监管股、建筑业监管股、城市建设股、村镇建设股、人民防空股</w:t>
      </w:r>
      <w:r>
        <w:rPr>
          <w:rFonts w:hint="eastAsia" w:ascii="宋体" w:hAnsi="宋体" w:eastAsia="宋体" w:cs="宋体"/>
          <w:i w:val="0"/>
          <w:iCs w:val="0"/>
          <w:caps w:val="0"/>
          <w:color w:val="333333"/>
          <w:spacing w:val="0"/>
          <w:sz w:val="30"/>
          <w:szCs w:val="30"/>
          <w:shd w:val="clear" w:color="auto" w:fill="FFFFFF"/>
          <w:lang w:eastAsia="zh-CN"/>
        </w:rPr>
        <w:t>。</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firstLine="602" w:firstLineChars="200"/>
        <w:jc w:val="both"/>
        <w:textAlignment w:val="auto"/>
        <w:outlineLvl w:val="9"/>
        <w:rPr>
          <w:rFonts w:hint="eastAsia"/>
          <w:b/>
          <w:bCs/>
          <w:sz w:val="30"/>
          <w:szCs w:val="30"/>
        </w:rPr>
      </w:pPr>
    </w:p>
    <w:p/>
    <w:p>
      <w:pPr>
        <w:keepNext w:val="0"/>
        <w:keepLines w:val="0"/>
        <w:pageBreakBefore w:val="0"/>
        <w:widowControl/>
        <w:numPr>
          <w:ilvl w:val="0"/>
          <w:numId w:val="2"/>
        </w:numPr>
        <w:kinsoku/>
        <w:wordWrap/>
        <w:overflowPunct/>
        <w:topLinePunct w:val="0"/>
        <w:autoSpaceDE/>
        <w:autoSpaceDN/>
        <w:bidi w:val="0"/>
        <w:adjustRightInd w:val="0"/>
        <w:snapToGrid w:val="0"/>
        <w:spacing w:before="0" w:beforeAutospacing="0" w:after="95" w:afterLines="30" w:afterAutospacing="0" w:line="560" w:lineRule="exact"/>
        <w:ind w:left="210" w:leftChars="0" w:firstLineChars="0"/>
        <w:jc w:val="center"/>
        <w:textAlignment w:val="auto"/>
        <w:outlineLvl w:val="9"/>
        <w:rPr>
          <w:rFonts w:hint="eastAsia" w:asciiTheme="minorEastAsia" w:hAnsiTheme="minorEastAsia" w:eastAsiaTheme="minorEastAsia" w:cstheme="minorEastAsia"/>
          <w:b/>
          <w:bCs/>
          <w:kern w:val="0"/>
          <w:sz w:val="32"/>
          <w:szCs w:val="32"/>
          <w:lang w:val="en-US" w:eastAsia="zh-CN" w:bidi="ar-SA"/>
        </w:rPr>
      </w:pPr>
      <w:r>
        <w:rPr>
          <w:rFonts w:hint="eastAsia" w:asciiTheme="minorEastAsia" w:hAnsiTheme="minorEastAsia" w:eastAsiaTheme="minorEastAsia" w:cstheme="minorEastAsia"/>
          <w:b/>
          <w:bCs/>
          <w:kern w:val="0"/>
          <w:sz w:val="32"/>
          <w:szCs w:val="32"/>
          <w:lang w:val="en-US" w:eastAsia="zh-CN" w:bidi="ar-SA"/>
        </w:rPr>
        <w:t>20</w:t>
      </w:r>
      <w:r>
        <w:rPr>
          <w:rFonts w:hint="eastAsia" w:asciiTheme="minorEastAsia" w:hAnsiTheme="minorEastAsia" w:cstheme="minorEastAsia"/>
          <w:b/>
          <w:bCs/>
          <w:kern w:val="0"/>
          <w:sz w:val="32"/>
          <w:szCs w:val="32"/>
          <w:lang w:val="en-US" w:eastAsia="zh-CN" w:bidi="ar-SA"/>
        </w:rPr>
        <w:t>22</w:t>
      </w:r>
      <w:r>
        <w:rPr>
          <w:rFonts w:hint="eastAsia" w:asciiTheme="minorEastAsia" w:hAnsiTheme="minorEastAsia" w:eastAsiaTheme="minorEastAsia" w:cstheme="minorEastAsia"/>
          <w:b/>
          <w:bCs/>
          <w:kern w:val="0"/>
          <w:sz w:val="32"/>
          <w:szCs w:val="32"/>
          <w:lang w:val="en-US" w:eastAsia="zh-CN" w:bidi="ar-SA"/>
        </w:rPr>
        <w:t>年度</w:t>
      </w:r>
      <w:r>
        <w:rPr>
          <w:rFonts w:hint="eastAsia" w:asciiTheme="minorEastAsia" w:hAnsiTheme="minorEastAsia" w:cstheme="minorEastAsia"/>
          <w:b/>
          <w:bCs/>
          <w:kern w:val="0"/>
          <w:sz w:val="32"/>
          <w:szCs w:val="32"/>
          <w:lang w:val="en-US" w:eastAsia="zh-CN" w:bidi="ar-SA"/>
        </w:rPr>
        <w:t>部门预算</w:t>
      </w:r>
      <w:r>
        <w:rPr>
          <w:rFonts w:hint="eastAsia" w:asciiTheme="minorEastAsia" w:hAnsiTheme="minorEastAsia" w:eastAsiaTheme="minorEastAsia" w:cstheme="minorEastAsia"/>
          <w:b/>
          <w:bCs/>
          <w:kern w:val="0"/>
          <w:sz w:val="32"/>
          <w:szCs w:val="32"/>
          <w:lang w:val="en-US" w:eastAsia="zh-CN" w:bidi="ar-SA"/>
        </w:rPr>
        <w:t>情况说明</w:t>
      </w:r>
    </w:p>
    <w:p>
      <w:pPr>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95" w:afterLines="30" w:afterAutospacing="0" w:line="560" w:lineRule="exact"/>
        <w:jc w:val="both"/>
        <w:textAlignment w:val="auto"/>
        <w:outlineLvl w:val="9"/>
        <w:rPr>
          <w:rFonts w:hint="default" w:asciiTheme="minorEastAsia" w:hAnsiTheme="minorEastAsia" w:eastAsiaTheme="minorEastAsia" w:cstheme="minorEastAsia"/>
          <w:b/>
          <w:bCs/>
          <w:kern w:val="0"/>
          <w:sz w:val="30"/>
          <w:szCs w:val="30"/>
          <w:lang w:val="en-US" w:eastAsia="zh-CN" w:bidi="ar-SA"/>
        </w:rPr>
      </w:pPr>
      <w:r>
        <w:rPr>
          <w:rFonts w:hint="eastAsia" w:asciiTheme="minorEastAsia" w:hAnsiTheme="minorEastAsia" w:cstheme="minorEastAsia"/>
          <w:b/>
          <w:bCs/>
          <w:kern w:val="0"/>
          <w:sz w:val="30"/>
          <w:szCs w:val="30"/>
          <w:lang w:val="en-US" w:eastAsia="zh-CN" w:bidi="ar-SA"/>
        </w:rPr>
        <w:t>一、2022年部门预算收支情况说明</w:t>
      </w:r>
    </w:p>
    <w:p>
      <w:pPr>
        <w:widowControl/>
        <w:adjustRightInd w:val="0"/>
        <w:snapToGrid w:val="0"/>
        <w:spacing w:before="0" w:beforeAutospacing="0" w:after="0" w:afterAutospacing="0" w:line="560" w:lineRule="exact"/>
        <w:ind w:firstLine="560" w:firstLineChars="200"/>
        <w:jc w:val="left"/>
        <w:rPr>
          <w:rFonts w:hint="eastAsia" w:asciiTheme="minorEastAsia" w:hAnsiTheme="minorEastAsia" w:eastAsiaTheme="minorEastAsia" w:cstheme="minorEastAsia"/>
          <w:b w:val="0"/>
          <w:bCs w:val="0"/>
          <w:color w:val="auto"/>
          <w:kern w:val="0"/>
          <w:sz w:val="28"/>
          <w:szCs w:val="28"/>
          <w:lang w:val="en-US" w:eastAsia="zh-CN" w:bidi="ar-SA"/>
        </w:rPr>
      </w:pPr>
      <w:r>
        <w:rPr>
          <w:rFonts w:hint="eastAsia" w:asciiTheme="minorEastAsia" w:hAnsiTheme="minorEastAsia" w:cstheme="minorEastAsia"/>
          <w:b w:val="0"/>
          <w:bCs w:val="0"/>
          <w:color w:val="auto"/>
          <w:kern w:val="0"/>
          <w:sz w:val="28"/>
          <w:szCs w:val="28"/>
          <w:lang w:val="en-US" w:eastAsia="zh-CN" w:bidi="ar-SA"/>
        </w:rPr>
        <w:t>（</w:t>
      </w:r>
      <w:r>
        <w:rPr>
          <w:rFonts w:hint="eastAsia" w:asciiTheme="minorEastAsia" w:hAnsiTheme="minorEastAsia" w:eastAsiaTheme="minorEastAsia" w:cstheme="minorEastAsia"/>
          <w:b w:val="0"/>
          <w:bCs w:val="0"/>
          <w:color w:val="auto"/>
          <w:kern w:val="0"/>
          <w:sz w:val="28"/>
          <w:szCs w:val="28"/>
          <w:lang w:val="en-US" w:eastAsia="zh-CN" w:bidi="ar-SA"/>
        </w:rPr>
        <w:t>一</w:t>
      </w:r>
      <w:r>
        <w:rPr>
          <w:rFonts w:hint="eastAsia" w:asciiTheme="minorEastAsia" w:hAnsiTheme="minorEastAsia" w:cstheme="minorEastAsia"/>
          <w:b w:val="0"/>
          <w:bCs w:val="0"/>
          <w:color w:val="auto"/>
          <w:kern w:val="0"/>
          <w:sz w:val="28"/>
          <w:szCs w:val="28"/>
          <w:lang w:val="en-US" w:eastAsia="zh-CN" w:bidi="ar-SA"/>
        </w:rPr>
        <w:t>）预算收入</w:t>
      </w:r>
      <w:r>
        <w:rPr>
          <w:rFonts w:hint="eastAsia" w:asciiTheme="minorEastAsia" w:hAnsiTheme="minorEastAsia" w:eastAsiaTheme="minorEastAsia" w:cstheme="minorEastAsia"/>
          <w:b w:val="0"/>
          <w:bCs w:val="0"/>
          <w:color w:val="auto"/>
          <w:kern w:val="0"/>
          <w:sz w:val="28"/>
          <w:szCs w:val="28"/>
          <w:lang w:val="en-US" w:eastAsia="zh-CN" w:bidi="ar-SA"/>
        </w:rPr>
        <w:t>情况说明</w:t>
      </w:r>
    </w:p>
    <w:p>
      <w:pPr>
        <w:widowControl/>
        <w:adjustRightInd w:val="0"/>
        <w:snapToGrid w:val="0"/>
        <w:spacing w:before="0" w:beforeAutospacing="0" w:after="0" w:afterAutospacing="0" w:line="560" w:lineRule="exact"/>
        <w:ind w:firstLine="560" w:firstLineChars="200"/>
        <w:jc w:val="left"/>
        <w:rPr>
          <w:rFonts w:hint="default" w:ascii="宋体" w:hAnsi="宋体" w:eastAsia="宋体" w:cs="宋体"/>
          <w:color w:val="auto"/>
          <w:kern w:val="0"/>
          <w:sz w:val="28"/>
          <w:szCs w:val="28"/>
          <w:lang w:val="en-US" w:eastAsia="zh-CN" w:bidi="ar-SA"/>
        </w:rPr>
      </w:pPr>
      <w:r>
        <w:rPr>
          <w:rFonts w:hint="eastAsia" w:ascii="宋体" w:hAnsi="宋体" w:eastAsia="宋体" w:cs="宋体"/>
          <w:color w:val="auto"/>
          <w:kern w:val="0"/>
          <w:sz w:val="28"/>
          <w:szCs w:val="28"/>
          <w:lang w:val="en-US" w:eastAsia="zh-CN" w:bidi="ar-SA"/>
        </w:rPr>
        <w:t>本部门2022年预算收入总计15092.91万元，比上年增加13202.35万元,增长比例698.33%；其中：</w:t>
      </w:r>
      <w:r>
        <w:rPr>
          <w:rFonts w:ascii="宋体" w:hAnsi="宋体" w:eastAsia="宋体" w:cs="宋体"/>
          <w:color w:val="auto"/>
          <w:kern w:val="0"/>
          <w:sz w:val="28"/>
          <w:szCs w:val="28"/>
          <w:lang w:val="en-US" w:eastAsia="zh-CN" w:bidi="ar-SA"/>
        </w:rPr>
        <w:t>本年</w:t>
      </w:r>
      <w:r>
        <w:rPr>
          <w:rFonts w:hint="eastAsia" w:ascii="宋体" w:hAnsi="宋体" w:eastAsia="宋体" w:cs="宋体"/>
          <w:color w:val="auto"/>
          <w:kern w:val="0"/>
          <w:sz w:val="28"/>
          <w:szCs w:val="28"/>
          <w:lang w:val="en-US" w:eastAsia="zh-CN" w:bidi="ar-SA"/>
        </w:rPr>
        <w:t>预算</w:t>
      </w:r>
      <w:r>
        <w:rPr>
          <w:rFonts w:ascii="宋体" w:hAnsi="宋体" w:eastAsia="宋体" w:cs="宋体"/>
          <w:color w:val="auto"/>
          <w:kern w:val="0"/>
          <w:sz w:val="28"/>
          <w:szCs w:val="28"/>
          <w:lang w:val="en-US" w:eastAsia="zh-CN" w:bidi="ar-SA"/>
        </w:rPr>
        <w:t>收入</w:t>
      </w:r>
      <w:r>
        <w:rPr>
          <w:rFonts w:hint="eastAsia" w:ascii="宋体" w:hAnsi="宋体" w:eastAsia="宋体" w:cs="宋体"/>
          <w:color w:val="auto"/>
          <w:kern w:val="0"/>
          <w:sz w:val="28"/>
          <w:szCs w:val="28"/>
          <w:lang w:val="en-US" w:eastAsia="zh-CN" w:bidi="ar-SA"/>
        </w:rPr>
        <w:t>的具体构成为：</w:t>
      </w:r>
      <w:r>
        <w:rPr>
          <w:rFonts w:ascii="宋体" w:hAnsi="宋体" w:eastAsia="宋体" w:cs="宋体"/>
          <w:color w:val="auto"/>
          <w:kern w:val="0"/>
          <w:sz w:val="28"/>
          <w:szCs w:val="28"/>
          <w:lang w:val="en-US" w:eastAsia="zh-CN" w:bidi="ar-SA"/>
        </w:rPr>
        <w:t>财政拨款收入</w:t>
      </w:r>
      <w:r>
        <w:rPr>
          <w:rFonts w:hint="eastAsia" w:ascii="宋体" w:hAnsi="宋体" w:eastAsia="宋体" w:cs="宋体"/>
          <w:color w:val="auto"/>
          <w:kern w:val="0"/>
          <w:sz w:val="28"/>
          <w:szCs w:val="28"/>
          <w:lang w:val="en-US" w:eastAsia="zh-CN" w:bidi="ar-SA"/>
        </w:rPr>
        <w:t>3030.61</w:t>
      </w:r>
      <w:r>
        <w:rPr>
          <w:rFonts w:ascii="宋体" w:hAnsi="宋体" w:eastAsia="宋体" w:cs="宋体"/>
          <w:color w:val="auto"/>
          <w:kern w:val="0"/>
          <w:sz w:val="28"/>
          <w:szCs w:val="28"/>
          <w:lang w:val="en-US" w:eastAsia="zh-CN" w:bidi="ar-SA"/>
        </w:rPr>
        <w:t>万元</w:t>
      </w:r>
      <w:r>
        <w:rPr>
          <w:rFonts w:hint="eastAsia" w:ascii="宋体" w:hAnsi="宋体" w:eastAsia="宋体" w:cs="宋体"/>
          <w:color w:val="auto"/>
          <w:kern w:val="0"/>
          <w:sz w:val="28"/>
          <w:szCs w:val="28"/>
          <w:lang w:val="en-US" w:eastAsia="zh-CN" w:bidi="ar-SA"/>
        </w:rPr>
        <w:t>，占预算总额20%，比上年增加1140.01万元,增长比例60.3%；</w:t>
      </w:r>
      <w:r>
        <w:rPr>
          <w:rFonts w:ascii="宋体" w:hAnsi="宋体" w:eastAsia="宋体" w:cs="宋体"/>
          <w:color w:val="auto"/>
          <w:kern w:val="0"/>
          <w:sz w:val="28"/>
          <w:szCs w:val="28"/>
          <w:lang w:val="en-US" w:eastAsia="zh-CN" w:bidi="ar-SA"/>
        </w:rPr>
        <w:t>其他收入</w:t>
      </w:r>
      <w:r>
        <w:rPr>
          <w:rFonts w:hint="eastAsia" w:ascii="宋体" w:hAnsi="宋体" w:eastAsia="宋体" w:cs="宋体"/>
          <w:color w:val="auto"/>
          <w:kern w:val="0"/>
          <w:sz w:val="28"/>
          <w:szCs w:val="28"/>
          <w:lang w:val="en-US" w:eastAsia="zh-CN" w:bidi="ar-SA"/>
        </w:rPr>
        <w:t>5673.55</w:t>
      </w:r>
      <w:r>
        <w:rPr>
          <w:rFonts w:ascii="宋体" w:hAnsi="宋体" w:eastAsia="宋体" w:cs="宋体"/>
          <w:color w:val="auto"/>
          <w:kern w:val="0"/>
          <w:sz w:val="28"/>
          <w:szCs w:val="28"/>
          <w:lang w:val="en-US" w:eastAsia="zh-CN" w:bidi="ar-SA"/>
        </w:rPr>
        <w:t>元</w:t>
      </w:r>
      <w:r>
        <w:rPr>
          <w:rFonts w:hint="eastAsia" w:ascii="宋体" w:hAnsi="宋体" w:eastAsia="宋体" w:cs="宋体"/>
          <w:color w:val="auto"/>
          <w:kern w:val="0"/>
          <w:sz w:val="28"/>
          <w:szCs w:val="28"/>
          <w:lang w:val="en-US" w:eastAsia="zh-CN" w:bidi="ar-SA"/>
        </w:rPr>
        <w:t>，上年此项未计入预算总额；上年结转6388.75万元，上年未计入预算总额。较上年增加的主要原因是：人员工资福利增长、有些项目支出结转到本年支出，2022年项目增加。</w:t>
      </w:r>
    </w:p>
    <w:p>
      <w:pPr>
        <w:widowControl/>
        <w:adjustRightInd w:val="0"/>
        <w:snapToGrid w:val="0"/>
        <w:spacing w:before="0" w:beforeAutospacing="0" w:after="0" w:afterAutospacing="0" w:line="560" w:lineRule="exact"/>
        <w:ind w:firstLine="560" w:firstLineChars="200"/>
        <w:jc w:val="left"/>
        <w:rPr>
          <w:rFonts w:hint="eastAsia" w:asciiTheme="minorEastAsia" w:hAnsiTheme="minorEastAsia" w:eastAsiaTheme="minorEastAsia" w:cstheme="minorEastAsia"/>
          <w:b w:val="0"/>
          <w:bCs w:val="0"/>
          <w:color w:val="auto"/>
          <w:kern w:val="0"/>
          <w:sz w:val="28"/>
          <w:szCs w:val="28"/>
          <w:lang w:val="en-US" w:eastAsia="zh-CN" w:bidi="ar-SA"/>
        </w:rPr>
      </w:pPr>
      <w:r>
        <w:rPr>
          <w:rFonts w:hint="eastAsia" w:asciiTheme="minorEastAsia" w:hAnsiTheme="minorEastAsia" w:cstheme="minorEastAsia"/>
          <w:b w:val="0"/>
          <w:bCs w:val="0"/>
          <w:color w:val="auto"/>
          <w:kern w:val="0"/>
          <w:sz w:val="28"/>
          <w:szCs w:val="28"/>
          <w:lang w:val="en-US" w:eastAsia="zh-CN" w:bidi="ar-SA"/>
        </w:rPr>
        <w:t>（</w:t>
      </w:r>
      <w:r>
        <w:rPr>
          <w:rFonts w:hint="eastAsia" w:asciiTheme="minorEastAsia" w:hAnsiTheme="minorEastAsia" w:eastAsiaTheme="minorEastAsia" w:cstheme="minorEastAsia"/>
          <w:b w:val="0"/>
          <w:bCs w:val="0"/>
          <w:color w:val="auto"/>
          <w:kern w:val="0"/>
          <w:sz w:val="28"/>
          <w:szCs w:val="28"/>
          <w:lang w:val="en-US" w:eastAsia="zh-CN" w:bidi="ar-SA"/>
        </w:rPr>
        <w:t>二</w:t>
      </w:r>
      <w:r>
        <w:rPr>
          <w:rFonts w:hint="eastAsia" w:asciiTheme="minorEastAsia" w:hAnsiTheme="minorEastAsia" w:cstheme="minorEastAsia"/>
          <w:b w:val="0"/>
          <w:bCs w:val="0"/>
          <w:color w:val="auto"/>
          <w:kern w:val="0"/>
          <w:sz w:val="28"/>
          <w:szCs w:val="28"/>
          <w:lang w:val="en-US" w:eastAsia="zh-CN" w:bidi="ar-SA"/>
        </w:rPr>
        <w:t>)</w:t>
      </w:r>
      <w:r>
        <w:rPr>
          <w:rFonts w:hint="eastAsia" w:asciiTheme="minorEastAsia" w:hAnsiTheme="minorEastAsia" w:eastAsiaTheme="minorEastAsia" w:cstheme="minorEastAsia"/>
          <w:b w:val="0"/>
          <w:bCs w:val="0"/>
          <w:color w:val="auto"/>
          <w:kern w:val="0"/>
          <w:sz w:val="28"/>
          <w:szCs w:val="28"/>
          <w:lang w:val="en-US" w:eastAsia="zh-CN" w:bidi="ar-SA"/>
        </w:rPr>
        <w:t>支出决算情况说明</w:t>
      </w:r>
    </w:p>
    <w:p>
      <w:pPr>
        <w:widowControl/>
        <w:adjustRightInd w:val="0"/>
        <w:snapToGrid w:val="0"/>
        <w:spacing w:before="0" w:beforeAutospacing="0" w:after="0" w:afterAutospacing="0" w:line="560" w:lineRule="exact"/>
        <w:ind w:firstLine="560" w:firstLineChars="200"/>
        <w:jc w:val="left"/>
        <w:rPr>
          <w:rFonts w:hint="eastAsia" w:ascii="宋体" w:hAnsi="宋体" w:eastAsia="宋体" w:cs="宋体"/>
          <w:color w:val="auto"/>
          <w:kern w:val="0"/>
          <w:sz w:val="28"/>
          <w:szCs w:val="28"/>
          <w:lang w:val="en-US" w:eastAsia="zh-CN" w:bidi="ar-SA"/>
        </w:rPr>
      </w:pPr>
      <w:r>
        <w:rPr>
          <w:rFonts w:hint="eastAsia" w:ascii="宋体" w:hAnsi="宋体" w:eastAsia="宋体" w:cs="Times New Roman"/>
          <w:color w:val="auto"/>
          <w:sz w:val="28"/>
          <w:szCs w:val="28"/>
        </w:rPr>
        <w:t>本</w:t>
      </w:r>
      <w:r>
        <w:rPr>
          <w:rFonts w:hint="eastAsia" w:ascii="宋体" w:hAnsi="宋体" w:eastAsia="宋体" w:cs="Times New Roman"/>
          <w:color w:val="auto"/>
          <w:sz w:val="28"/>
          <w:szCs w:val="28"/>
          <w:lang w:eastAsia="zh-CN"/>
        </w:rPr>
        <w:t>部门</w:t>
      </w:r>
      <w:r>
        <w:rPr>
          <w:rFonts w:hint="eastAsia" w:ascii="宋体" w:hAnsi="宋体" w:eastAsia="宋体" w:cs="Times New Roman"/>
          <w:color w:val="auto"/>
          <w:sz w:val="28"/>
          <w:szCs w:val="28"/>
          <w:lang w:val="en-US" w:eastAsia="zh-CN"/>
        </w:rPr>
        <w:t>2022</w:t>
      </w:r>
      <w:r>
        <w:rPr>
          <w:rFonts w:hint="eastAsia" w:ascii="宋体" w:hAnsi="宋体" w:eastAsia="宋体" w:cs="Times New Roman"/>
          <w:color w:val="auto"/>
          <w:sz w:val="28"/>
          <w:szCs w:val="28"/>
        </w:rPr>
        <w:t>年支出总计</w:t>
      </w:r>
      <w:r>
        <w:rPr>
          <w:rFonts w:hint="eastAsia" w:ascii="宋体" w:hAnsi="宋体" w:eastAsia="宋体" w:cs="Times New Roman"/>
          <w:color w:val="auto"/>
          <w:sz w:val="28"/>
          <w:szCs w:val="28"/>
          <w:lang w:val="en-US" w:eastAsia="zh-CN"/>
        </w:rPr>
        <w:t>15092.91</w:t>
      </w:r>
      <w:r>
        <w:rPr>
          <w:rFonts w:hint="eastAsia" w:ascii="宋体" w:hAnsi="宋体" w:eastAsia="宋体" w:cs="Times New Roman"/>
          <w:color w:val="auto"/>
          <w:sz w:val="28"/>
          <w:szCs w:val="28"/>
        </w:rPr>
        <w:t>万元，</w:t>
      </w:r>
      <w:r>
        <w:rPr>
          <w:rFonts w:hint="eastAsia" w:ascii="宋体" w:hAnsi="宋体" w:eastAsia="宋体" w:cs="宋体"/>
          <w:color w:val="auto"/>
          <w:kern w:val="0"/>
          <w:sz w:val="28"/>
          <w:szCs w:val="28"/>
          <w:lang w:val="en-US" w:eastAsia="zh-CN" w:bidi="ar-SA"/>
        </w:rPr>
        <w:t>比上年增加13202.35万元,增长比例698.33%。较上年增加的主要原因是：人员工资福利增长、有些项目支出结转到本年支出，2022年项目增加。其中：</w:t>
      </w:r>
    </w:p>
    <w:p>
      <w:pPr>
        <w:pStyle w:val="4"/>
        <w:rPr>
          <w:rFonts w:hint="eastAsia" w:ascii="宋体" w:hAnsi="宋体" w:eastAsia="宋体" w:cs="Times New Roman"/>
          <w:b w:val="0"/>
          <w:bCs/>
          <w:sz w:val="28"/>
          <w:szCs w:val="28"/>
          <w:lang w:val="en-US" w:eastAsia="zh-CN"/>
        </w:rPr>
      </w:pPr>
      <w:r>
        <w:rPr>
          <w:rFonts w:hint="eastAsia" w:ascii="宋体" w:hAnsi="宋体" w:eastAsia="宋体" w:cs="Times New Roman"/>
          <w:sz w:val="28"/>
          <w:szCs w:val="28"/>
          <w:lang w:val="en-US" w:eastAsia="zh-CN"/>
        </w:rPr>
        <w:t xml:space="preserve">   </w:t>
      </w:r>
      <w:r>
        <w:rPr>
          <w:rFonts w:hint="eastAsia" w:ascii="宋体" w:hAnsi="宋体" w:eastAsia="宋体" w:cs="Times New Roman"/>
          <w:b w:val="0"/>
          <w:bCs/>
          <w:sz w:val="28"/>
          <w:szCs w:val="28"/>
          <w:lang w:val="en-US" w:eastAsia="zh-CN"/>
        </w:rPr>
        <w:t>按支出项目类别划分：基本支出2226.53万元，较上年预算安排增加714.46万元，其中：工资福利支出1261.45万元，商品和服务支出619.34万元，对个人和家庭的支出2.9万元，资本性支出342.84万元。项目支出12866.38万元，较上年预算安排增加12487.89万元，其中工资福利支出0.8万元，商品和服务支出227万元，对个人和家庭的支出0万元，资本性支出300万元，其它相关支出12338.57万元。</w:t>
      </w:r>
    </w:p>
    <w:p>
      <w:pPr>
        <w:pStyle w:val="4"/>
        <w:ind w:firstLine="560" w:firstLineChars="200"/>
        <w:rPr>
          <w:rFonts w:hint="eastAsia"/>
          <w:b w:val="0"/>
          <w:bCs/>
          <w:color w:val="auto"/>
          <w:lang w:val="en-US" w:eastAsia="zh-CN"/>
        </w:rPr>
      </w:pPr>
      <w:r>
        <w:rPr>
          <w:rFonts w:hint="eastAsia" w:ascii="宋体" w:hAnsi="宋体" w:eastAsia="宋体" w:cs="Times New Roman"/>
          <w:b w:val="0"/>
          <w:bCs/>
          <w:color w:val="auto"/>
          <w:sz w:val="28"/>
          <w:szCs w:val="28"/>
          <w:lang w:eastAsia="zh-CN"/>
        </w:rPr>
        <w:t>按支出功能科目分</w:t>
      </w:r>
      <w:r>
        <w:rPr>
          <w:rFonts w:hint="eastAsia" w:ascii="宋体" w:hAnsi="宋体" w:eastAsia="宋体" w:cs="Times New Roman"/>
          <w:b w:val="0"/>
          <w:bCs/>
          <w:color w:val="auto"/>
          <w:sz w:val="28"/>
          <w:szCs w:val="28"/>
        </w:rPr>
        <w:t>为：</w:t>
      </w:r>
      <w:r>
        <w:rPr>
          <w:rFonts w:hint="eastAsia" w:ascii="宋体" w:hAnsi="宋体" w:eastAsia="宋体" w:cs="Times New Roman"/>
          <w:b w:val="0"/>
          <w:bCs/>
          <w:color w:val="auto"/>
          <w:sz w:val="28"/>
          <w:szCs w:val="28"/>
          <w:lang w:eastAsia="zh-CN"/>
        </w:rPr>
        <w:t>一般公共服务</w:t>
      </w:r>
      <w:r>
        <w:rPr>
          <w:rFonts w:hint="eastAsia" w:ascii="宋体" w:hAnsi="宋体" w:eastAsia="宋体" w:cs="Times New Roman"/>
          <w:b w:val="0"/>
          <w:bCs/>
          <w:color w:val="auto"/>
          <w:sz w:val="28"/>
          <w:szCs w:val="28"/>
        </w:rPr>
        <w:t>支出</w:t>
      </w:r>
      <w:r>
        <w:rPr>
          <w:rFonts w:hint="eastAsia" w:ascii="宋体" w:hAnsi="宋体" w:eastAsia="宋体" w:cs="Times New Roman"/>
          <w:b w:val="0"/>
          <w:bCs/>
          <w:color w:val="auto"/>
          <w:sz w:val="28"/>
          <w:szCs w:val="28"/>
          <w:lang w:val="en-US" w:eastAsia="zh-CN"/>
        </w:rPr>
        <w:t>827</w:t>
      </w:r>
      <w:r>
        <w:rPr>
          <w:rFonts w:hint="eastAsia" w:ascii="宋体" w:hAnsi="宋体" w:eastAsia="宋体" w:cs="Times New Roman"/>
          <w:b w:val="0"/>
          <w:bCs/>
          <w:color w:val="auto"/>
          <w:sz w:val="28"/>
          <w:szCs w:val="28"/>
        </w:rPr>
        <w:t>万元</w:t>
      </w:r>
      <w:r>
        <w:rPr>
          <w:rFonts w:hint="eastAsia" w:ascii="宋体" w:hAnsi="宋体" w:eastAsia="宋体" w:cs="Times New Roman"/>
          <w:b w:val="0"/>
          <w:bCs/>
          <w:color w:val="auto"/>
          <w:sz w:val="28"/>
          <w:szCs w:val="28"/>
          <w:lang w:eastAsia="zh-CN"/>
        </w:rPr>
        <w:t>，</w:t>
      </w:r>
      <w:r>
        <w:rPr>
          <w:rFonts w:hint="eastAsia" w:ascii="宋体" w:hAnsi="宋体" w:eastAsia="宋体" w:cs="宋体"/>
          <w:b w:val="0"/>
          <w:bCs/>
          <w:color w:val="auto"/>
          <w:kern w:val="0"/>
          <w:sz w:val="28"/>
          <w:szCs w:val="28"/>
          <w:lang w:val="en-US" w:eastAsia="zh-CN" w:bidi="ar-SA"/>
        </w:rPr>
        <w:t>较上年预算安排增长827万元；国防支出4.2万元，较上年预算安排减少33.3万元；</w:t>
      </w:r>
      <w:r>
        <w:rPr>
          <w:rFonts w:hint="eastAsia" w:ascii="宋体" w:hAnsi="宋体" w:eastAsia="宋体" w:cs="Times New Roman"/>
          <w:b w:val="0"/>
          <w:bCs/>
          <w:color w:val="auto"/>
          <w:sz w:val="28"/>
          <w:szCs w:val="28"/>
          <w:lang w:eastAsia="zh-CN"/>
        </w:rPr>
        <w:t>社会保障和就业支出</w:t>
      </w:r>
      <w:r>
        <w:rPr>
          <w:rFonts w:hint="eastAsia" w:ascii="宋体" w:hAnsi="宋体" w:eastAsia="宋体" w:cs="Times New Roman"/>
          <w:b w:val="0"/>
          <w:bCs/>
          <w:color w:val="auto"/>
          <w:sz w:val="28"/>
          <w:szCs w:val="28"/>
          <w:lang w:val="en-US" w:eastAsia="zh-CN"/>
        </w:rPr>
        <w:t>92.81万元，</w:t>
      </w:r>
      <w:r>
        <w:rPr>
          <w:rFonts w:hint="eastAsia" w:ascii="宋体" w:hAnsi="宋体" w:eastAsia="宋体" w:cs="宋体"/>
          <w:b w:val="0"/>
          <w:bCs/>
          <w:color w:val="auto"/>
          <w:kern w:val="0"/>
          <w:sz w:val="28"/>
          <w:szCs w:val="28"/>
          <w:lang w:val="en-US" w:eastAsia="zh-CN" w:bidi="ar-SA"/>
        </w:rPr>
        <w:t>较上年预算减少43.8万元；</w:t>
      </w:r>
      <w:r>
        <w:rPr>
          <w:rFonts w:hint="eastAsia" w:ascii="宋体" w:hAnsi="宋体" w:eastAsia="宋体" w:cs="Times New Roman"/>
          <w:b w:val="0"/>
          <w:bCs/>
          <w:color w:val="auto"/>
          <w:sz w:val="28"/>
          <w:szCs w:val="28"/>
          <w:lang w:val="en-US" w:eastAsia="zh-CN"/>
        </w:rPr>
        <w:t>卫生健康</w:t>
      </w:r>
      <w:r>
        <w:rPr>
          <w:rFonts w:hint="eastAsia" w:ascii="宋体" w:hAnsi="宋体" w:eastAsia="宋体" w:cs="Times New Roman"/>
          <w:b w:val="0"/>
          <w:bCs/>
          <w:color w:val="auto"/>
          <w:sz w:val="28"/>
          <w:szCs w:val="28"/>
        </w:rPr>
        <w:t>支出</w:t>
      </w:r>
      <w:r>
        <w:rPr>
          <w:rFonts w:hint="eastAsia" w:ascii="宋体" w:hAnsi="宋体" w:eastAsia="宋体" w:cs="Times New Roman"/>
          <w:b w:val="0"/>
          <w:bCs/>
          <w:color w:val="auto"/>
          <w:sz w:val="28"/>
          <w:szCs w:val="28"/>
          <w:lang w:val="en-US" w:eastAsia="zh-CN"/>
        </w:rPr>
        <w:t>61.03</w:t>
      </w:r>
      <w:r>
        <w:rPr>
          <w:rFonts w:hint="eastAsia" w:ascii="宋体" w:hAnsi="宋体" w:eastAsia="宋体" w:cs="Times New Roman"/>
          <w:b w:val="0"/>
          <w:bCs/>
          <w:color w:val="auto"/>
          <w:sz w:val="28"/>
          <w:szCs w:val="28"/>
        </w:rPr>
        <w:t>万元</w:t>
      </w:r>
      <w:r>
        <w:rPr>
          <w:rFonts w:hint="eastAsia" w:ascii="宋体" w:hAnsi="宋体" w:eastAsia="宋体" w:cs="宋体"/>
          <w:b w:val="0"/>
          <w:bCs/>
          <w:color w:val="auto"/>
          <w:kern w:val="0"/>
          <w:sz w:val="28"/>
          <w:szCs w:val="28"/>
          <w:lang w:val="en-US" w:eastAsia="zh-CN" w:bidi="ar-SA"/>
        </w:rPr>
        <w:t>较上年预算减少26.47万元；城乡社区支出8344.68万元，较上年预算安排增长6799.09万元；住房和保障支出89.64万元，较上年预算减少13.76万元；其他支出5673.55万元，较上年预算增长</w:t>
      </w:r>
      <w:r>
        <w:rPr>
          <w:rFonts w:hint="eastAsia"/>
          <w:b w:val="0"/>
          <w:bCs/>
          <w:color w:val="auto"/>
          <w:lang w:val="en-US" w:eastAsia="zh-CN"/>
        </w:rPr>
        <w:t>.</w:t>
      </w:r>
      <w:r>
        <w:rPr>
          <w:rFonts w:hint="eastAsia" w:ascii="宋体" w:hAnsi="宋体" w:eastAsia="宋体" w:cs="宋体"/>
          <w:b w:val="0"/>
          <w:bCs/>
          <w:color w:val="auto"/>
          <w:kern w:val="0"/>
          <w:sz w:val="28"/>
          <w:szCs w:val="28"/>
          <w:lang w:val="en-US" w:eastAsia="zh-CN" w:bidi="ar-SA"/>
        </w:rPr>
        <w:t>5673.55万元</w:t>
      </w:r>
      <w:r>
        <w:rPr>
          <w:rFonts w:hint="eastAsia"/>
          <w:b w:val="0"/>
          <w:bCs/>
          <w:color w:val="auto"/>
          <w:lang w:val="en-US" w:eastAsia="zh-CN"/>
        </w:rPr>
        <w:t>。</w:t>
      </w:r>
    </w:p>
    <w:p>
      <w:pPr>
        <w:pStyle w:val="4"/>
        <w:ind w:firstLine="560" w:firstLineChars="200"/>
        <w:rPr>
          <w:rFonts w:hint="default"/>
          <w:b w:val="0"/>
          <w:bCs/>
          <w:lang w:val="en-US" w:eastAsia="zh-CN"/>
        </w:rPr>
      </w:pPr>
      <w:r>
        <w:rPr>
          <w:rFonts w:hint="eastAsia" w:ascii="宋体" w:hAnsi="宋体" w:eastAsia="宋体" w:cs="宋体"/>
          <w:b w:val="0"/>
          <w:bCs/>
          <w:color w:val="auto"/>
          <w:kern w:val="0"/>
          <w:sz w:val="28"/>
          <w:szCs w:val="28"/>
          <w:lang w:val="en-US" w:eastAsia="zh-CN" w:bidi="ar-SA"/>
        </w:rPr>
        <w:t>按支出经济分类分为：</w:t>
      </w:r>
      <w:r>
        <w:rPr>
          <w:rFonts w:hint="eastAsia" w:ascii="宋体" w:hAnsi="宋体" w:eastAsia="宋体" w:cs="Times New Roman"/>
          <w:b w:val="0"/>
          <w:bCs/>
          <w:sz w:val="28"/>
          <w:szCs w:val="28"/>
          <w:lang w:val="en-US" w:eastAsia="zh-CN"/>
        </w:rPr>
        <w:t>工资福利支出1262.25万元，较上年预算安排增加134.38万元</w:t>
      </w:r>
      <w:r>
        <w:rPr>
          <w:rFonts w:hint="eastAsia" w:ascii="宋体" w:hAnsi="宋体" w:eastAsia="宋体" w:cs="Times New Roman"/>
          <w:sz w:val="28"/>
          <w:szCs w:val="28"/>
          <w:lang w:eastAsia="zh-CN"/>
        </w:rPr>
        <w:t>；</w:t>
      </w:r>
      <w:r>
        <w:rPr>
          <w:rFonts w:hint="eastAsia" w:ascii="宋体" w:hAnsi="宋体" w:eastAsia="宋体" w:cs="Times New Roman"/>
          <w:b w:val="0"/>
          <w:bCs/>
          <w:sz w:val="28"/>
          <w:szCs w:val="28"/>
          <w:lang w:val="en-US" w:eastAsia="zh-CN"/>
        </w:rPr>
        <w:t>商品和服务支出846.34万元，较上年预算安排增加466.66万元</w:t>
      </w:r>
      <w:r>
        <w:rPr>
          <w:rFonts w:hint="eastAsia" w:ascii="宋体" w:hAnsi="宋体" w:eastAsia="宋体" w:cs="Times New Roman"/>
          <w:sz w:val="28"/>
          <w:szCs w:val="28"/>
          <w:lang w:eastAsia="zh-CN"/>
        </w:rPr>
        <w:t>；</w:t>
      </w:r>
      <w:r>
        <w:rPr>
          <w:rFonts w:hint="eastAsia" w:ascii="宋体" w:hAnsi="宋体" w:eastAsia="宋体" w:cs="Times New Roman"/>
          <w:b w:val="0"/>
          <w:bCs/>
          <w:sz w:val="28"/>
          <w:szCs w:val="28"/>
          <w:lang w:val="en-US" w:eastAsia="zh-CN"/>
        </w:rPr>
        <w:t>对个人和家庭的支出2.9万元，较上年预算安排减少1.62万元</w:t>
      </w:r>
      <w:r>
        <w:rPr>
          <w:rFonts w:hint="eastAsia" w:ascii="宋体" w:hAnsi="宋体" w:eastAsia="宋体" w:cs="Times New Roman"/>
          <w:sz w:val="28"/>
          <w:szCs w:val="28"/>
          <w:lang w:eastAsia="zh-CN"/>
        </w:rPr>
        <w:t>；</w:t>
      </w:r>
      <w:r>
        <w:rPr>
          <w:rFonts w:hint="eastAsia" w:ascii="宋体" w:hAnsi="宋体" w:eastAsia="宋体" w:cs="Times New Roman"/>
          <w:b w:val="0"/>
          <w:bCs/>
          <w:sz w:val="28"/>
          <w:szCs w:val="28"/>
          <w:lang w:val="en-US" w:eastAsia="zh-CN"/>
        </w:rPr>
        <w:t>资本性支出642.84万元，较上年预算安排增加642.84万元。其他相关支出12338.57万元，较上年预算安排增加12338.57万元。</w:t>
      </w:r>
    </w:p>
    <w:p>
      <w:pPr>
        <w:spacing w:line="560" w:lineRule="exact"/>
        <w:ind w:firstLine="560" w:firstLineChars="200"/>
        <w:rPr>
          <w:rFonts w:hint="eastAsia" w:asciiTheme="minorEastAsia" w:hAnsiTheme="minorEastAsia" w:eastAsiaTheme="minorEastAsia" w:cstheme="minorEastAsia"/>
          <w:b w:val="0"/>
          <w:bCs w:val="0"/>
          <w:color w:val="auto"/>
          <w:kern w:val="0"/>
          <w:sz w:val="28"/>
          <w:szCs w:val="28"/>
          <w:lang w:val="en-US" w:eastAsia="zh-CN" w:bidi="ar-SA"/>
        </w:rPr>
      </w:pPr>
      <w:r>
        <w:rPr>
          <w:rFonts w:hint="eastAsia" w:asciiTheme="minorEastAsia" w:hAnsiTheme="minorEastAsia" w:cstheme="minorEastAsia"/>
          <w:b w:val="0"/>
          <w:bCs w:val="0"/>
          <w:color w:val="auto"/>
          <w:kern w:val="0"/>
          <w:sz w:val="28"/>
          <w:szCs w:val="28"/>
          <w:lang w:val="en-US" w:eastAsia="zh-CN" w:bidi="ar-SA"/>
        </w:rPr>
        <w:t>（三）</w:t>
      </w:r>
      <w:r>
        <w:rPr>
          <w:rFonts w:hint="eastAsia" w:asciiTheme="minorEastAsia" w:hAnsiTheme="minorEastAsia" w:eastAsiaTheme="minorEastAsia" w:cstheme="minorEastAsia"/>
          <w:b w:val="0"/>
          <w:bCs w:val="0"/>
          <w:color w:val="auto"/>
          <w:kern w:val="0"/>
          <w:sz w:val="28"/>
          <w:szCs w:val="28"/>
          <w:lang w:val="en-US" w:eastAsia="zh-CN" w:bidi="ar-SA"/>
        </w:rPr>
        <w:t>财政拨款支出情况说明</w:t>
      </w:r>
    </w:p>
    <w:p>
      <w:pPr>
        <w:spacing w:line="560" w:lineRule="exact"/>
        <w:ind w:firstLine="560" w:firstLineChars="200"/>
        <w:rPr>
          <w:rFonts w:hint="eastAsia" w:ascii="宋体" w:hAnsi="宋体" w:eastAsia="宋体" w:cs="宋体"/>
          <w:color w:val="auto"/>
          <w:kern w:val="0"/>
          <w:sz w:val="28"/>
          <w:szCs w:val="28"/>
          <w:lang w:val="en-US" w:eastAsia="zh-CN" w:bidi="ar-SA"/>
        </w:rPr>
      </w:pPr>
      <w:r>
        <w:rPr>
          <w:rFonts w:hint="eastAsia" w:ascii="宋体" w:hAnsi="宋体" w:eastAsia="宋体" w:cs="宋体"/>
          <w:color w:val="auto"/>
          <w:kern w:val="0"/>
          <w:sz w:val="28"/>
          <w:szCs w:val="28"/>
          <w:lang w:val="en-US" w:eastAsia="zh-CN" w:bidi="ar-SA"/>
        </w:rPr>
        <w:t>本单位财政拨款支出预算数为3030.61万元，较上年预算安排增加1140.01万</w:t>
      </w:r>
      <w:r>
        <w:rPr>
          <w:rFonts w:hint="eastAsia" w:ascii="宋体" w:hAnsi="宋体" w:eastAsia="宋体" w:cs="Times New Roman"/>
          <w:color w:val="auto"/>
          <w:sz w:val="28"/>
          <w:szCs w:val="28"/>
          <w:lang w:val="en-US" w:eastAsia="zh-CN"/>
        </w:rPr>
        <w:t>元，</w:t>
      </w:r>
      <w:r>
        <w:rPr>
          <w:rFonts w:hint="eastAsia" w:ascii="宋体" w:hAnsi="宋体" w:eastAsia="宋体" w:cs="宋体"/>
          <w:color w:val="auto"/>
          <w:kern w:val="0"/>
          <w:sz w:val="28"/>
          <w:szCs w:val="28"/>
          <w:lang w:val="en-US" w:eastAsia="zh-CN" w:bidi="ar-SA"/>
        </w:rPr>
        <w:t>增长比例60.3%。</w:t>
      </w:r>
    </w:p>
    <w:p>
      <w:pPr>
        <w:spacing w:line="560" w:lineRule="exact"/>
        <w:ind w:firstLine="560" w:firstLineChars="200"/>
        <w:rPr>
          <w:rFonts w:hint="eastAsia" w:ascii="宋体" w:hAnsi="宋体" w:eastAsia="宋体" w:cs="Times New Roman"/>
          <w:sz w:val="28"/>
          <w:szCs w:val="28"/>
          <w:lang w:val="en-US" w:eastAsia="zh-CN"/>
        </w:rPr>
      </w:pPr>
      <w:r>
        <w:rPr>
          <w:rFonts w:hint="eastAsia" w:ascii="宋体" w:hAnsi="宋体" w:eastAsia="宋体" w:cs="Times New Roman"/>
          <w:sz w:val="28"/>
          <w:szCs w:val="28"/>
          <w:lang w:eastAsia="zh-CN"/>
        </w:rPr>
        <w:t>按支出功能科目分类划分</w:t>
      </w:r>
      <w:r>
        <w:rPr>
          <w:rFonts w:hint="eastAsia" w:ascii="宋体" w:hAnsi="宋体" w:eastAsia="宋体" w:cs="Times New Roman"/>
          <w:sz w:val="28"/>
          <w:szCs w:val="28"/>
          <w:lang w:val="en-US" w:eastAsia="zh-CN"/>
        </w:rPr>
        <w:t xml:space="preserve"> </w:t>
      </w:r>
      <w:r>
        <w:rPr>
          <w:rFonts w:hint="eastAsia" w:ascii="宋体" w:hAnsi="宋体" w:eastAsia="宋体" w:cs="Times New Roman"/>
          <w:sz w:val="28"/>
          <w:szCs w:val="28"/>
        </w:rPr>
        <w:t>：</w:t>
      </w:r>
      <w:r>
        <w:rPr>
          <w:rFonts w:hint="eastAsia" w:ascii="宋体" w:hAnsi="宋体" w:eastAsia="宋体" w:cs="Times New Roman"/>
          <w:sz w:val="28"/>
          <w:szCs w:val="28"/>
          <w:lang w:eastAsia="zh-CN"/>
        </w:rPr>
        <w:t>一般公共服务支出</w:t>
      </w:r>
      <w:r>
        <w:rPr>
          <w:rFonts w:hint="eastAsia" w:ascii="宋体" w:hAnsi="宋体" w:eastAsia="宋体" w:cs="Times New Roman"/>
          <w:sz w:val="28"/>
          <w:szCs w:val="28"/>
          <w:lang w:val="en-US" w:eastAsia="zh-CN"/>
        </w:rPr>
        <w:t>827</w:t>
      </w:r>
      <w:r>
        <w:rPr>
          <w:rFonts w:hint="eastAsia" w:ascii="宋体" w:hAnsi="宋体" w:eastAsia="宋体" w:cs="Times New Roman"/>
          <w:sz w:val="28"/>
          <w:szCs w:val="28"/>
        </w:rPr>
        <w:t>万元</w:t>
      </w:r>
      <w:r>
        <w:rPr>
          <w:rFonts w:hint="eastAsia" w:ascii="宋体" w:hAnsi="宋体" w:eastAsia="宋体" w:cs="Times New Roman"/>
          <w:sz w:val="28"/>
          <w:szCs w:val="28"/>
          <w:lang w:eastAsia="zh-CN"/>
        </w:rPr>
        <w:t>，</w:t>
      </w:r>
      <w:r>
        <w:rPr>
          <w:rFonts w:hint="eastAsia" w:ascii="宋体" w:hAnsi="宋体" w:eastAsia="宋体" w:cs="Times New Roman"/>
          <w:b w:val="0"/>
          <w:bCs/>
          <w:sz w:val="28"/>
          <w:szCs w:val="28"/>
          <w:lang w:val="en-US" w:eastAsia="zh-CN"/>
        </w:rPr>
        <w:t>较上年预算安排增加827万元</w:t>
      </w:r>
      <w:r>
        <w:rPr>
          <w:rFonts w:hint="eastAsia" w:ascii="宋体" w:hAnsi="宋体" w:eastAsia="宋体" w:cs="Times New Roman"/>
          <w:sz w:val="28"/>
          <w:szCs w:val="28"/>
          <w:lang w:eastAsia="zh-CN"/>
        </w:rPr>
        <w:t>；社会保障和就业支出</w:t>
      </w:r>
      <w:r>
        <w:rPr>
          <w:rFonts w:hint="eastAsia" w:ascii="宋体" w:hAnsi="宋体" w:eastAsia="宋体" w:cs="Times New Roman"/>
          <w:sz w:val="28"/>
          <w:szCs w:val="28"/>
          <w:lang w:val="en-US" w:eastAsia="zh-CN"/>
        </w:rPr>
        <w:t>89.96万元，</w:t>
      </w:r>
      <w:r>
        <w:rPr>
          <w:rFonts w:hint="eastAsia" w:ascii="宋体" w:hAnsi="宋体" w:eastAsia="宋体" w:cs="Times New Roman"/>
          <w:b w:val="0"/>
          <w:bCs/>
          <w:sz w:val="28"/>
          <w:szCs w:val="28"/>
          <w:lang w:val="en-US" w:eastAsia="zh-CN"/>
        </w:rPr>
        <w:t>较上年预算安排减少46.65万元，</w:t>
      </w:r>
      <w:r>
        <w:rPr>
          <w:rFonts w:hint="eastAsia" w:ascii="宋体" w:hAnsi="宋体" w:eastAsia="宋体" w:cs="Times New Roman"/>
          <w:sz w:val="28"/>
          <w:szCs w:val="28"/>
          <w:lang w:val="en-US" w:eastAsia="zh-CN"/>
        </w:rPr>
        <w:t>卫生健康</w:t>
      </w:r>
      <w:r>
        <w:rPr>
          <w:rFonts w:hint="eastAsia" w:ascii="宋体" w:hAnsi="宋体" w:eastAsia="宋体" w:cs="Times New Roman"/>
          <w:sz w:val="28"/>
          <w:szCs w:val="28"/>
        </w:rPr>
        <w:t>支出</w:t>
      </w:r>
      <w:r>
        <w:rPr>
          <w:rFonts w:hint="eastAsia" w:ascii="宋体" w:hAnsi="宋体" w:eastAsia="宋体" w:cs="Times New Roman"/>
          <w:sz w:val="28"/>
          <w:szCs w:val="28"/>
          <w:lang w:val="en-US" w:eastAsia="zh-CN"/>
        </w:rPr>
        <w:t>61.03</w:t>
      </w:r>
      <w:r>
        <w:rPr>
          <w:rFonts w:hint="eastAsia" w:ascii="宋体" w:hAnsi="宋体" w:eastAsia="宋体" w:cs="Times New Roman"/>
          <w:sz w:val="28"/>
          <w:szCs w:val="28"/>
        </w:rPr>
        <w:t>万元，</w:t>
      </w:r>
      <w:r>
        <w:rPr>
          <w:rFonts w:hint="eastAsia" w:ascii="宋体" w:hAnsi="宋体" w:eastAsia="宋体" w:cs="Times New Roman"/>
          <w:b w:val="0"/>
          <w:bCs/>
          <w:sz w:val="28"/>
          <w:szCs w:val="28"/>
          <w:lang w:val="en-US" w:eastAsia="zh-CN"/>
        </w:rPr>
        <w:t>较上年预算安排减少26.45万元；</w:t>
      </w:r>
      <w:r>
        <w:rPr>
          <w:rFonts w:hint="eastAsia" w:ascii="宋体" w:hAnsi="宋体" w:eastAsia="宋体" w:cs="Times New Roman"/>
          <w:sz w:val="28"/>
          <w:szCs w:val="28"/>
          <w:lang w:eastAsia="zh-CN"/>
        </w:rPr>
        <w:t>城乡社区</w:t>
      </w:r>
      <w:r>
        <w:rPr>
          <w:rFonts w:hint="eastAsia" w:ascii="宋体" w:hAnsi="宋体" w:eastAsia="宋体" w:cs="Times New Roman"/>
          <w:sz w:val="28"/>
          <w:szCs w:val="28"/>
        </w:rPr>
        <w:t>支出</w:t>
      </w:r>
      <w:r>
        <w:rPr>
          <w:rFonts w:hint="eastAsia" w:ascii="宋体" w:hAnsi="宋体" w:eastAsia="宋体" w:cs="Times New Roman"/>
          <w:sz w:val="28"/>
          <w:szCs w:val="28"/>
          <w:lang w:val="en-US" w:eastAsia="zh-CN"/>
        </w:rPr>
        <w:t>1982.98</w:t>
      </w:r>
      <w:r>
        <w:rPr>
          <w:rFonts w:hint="eastAsia" w:ascii="宋体" w:hAnsi="宋体" w:eastAsia="宋体" w:cs="Times New Roman"/>
          <w:sz w:val="28"/>
          <w:szCs w:val="28"/>
        </w:rPr>
        <w:t>万元</w:t>
      </w:r>
      <w:r>
        <w:rPr>
          <w:rFonts w:hint="eastAsia" w:ascii="宋体" w:hAnsi="宋体" w:eastAsia="宋体" w:cs="Times New Roman"/>
          <w:sz w:val="28"/>
          <w:szCs w:val="28"/>
          <w:lang w:eastAsia="zh-CN"/>
        </w:rPr>
        <w:t>，</w:t>
      </w:r>
      <w:r>
        <w:rPr>
          <w:rFonts w:hint="eastAsia" w:ascii="宋体" w:hAnsi="宋体" w:eastAsia="宋体" w:cs="Times New Roman"/>
          <w:b w:val="0"/>
          <w:bCs/>
          <w:sz w:val="28"/>
          <w:szCs w:val="28"/>
          <w:lang w:val="en-US" w:eastAsia="zh-CN"/>
        </w:rPr>
        <w:t>较上年预算安排增加437.39万元</w:t>
      </w:r>
      <w:r>
        <w:rPr>
          <w:rFonts w:hint="eastAsia" w:ascii="宋体" w:hAnsi="宋体" w:eastAsia="宋体" w:cs="Times New Roman"/>
          <w:sz w:val="28"/>
          <w:szCs w:val="28"/>
          <w:lang w:eastAsia="zh-CN"/>
        </w:rPr>
        <w:t>；住房保障支出</w:t>
      </w:r>
      <w:r>
        <w:rPr>
          <w:rFonts w:hint="eastAsia" w:ascii="宋体" w:hAnsi="宋体" w:eastAsia="宋体" w:cs="Times New Roman"/>
          <w:sz w:val="28"/>
          <w:szCs w:val="28"/>
          <w:lang w:val="en-US" w:eastAsia="zh-CN"/>
        </w:rPr>
        <w:t>69.64万元，</w:t>
      </w:r>
      <w:r>
        <w:rPr>
          <w:rFonts w:hint="eastAsia" w:ascii="宋体" w:hAnsi="宋体" w:eastAsia="宋体" w:cs="Times New Roman"/>
          <w:b w:val="0"/>
          <w:bCs/>
          <w:sz w:val="28"/>
          <w:szCs w:val="28"/>
          <w:lang w:val="en-US" w:eastAsia="zh-CN"/>
        </w:rPr>
        <w:t>较上年预算安排减少13.75万元</w:t>
      </w:r>
      <w:r>
        <w:rPr>
          <w:rFonts w:hint="eastAsia" w:ascii="宋体" w:hAnsi="宋体" w:eastAsia="宋体" w:cs="Times New Roman"/>
          <w:sz w:val="28"/>
          <w:szCs w:val="28"/>
          <w:lang w:val="en-US" w:eastAsia="zh-CN"/>
        </w:rPr>
        <w:t>。</w:t>
      </w:r>
    </w:p>
    <w:p>
      <w:pPr>
        <w:spacing w:line="560" w:lineRule="exact"/>
        <w:ind w:firstLine="560" w:firstLineChars="200"/>
        <w:rPr>
          <w:rFonts w:hint="eastAsia"/>
          <w:lang w:val="en-US" w:eastAsia="zh-CN"/>
        </w:rPr>
      </w:pPr>
      <w:r>
        <w:rPr>
          <w:rFonts w:hint="eastAsia" w:ascii="宋体" w:hAnsi="宋体" w:eastAsia="宋体" w:cs="Times New Roman"/>
          <w:b w:val="0"/>
          <w:bCs/>
          <w:sz w:val="28"/>
          <w:szCs w:val="28"/>
          <w:lang w:val="en-US" w:eastAsia="zh-CN"/>
        </w:rPr>
        <w:t>按支出项目类别划分：基本支出2190.79万元，较上年预算安排增加678.72万元，其中：工资福利支出1225.71万元，商品和服务支出619.34万元，对个人和家庭的支出2.9万元，资本性支出342.84万元。项目支出839.82万元，较上年预算安排增加461.33万元，其中工资福利支出0万元，商品和服务支出227万元，资本性支出300万元，其他支出312.82万元。</w:t>
      </w:r>
    </w:p>
    <w:p>
      <w:pPr>
        <w:numPr>
          <w:ilvl w:val="0"/>
          <w:numId w:val="3"/>
        </w:numPr>
        <w:spacing w:line="560" w:lineRule="exact"/>
        <w:ind w:left="280" w:leftChars="0" w:firstLine="560" w:firstLineChars="0"/>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政府性基金情况</w:t>
      </w:r>
    </w:p>
    <w:p>
      <w:pPr>
        <w:numPr>
          <w:ilvl w:val="0"/>
          <w:numId w:val="0"/>
        </w:numPr>
        <w:spacing w:line="560" w:lineRule="exact"/>
        <w:ind w:firstLine="560" w:firstLineChars="200"/>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本部门2022年无政府性基金拨款安排的支出。</w:t>
      </w:r>
    </w:p>
    <w:p>
      <w:pPr>
        <w:numPr>
          <w:ilvl w:val="0"/>
          <w:numId w:val="3"/>
        </w:numPr>
        <w:spacing w:line="560" w:lineRule="exact"/>
        <w:ind w:left="280" w:leftChars="0" w:firstLine="560" w:firstLineChars="0"/>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机关运行经费等重要事项的说明</w:t>
      </w:r>
    </w:p>
    <w:p>
      <w:pPr>
        <w:numPr>
          <w:ilvl w:val="0"/>
          <w:numId w:val="0"/>
        </w:numPr>
        <w:spacing w:line="560" w:lineRule="exact"/>
        <w:ind w:leftChars="200" w:firstLine="280" w:firstLineChars="100"/>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2022年部门机关运行费预算619.34万元。</w:t>
      </w:r>
      <w:r>
        <w:rPr>
          <w:rFonts w:hint="eastAsia" w:ascii="宋体" w:hAnsi="宋体" w:eastAsia="宋体" w:cs="Times New Roman"/>
          <w:sz w:val="28"/>
          <w:szCs w:val="28"/>
        </w:rPr>
        <w:t>比</w:t>
      </w:r>
      <w:r>
        <w:rPr>
          <w:rFonts w:hint="eastAsia" w:ascii="宋体" w:hAnsi="宋体" w:eastAsia="宋体" w:cs="Times New Roman"/>
          <w:sz w:val="28"/>
          <w:szCs w:val="28"/>
          <w:lang w:val="en-US" w:eastAsia="zh-CN"/>
        </w:rPr>
        <w:t>2021</w:t>
      </w:r>
      <w:r>
        <w:rPr>
          <w:rFonts w:hint="eastAsia" w:ascii="宋体" w:hAnsi="宋体" w:eastAsia="宋体" w:cs="Times New Roman"/>
          <w:sz w:val="28"/>
          <w:szCs w:val="28"/>
        </w:rPr>
        <w:t>年</w:t>
      </w:r>
      <w:r>
        <w:rPr>
          <w:rFonts w:hint="eastAsia" w:ascii="宋体" w:hAnsi="宋体" w:eastAsia="宋体" w:cs="Times New Roman"/>
          <w:sz w:val="28"/>
          <w:szCs w:val="28"/>
          <w:lang w:eastAsia="zh-CN"/>
        </w:rPr>
        <w:t>增加</w:t>
      </w:r>
      <w:r>
        <w:rPr>
          <w:rFonts w:hint="eastAsia" w:ascii="宋体" w:hAnsi="宋体" w:eastAsia="宋体" w:cs="Times New Roman"/>
          <w:sz w:val="28"/>
          <w:szCs w:val="28"/>
          <w:lang w:val="en-US" w:eastAsia="zh-CN"/>
        </w:rPr>
        <w:t>452.24</w:t>
      </w:r>
      <w:r>
        <w:rPr>
          <w:rFonts w:hint="eastAsia" w:ascii="宋体" w:hAnsi="宋体" w:eastAsia="宋体" w:cs="Times New Roman"/>
          <w:sz w:val="28"/>
          <w:szCs w:val="28"/>
        </w:rPr>
        <w:t>万元</w:t>
      </w:r>
      <w:r>
        <w:rPr>
          <w:rFonts w:hint="eastAsia" w:ascii="宋体" w:hAnsi="宋体" w:eastAsia="宋体" w:cs="Times New Roman"/>
          <w:sz w:val="28"/>
          <w:szCs w:val="28"/>
          <w:lang w:eastAsia="zh-CN"/>
        </w:rPr>
        <w:t>，</w:t>
      </w:r>
      <w:r>
        <w:rPr>
          <w:rFonts w:hint="eastAsia" w:ascii="宋体" w:hAnsi="宋体" w:eastAsia="宋体" w:cs="宋体"/>
          <w:kern w:val="0"/>
          <w:sz w:val="28"/>
          <w:szCs w:val="28"/>
          <w:lang w:val="en-US" w:eastAsia="zh-CN" w:bidi="ar-SA"/>
        </w:rPr>
        <w:t>增长比例270.64%。</w:t>
      </w:r>
    </w:p>
    <w:p>
      <w:pPr>
        <w:numPr>
          <w:ilvl w:val="0"/>
          <w:numId w:val="0"/>
        </w:numPr>
        <w:spacing w:line="560" w:lineRule="exact"/>
        <w:ind w:firstLine="280" w:firstLineChars="100"/>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（六）政府采购情况</w:t>
      </w:r>
    </w:p>
    <w:p>
      <w:pPr>
        <w:numPr>
          <w:ilvl w:val="0"/>
          <w:numId w:val="0"/>
        </w:numPr>
        <w:spacing w:line="560" w:lineRule="exact"/>
        <w:ind w:leftChars="200" w:firstLine="280" w:firstLineChars="100"/>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2022年部门政府采购总额332.84万元，其中：政府采购货物预算332.84万元。</w:t>
      </w:r>
    </w:p>
    <w:p>
      <w:pPr>
        <w:numPr>
          <w:ilvl w:val="0"/>
          <w:numId w:val="0"/>
        </w:numPr>
        <w:spacing w:line="560" w:lineRule="exact"/>
        <w:ind w:firstLine="280" w:firstLineChars="100"/>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（七）国有资产占用情况说明</w:t>
      </w: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截至 2021 年 12 月 31 日，部门共有车辆 1辆，其中一般公 </w:t>
      </w:r>
    </w:p>
    <w:p>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务用车0 辆、特种专业技术 用车（人防指挥车）1 辆。 </w:t>
      </w: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560" w:firstLineChars="200"/>
        <w:jc w:val="left"/>
        <w:textAlignment w:val="auto"/>
        <w:rPr>
          <w:rFonts w:hint="eastAsia" w:ascii="宋体" w:hAnsi="宋体" w:eastAsia="宋体" w:cs="Times New Roman"/>
          <w:b w:val="0"/>
          <w:bCs w:val="0"/>
          <w:sz w:val="28"/>
          <w:szCs w:val="28"/>
          <w:lang w:val="en-US" w:eastAsia="zh-CN"/>
        </w:rPr>
      </w:pPr>
      <w:r>
        <w:rPr>
          <w:rFonts w:hint="eastAsia" w:ascii="宋体" w:hAnsi="宋体" w:eastAsia="宋体" w:cs="宋体"/>
          <w:color w:val="000000"/>
          <w:kern w:val="0"/>
          <w:sz w:val="28"/>
          <w:szCs w:val="28"/>
          <w:lang w:val="en-US" w:eastAsia="zh-CN" w:bidi="ar"/>
        </w:rPr>
        <w:t>2022 年预算未安排购置车辆，未安排购置单位价值 200 万 元以上大型设备。</w:t>
      </w:r>
    </w:p>
    <w:p>
      <w:pPr>
        <w:pStyle w:val="2"/>
        <w:numPr>
          <w:ilvl w:val="0"/>
          <w:numId w:val="4"/>
        </w:numPr>
        <w:ind w:left="385"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国有资本经营情况说明</w:t>
      </w:r>
    </w:p>
    <w:p>
      <w:pPr>
        <w:numPr>
          <w:ilvl w:val="0"/>
          <w:numId w:val="0"/>
        </w:numPr>
        <w:ind w:firstLine="280" w:firstLineChars="1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2022年本部门无国有资本经营预算支出。</w:t>
      </w:r>
    </w:p>
    <w:p>
      <w:pPr>
        <w:numPr>
          <w:ilvl w:val="0"/>
          <w:numId w:val="0"/>
        </w:numPr>
        <w:spacing w:line="560" w:lineRule="exact"/>
        <w:ind w:firstLine="280" w:firstLineChars="100"/>
        <w:rPr>
          <w:rFonts w:hint="eastAsia" w:ascii="宋体" w:hAnsi="宋体" w:eastAsia="宋体" w:cs="Times New Roman"/>
          <w:b w:val="0"/>
          <w:bCs w:val="0"/>
          <w:sz w:val="28"/>
          <w:szCs w:val="28"/>
          <w:lang w:val="en-US" w:eastAsia="zh-CN"/>
        </w:rPr>
      </w:pPr>
      <w:r>
        <w:rPr>
          <w:rFonts w:hint="eastAsia" w:ascii="宋体" w:hAnsi="宋体" w:eastAsia="宋体" w:cs="Times New Roman"/>
          <w:b w:val="0"/>
          <w:bCs w:val="0"/>
          <w:sz w:val="28"/>
          <w:szCs w:val="28"/>
          <w:lang w:val="en-US" w:eastAsia="zh-CN"/>
        </w:rPr>
        <w:t>（九）绩效目标设置情况</w:t>
      </w:r>
    </w:p>
    <w:p>
      <w:pPr>
        <w:numPr>
          <w:ilvl w:val="0"/>
          <w:numId w:val="0"/>
        </w:numPr>
        <w:spacing w:line="560" w:lineRule="exact"/>
        <w:ind w:firstLine="280" w:firstLineChars="10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2022年实行绩效目标管理的项目3个，涉及资金800万元。</w:t>
      </w:r>
    </w:p>
    <w:p>
      <w:pPr>
        <w:numPr>
          <w:ilvl w:val="0"/>
          <w:numId w:val="0"/>
        </w:numPr>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兴国县既有住宅加装电梯项目：</w:t>
      </w:r>
    </w:p>
    <w:p>
      <w:pPr>
        <w:numPr>
          <w:ilvl w:val="0"/>
          <w:numId w:val="5"/>
        </w:numPr>
        <w:rPr>
          <w:rFonts w:hint="eastAsia" w:ascii="宋体" w:hAnsi="宋体" w:eastAsia="宋体" w:cs="宋体"/>
          <w:sz w:val="28"/>
          <w:szCs w:val="28"/>
          <w:lang w:eastAsia="zh-CN"/>
        </w:rPr>
      </w:pPr>
      <w:r>
        <w:rPr>
          <w:rFonts w:hint="eastAsia" w:ascii="宋体" w:hAnsi="宋体" w:eastAsia="宋体" w:cs="宋体"/>
          <w:sz w:val="28"/>
          <w:szCs w:val="28"/>
          <w:lang w:val="en-US" w:eastAsia="zh-CN"/>
        </w:rPr>
        <w:t>项目概况：</w:t>
      </w:r>
      <w:r>
        <w:rPr>
          <w:rFonts w:hint="eastAsia" w:ascii="宋体" w:hAnsi="宋体" w:eastAsia="宋体" w:cs="宋体"/>
          <w:sz w:val="28"/>
          <w:szCs w:val="28"/>
        </w:rPr>
        <w:t>为进一步改善老旧小区基础设施，提升小区居民生活环境质量</w:t>
      </w:r>
      <w:r>
        <w:rPr>
          <w:rFonts w:hint="eastAsia" w:ascii="宋体" w:hAnsi="宋体" w:eastAsia="宋体" w:cs="宋体"/>
          <w:sz w:val="28"/>
          <w:szCs w:val="28"/>
          <w:lang w:eastAsia="zh-CN"/>
        </w:rPr>
        <w:t>。</w:t>
      </w:r>
    </w:p>
    <w:p>
      <w:pPr>
        <w:numPr>
          <w:ilvl w:val="0"/>
          <w:numId w:val="5"/>
        </w:numPr>
        <w:rPr>
          <w:rFonts w:hint="eastAsia" w:ascii="宋体" w:hAnsi="宋体" w:eastAsia="宋体" w:cs="宋体"/>
          <w:sz w:val="28"/>
          <w:szCs w:val="28"/>
        </w:rPr>
      </w:pPr>
      <w:r>
        <w:rPr>
          <w:rFonts w:hint="eastAsia" w:ascii="宋体" w:hAnsi="宋体" w:eastAsia="宋体" w:cs="宋体"/>
          <w:sz w:val="28"/>
          <w:szCs w:val="28"/>
        </w:rPr>
        <w:t>立项依据</w:t>
      </w:r>
      <w:r>
        <w:rPr>
          <w:rFonts w:hint="eastAsia" w:ascii="宋体" w:hAnsi="宋体" w:eastAsia="宋体" w:cs="宋体"/>
          <w:sz w:val="28"/>
          <w:szCs w:val="28"/>
          <w:lang w:eastAsia="zh-CN"/>
        </w:rPr>
        <w:t>：</w:t>
      </w:r>
      <w:r>
        <w:rPr>
          <w:rFonts w:hint="eastAsia" w:ascii="宋体" w:hAnsi="宋体" w:eastAsia="宋体" w:cs="宋体"/>
          <w:sz w:val="28"/>
          <w:szCs w:val="28"/>
        </w:rPr>
        <w:t>为政府已制定印发《兴国县既有住宅加装电梯暂行办法》《关于印发〈兴国县既有住宅加装电梯暂行办法〉的通知》（兴府办发[2020]12号）。</w:t>
      </w:r>
    </w:p>
    <w:p>
      <w:pPr>
        <w:numPr>
          <w:ilvl w:val="0"/>
          <w:numId w:val="5"/>
        </w:numPr>
        <w:rPr>
          <w:rFonts w:hint="eastAsia" w:ascii="宋体" w:hAnsi="宋体" w:eastAsia="宋体" w:cs="宋体"/>
          <w:sz w:val="28"/>
          <w:szCs w:val="28"/>
        </w:rPr>
      </w:pPr>
      <w:r>
        <w:rPr>
          <w:rFonts w:hint="eastAsia" w:ascii="宋体" w:hAnsi="宋体" w:eastAsia="宋体" w:cs="宋体"/>
          <w:sz w:val="28"/>
          <w:szCs w:val="28"/>
          <w:lang w:eastAsia="zh-CN"/>
        </w:rPr>
        <w:t>实施主体：该项目的实施主体为兴国县住房和城乡建设局。</w:t>
      </w:r>
    </w:p>
    <w:p>
      <w:pPr>
        <w:numPr>
          <w:ilvl w:val="0"/>
          <w:numId w:val="5"/>
        </w:numPr>
        <w:rPr>
          <w:rFonts w:hint="eastAsia" w:ascii="宋体" w:hAnsi="宋体" w:eastAsia="宋体" w:cs="宋体"/>
          <w:sz w:val="28"/>
          <w:szCs w:val="28"/>
        </w:rPr>
      </w:pPr>
      <w:r>
        <w:rPr>
          <w:rFonts w:hint="eastAsia" w:ascii="宋体" w:hAnsi="宋体" w:eastAsia="宋体" w:cs="宋体"/>
          <w:sz w:val="28"/>
          <w:szCs w:val="28"/>
          <w:lang w:eastAsia="zh-CN"/>
        </w:rPr>
        <w:t>实施方案：对符合条件、群众达成统一意愿的住宅加装电梯。</w:t>
      </w:r>
    </w:p>
    <w:p>
      <w:pPr>
        <w:numPr>
          <w:ilvl w:val="0"/>
          <w:numId w:val="5"/>
        </w:numPr>
        <w:rPr>
          <w:rFonts w:hint="eastAsia" w:ascii="宋体" w:hAnsi="宋体" w:eastAsia="宋体" w:cs="宋体"/>
          <w:sz w:val="28"/>
          <w:szCs w:val="28"/>
        </w:rPr>
      </w:pPr>
      <w:r>
        <w:rPr>
          <w:rFonts w:hint="eastAsia" w:ascii="宋体" w:hAnsi="宋体" w:eastAsia="宋体" w:cs="宋体"/>
          <w:sz w:val="28"/>
          <w:szCs w:val="28"/>
          <w:lang w:eastAsia="zh-CN"/>
        </w:rPr>
        <w:t>实施周期：该项目实施周期为一年。</w:t>
      </w:r>
    </w:p>
    <w:p>
      <w:pPr>
        <w:numPr>
          <w:ilvl w:val="0"/>
          <w:numId w:val="5"/>
        </w:numPr>
        <w:rPr>
          <w:rFonts w:hint="eastAsia" w:ascii="宋体" w:hAnsi="宋体" w:eastAsia="宋体" w:cs="宋体"/>
          <w:sz w:val="28"/>
          <w:szCs w:val="28"/>
        </w:rPr>
      </w:pPr>
      <w:r>
        <w:rPr>
          <w:rFonts w:hint="eastAsia" w:ascii="宋体" w:hAnsi="宋体" w:eastAsia="宋体" w:cs="宋体"/>
          <w:sz w:val="28"/>
          <w:szCs w:val="28"/>
        </w:rPr>
        <w:t>年度预算安排</w:t>
      </w:r>
      <w:r>
        <w:rPr>
          <w:rFonts w:hint="eastAsia" w:ascii="宋体" w:hAnsi="宋体" w:eastAsia="宋体" w:cs="宋体"/>
          <w:sz w:val="28"/>
          <w:szCs w:val="28"/>
          <w:lang w:eastAsia="zh-CN"/>
        </w:rPr>
        <w:t>：该项目年度预算为</w:t>
      </w:r>
      <w:r>
        <w:rPr>
          <w:rFonts w:hint="eastAsia" w:ascii="宋体" w:hAnsi="宋体" w:eastAsia="宋体" w:cs="宋体"/>
          <w:sz w:val="28"/>
          <w:szCs w:val="28"/>
        </w:rPr>
        <w:t>财政拨款3</w:t>
      </w:r>
      <w:r>
        <w:rPr>
          <w:rFonts w:hint="eastAsia" w:ascii="宋体" w:hAnsi="宋体" w:eastAsia="宋体" w:cs="宋体"/>
          <w:sz w:val="28"/>
          <w:szCs w:val="28"/>
          <w:lang w:val="en-US" w:eastAsia="zh-CN"/>
        </w:rPr>
        <w:t>20</w:t>
      </w:r>
      <w:r>
        <w:rPr>
          <w:rFonts w:hint="eastAsia" w:ascii="宋体" w:hAnsi="宋体" w:eastAsia="宋体" w:cs="宋体"/>
          <w:sz w:val="28"/>
          <w:szCs w:val="28"/>
        </w:rPr>
        <w:t>万元。</w:t>
      </w:r>
    </w:p>
    <w:p>
      <w:pPr>
        <w:numPr>
          <w:ilvl w:val="0"/>
          <w:numId w:val="5"/>
        </w:numPr>
        <w:rPr>
          <w:rFonts w:hint="eastAsia" w:ascii="宋体" w:hAnsi="宋体" w:eastAsia="宋体" w:cs="宋体"/>
          <w:sz w:val="28"/>
          <w:szCs w:val="28"/>
        </w:rPr>
      </w:pPr>
      <w:r>
        <w:rPr>
          <w:rFonts w:hint="eastAsia" w:ascii="宋体" w:hAnsi="宋体" w:eastAsia="宋体" w:cs="宋体"/>
          <w:sz w:val="28"/>
          <w:szCs w:val="28"/>
        </w:rPr>
        <w:t>年度绩效目标：一是2022年底前完成16台,全面完成上级任务；</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二是切实解决好群众反映强烈的“上楼难”问题。</w:t>
      </w:r>
    </w:p>
    <w:p>
      <w:pPr>
        <w:numPr>
          <w:ilvl w:val="0"/>
          <w:numId w:val="0"/>
        </w:num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2、兴国县第三批购房消费奖励资金：</w:t>
      </w:r>
    </w:p>
    <w:p>
      <w:pPr>
        <w:numPr>
          <w:ilvl w:val="0"/>
          <w:numId w:val="6"/>
        </w:numPr>
        <w:ind w:left="630" w:leftChars="0" w:firstLine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项目概况：为了疫情期间，稳定我县房地产业健康发展，保障人民群众住房问题。</w:t>
      </w:r>
    </w:p>
    <w:p>
      <w:pPr>
        <w:numPr>
          <w:ilvl w:val="0"/>
          <w:numId w:val="6"/>
        </w:numPr>
        <w:ind w:left="630" w:leftChars="0" w:firstLineChars="0"/>
        <w:rPr>
          <w:rFonts w:hint="eastAsia" w:ascii="宋体" w:hAnsi="宋体" w:eastAsia="宋体" w:cs="宋体"/>
          <w:sz w:val="28"/>
          <w:szCs w:val="28"/>
        </w:rPr>
      </w:pPr>
      <w:r>
        <w:rPr>
          <w:rFonts w:hint="eastAsia" w:ascii="宋体" w:hAnsi="宋体" w:eastAsia="宋体" w:cs="宋体"/>
          <w:sz w:val="28"/>
          <w:szCs w:val="28"/>
          <w:lang w:val="en-US" w:eastAsia="zh-CN"/>
        </w:rPr>
        <w:t>立项依据：为《关于有效应对疫情促进我县房地产业健康发展的通知》（兴府办字〔2020〕36号）。</w:t>
      </w:r>
    </w:p>
    <w:p>
      <w:pPr>
        <w:numPr>
          <w:ilvl w:val="0"/>
          <w:numId w:val="6"/>
        </w:numPr>
        <w:ind w:left="630" w:leftChars="0" w:firstLineChars="0"/>
        <w:rPr>
          <w:rFonts w:hint="eastAsia" w:ascii="宋体" w:hAnsi="宋体" w:eastAsia="宋体" w:cs="宋体"/>
          <w:sz w:val="28"/>
          <w:szCs w:val="28"/>
        </w:rPr>
      </w:pPr>
      <w:r>
        <w:rPr>
          <w:rFonts w:hint="eastAsia" w:ascii="宋体" w:hAnsi="宋体" w:eastAsia="宋体" w:cs="宋体"/>
          <w:sz w:val="28"/>
          <w:szCs w:val="28"/>
          <w:lang w:eastAsia="zh-CN"/>
        </w:rPr>
        <w:t>实施主体：该项目的实施主体为兴国县住房和城乡建设局。</w:t>
      </w:r>
    </w:p>
    <w:p>
      <w:pPr>
        <w:numPr>
          <w:ilvl w:val="0"/>
          <w:numId w:val="6"/>
        </w:numPr>
        <w:ind w:left="630" w:leftChars="0" w:firstLineChars="0"/>
        <w:rPr>
          <w:rFonts w:hint="eastAsia" w:ascii="宋体" w:hAnsi="宋体" w:eastAsia="宋体" w:cs="宋体"/>
          <w:sz w:val="28"/>
          <w:szCs w:val="28"/>
        </w:rPr>
      </w:pPr>
      <w:r>
        <w:rPr>
          <w:rFonts w:hint="eastAsia" w:ascii="宋体" w:hAnsi="宋体" w:eastAsia="宋体" w:cs="宋体"/>
          <w:sz w:val="28"/>
          <w:szCs w:val="28"/>
          <w:lang w:eastAsia="zh-CN"/>
        </w:rPr>
        <w:t>实施方案：对首次购买</w:t>
      </w:r>
      <w:r>
        <w:rPr>
          <w:rFonts w:hint="eastAsia" w:ascii="宋体" w:hAnsi="宋体" w:eastAsia="宋体" w:cs="宋体"/>
          <w:sz w:val="28"/>
          <w:szCs w:val="28"/>
          <w:lang w:val="en-US" w:eastAsia="zh-CN"/>
        </w:rPr>
        <w:t>城区商品</w:t>
      </w:r>
      <w:r>
        <w:rPr>
          <w:rFonts w:hint="eastAsia" w:ascii="宋体" w:hAnsi="宋体" w:eastAsia="宋体" w:cs="宋体"/>
          <w:sz w:val="28"/>
          <w:szCs w:val="28"/>
          <w:lang w:eastAsia="zh-CN"/>
        </w:rPr>
        <w:t>住房和商业店铺的实行</w:t>
      </w:r>
      <w:r>
        <w:rPr>
          <w:rFonts w:hint="eastAsia" w:ascii="宋体" w:hAnsi="宋体" w:eastAsia="宋体" w:cs="宋体"/>
          <w:sz w:val="28"/>
          <w:szCs w:val="28"/>
          <w:lang w:val="en-US" w:eastAsia="zh-CN"/>
        </w:rPr>
        <w:t>契税奖励</w:t>
      </w:r>
      <w:r>
        <w:rPr>
          <w:rFonts w:hint="eastAsia" w:ascii="宋体" w:hAnsi="宋体" w:eastAsia="宋体" w:cs="宋体"/>
          <w:sz w:val="28"/>
          <w:szCs w:val="28"/>
          <w:lang w:eastAsia="zh-CN"/>
        </w:rPr>
        <w:t>。</w:t>
      </w:r>
    </w:p>
    <w:p>
      <w:pPr>
        <w:numPr>
          <w:ilvl w:val="0"/>
          <w:numId w:val="6"/>
        </w:numPr>
        <w:ind w:left="630" w:leftChars="0" w:firstLineChars="0"/>
        <w:rPr>
          <w:rFonts w:hint="eastAsia" w:ascii="宋体" w:hAnsi="宋体" w:eastAsia="宋体" w:cs="宋体"/>
          <w:sz w:val="28"/>
          <w:szCs w:val="28"/>
        </w:rPr>
      </w:pPr>
      <w:r>
        <w:rPr>
          <w:rFonts w:hint="eastAsia" w:ascii="宋体" w:hAnsi="宋体" w:eastAsia="宋体" w:cs="宋体"/>
          <w:sz w:val="28"/>
          <w:szCs w:val="28"/>
          <w:lang w:eastAsia="zh-CN"/>
        </w:rPr>
        <w:t>实施周期：该项目实施周期为一年。</w:t>
      </w:r>
    </w:p>
    <w:p>
      <w:pPr>
        <w:numPr>
          <w:ilvl w:val="0"/>
          <w:numId w:val="6"/>
        </w:numPr>
        <w:ind w:left="630" w:leftChars="0" w:firstLine="0" w:firstLineChars="0"/>
        <w:rPr>
          <w:rFonts w:hint="eastAsia" w:ascii="宋体" w:hAnsi="宋体" w:eastAsia="宋体" w:cs="宋体"/>
          <w:sz w:val="28"/>
          <w:szCs w:val="28"/>
        </w:rPr>
      </w:pPr>
      <w:r>
        <w:rPr>
          <w:rFonts w:hint="eastAsia" w:ascii="宋体" w:hAnsi="宋体" w:eastAsia="宋体" w:cs="宋体"/>
          <w:sz w:val="28"/>
          <w:szCs w:val="28"/>
        </w:rPr>
        <w:t>年度预算安排</w:t>
      </w:r>
      <w:r>
        <w:rPr>
          <w:rFonts w:hint="eastAsia" w:ascii="宋体" w:hAnsi="宋体" w:eastAsia="宋体" w:cs="宋体"/>
          <w:sz w:val="28"/>
          <w:szCs w:val="28"/>
          <w:lang w:eastAsia="zh-CN"/>
        </w:rPr>
        <w:t>：该项目年度预算为</w:t>
      </w:r>
      <w:r>
        <w:rPr>
          <w:rFonts w:hint="eastAsia" w:ascii="宋体" w:hAnsi="宋体" w:eastAsia="宋体" w:cs="宋体"/>
          <w:sz w:val="28"/>
          <w:szCs w:val="28"/>
        </w:rPr>
        <w:t>财政拨款300万元。</w:t>
      </w:r>
    </w:p>
    <w:p>
      <w:pPr>
        <w:numPr>
          <w:ilvl w:val="0"/>
          <w:numId w:val="6"/>
        </w:numPr>
        <w:ind w:left="630" w:leftChars="0" w:firstLine="0" w:firstLineChars="0"/>
        <w:rPr>
          <w:rFonts w:hint="eastAsia" w:ascii="宋体" w:hAnsi="宋体" w:eastAsia="宋体" w:cs="宋体"/>
          <w:sz w:val="28"/>
          <w:szCs w:val="28"/>
        </w:rPr>
      </w:pPr>
      <w:r>
        <w:rPr>
          <w:rFonts w:hint="eastAsia" w:ascii="宋体" w:hAnsi="宋体" w:eastAsia="宋体" w:cs="宋体"/>
          <w:sz w:val="28"/>
          <w:szCs w:val="28"/>
          <w:lang w:val="en-US" w:eastAsia="zh-CN"/>
        </w:rPr>
        <w:t>年度绩效目标：一是完成上级文件精神，落实工作任务，全面完成住房契税奖励发放工作。二是完全发放符合条件的320余户购房消费奖励金，提高群众满意度98%。</w:t>
      </w:r>
    </w:p>
    <w:p>
      <w:pPr>
        <w:keepNext w:val="0"/>
        <w:keepLines w:val="0"/>
        <w:pageBreakBefore w:val="0"/>
        <w:widowControl/>
        <w:numPr>
          <w:numId w:val="0"/>
        </w:numPr>
        <w:kinsoku/>
        <w:wordWrap/>
        <w:overflowPunct/>
        <w:topLinePunct w:val="0"/>
        <w:autoSpaceDE/>
        <w:autoSpaceDN/>
        <w:bidi w:val="0"/>
        <w:spacing w:line="560" w:lineRule="exact"/>
        <w:ind w:left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w:t>
      </w:r>
      <w:bookmarkStart w:id="0" w:name="_GoBack"/>
      <w:bookmarkEnd w:id="0"/>
      <w:r>
        <w:rPr>
          <w:rFonts w:hint="eastAsia" w:ascii="宋体" w:hAnsi="宋体" w:eastAsia="宋体" w:cs="宋体"/>
          <w:sz w:val="28"/>
          <w:szCs w:val="28"/>
        </w:rPr>
        <w:t>施工图全覆盖核查工作经费</w:t>
      </w:r>
      <w:r>
        <w:rPr>
          <w:rFonts w:hint="eastAsia" w:ascii="宋体" w:hAnsi="宋体" w:eastAsia="宋体" w:cs="宋体"/>
          <w:sz w:val="28"/>
          <w:szCs w:val="28"/>
          <w:lang w:val="en-US" w:eastAsia="zh-CN"/>
        </w:rPr>
        <w:t>项目：</w:t>
      </w:r>
    </w:p>
    <w:p>
      <w:pPr>
        <w:keepNext w:val="0"/>
        <w:keepLines w:val="0"/>
        <w:pageBreakBefore w:val="0"/>
        <w:widowControl/>
        <w:numPr>
          <w:ilvl w:val="0"/>
          <w:numId w:val="7"/>
        </w:numPr>
        <w:kinsoku/>
        <w:wordWrap/>
        <w:overflowPunct/>
        <w:topLinePunct w:val="0"/>
        <w:autoSpaceDE/>
        <w:autoSpaceDN/>
        <w:bidi w:val="0"/>
        <w:spacing w:line="560" w:lineRule="exact"/>
        <w:ind w:leftChars="200"/>
        <w:jc w:val="both"/>
        <w:textAlignment w:val="auto"/>
        <w:rPr>
          <w:rFonts w:hint="eastAsia" w:ascii="宋体" w:hAnsi="宋体" w:eastAsia="宋体" w:cs="宋体"/>
          <w:i w:val="0"/>
          <w:caps w:val="0"/>
          <w:color w:val="000000"/>
          <w:spacing w:val="0"/>
          <w:sz w:val="28"/>
          <w:szCs w:val="28"/>
          <w:shd w:val="clear" w:color="auto" w:fill="auto"/>
          <w:lang w:eastAsia="zh-CN"/>
        </w:rPr>
      </w:pPr>
      <w:r>
        <w:rPr>
          <w:rFonts w:hint="eastAsia" w:ascii="宋体" w:hAnsi="宋体" w:eastAsia="宋体" w:cs="宋体"/>
          <w:sz w:val="28"/>
          <w:szCs w:val="28"/>
          <w:lang w:val="en-US" w:eastAsia="zh-CN"/>
        </w:rPr>
        <w:t>项目概况：根据上级文件要求，</w:t>
      </w:r>
      <w:r>
        <w:rPr>
          <w:rFonts w:hint="eastAsia" w:ascii="宋体" w:hAnsi="宋体" w:eastAsia="宋体" w:cs="宋体"/>
          <w:i w:val="0"/>
          <w:caps w:val="0"/>
          <w:color w:val="000000"/>
          <w:spacing w:val="0"/>
          <w:kern w:val="0"/>
          <w:sz w:val="28"/>
          <w:szCs w:val="28"/>
          <w:shd w:val="clear" w:color="auto" w:fill="FFFFFF"/>
          <w:lang w:val="en-US" w:eastAsia="zh-CN" w:bidi="ar"/>
        </w:rPr>
        <w:t>对低风险工程和一般工程建设单位选择</w:t>
      </w:r>
      <w:r>
        <w:rPr>
          <w:rFonts w:hint="eastAsia" w:ascii="宋体" w:hAnsi="宋体" w:eastAsia="宋体" w:cs="宋体"/>
          <w:color w:val="000000"/>
          <w:sz w:val="28"/>
          <w:szCs w:val="28"/>
          <w:lang w:val="en-US" w:eastAsia="zh-CN"/>
        </w:rPr>
        <w:t>不图审的，由住建部门</w:t>
      </w:r>
      <w:r>
        <w:rPr>
          <w:rFonts w:hint="eastAsia" w:ascii="宋体" w:hAnsi="宋体" w:eastAsia="宋体" w:cs="宋体"/>
          <w:i w:val="0"/>
          <w:caps w:val="0"/>
          <w:color w:val="000000"/>
          <w:spacing w:val="0"/>
          <w:kern w:val="0"/>
          <w:sz w:val="28"/>
          <w:szCs w:val="28"/>
          <w:shd w:val="clear" w:color="auto" w:fill="FFFFFF"/>
          <w:lang w:val="en-US" w:eastAsia="zh-CN" w:bidi="ar"/>
        </w:rPr>
        <w:t>通过政府购买服务委托有资质的施工图审查机构对施工图设计文件进行全覆盖核查</w:t>
      </w:r>
      <w:r>
        <w:rPr>
          <w:rFonts w:hint="eastAsia" w:ascii="宋体" w:hAnsi="宋体" w:eastAsia="宋体" w:cs="宋体"/>
          <w:i w:val="0"/>
          <w:caps w:val="0"/>
          <w:color w:val="000000"/>
          <w:spacing w:val="0"/>
          <w:kern w:val="0"/>
          <w:sz w:val="28"/>
          <w:szCs w:val="28"/>
          <w:shd w:val="clear" w:color="auto" w:fill="FFFFFF"/>
          <w:lang w:val="en" w:eastAsia="zh-CN" w:bidi="ar"/>
        </w:rPr>
        <w:t>，</w:t>
      </w:r>
      <w:r>
        <w:rPr>
          <w:rFonts w:hint="eastAsia" w:ascii="宋体" w:hAnsi="宋体" w:eastAsia="宋体" w:cs="宋体"/>
          <w:sz w:val="28"/>
          <w:szCs w:val="28"/>
          <w:lang w:eastAsia="zh-CN"/>
        </w:rPr>
        <w:t>施工图</w:t>
      </w:r>
      <w:r>
        <w:rPr>
          <w:rFonts w:hint="eastAsia" w:ascii="宋体" w:hAnsi="宋体" w:eastAsia="宋体" w:cs="宋体"/>
          <w:i w:val="0"/>
          <w:caps w:val="0"/>
          <w:color w:val="000000"/>
          <w:spacing w:val="0"/>
          <w:sz w:val="28"/>
          <w:szCs w:val="28"/>
          <w:shd w:val="clear" w:color="auto" w:fill="auto"/>
          <w:lang w:eastAsia="zh-CN"/>
        </w:rPr>
        <w:t>核查费用列入各级财政年度预算安排。</w:t>
      </w:r>
    </w:p>
    <w:p>
      <w:pPr>
        <w:keepNext w:val="0"/>
        <w:keepLines w:val="0"/>
        <w:pageBreakBefore w:val="0"/>
        <w:widowControl/>
        <w:numPr>
          <w:ilvl w:val="0"/>
          <w:numId w:val="7"/>
        </w:numPr>
        <w:kinsoku/>
        <w:wordWrap/>
        <w:overflowPunct/>
        <w:topLinePunct w:val="0"/>
        <w:autoSpaceDE/>
        <w:autoSpaceDN/>
        <w:bidi w:val="0"/>
        <w:spacing w:line="560" w:lineRule="exact"/>
        <w:ind w:leftChars="200"/>
        <w:jc w:val="both"/>
        <w:textAlignment w:val="auto"/>
        <w:rPr>
          <w:rFonts w:hint="eastAsia" w:ascii="宋体" w:hAnsi="宋体" w:eastAsia="宋体" w:cs="宋体"/>
          <w:i w:val="0"/>
          <w:caps w:val="0"/>
          <w:color w:val="000000"/>
          <w:spacing w:val="0"/>
          <w:sz w:val="28"/>
          <w:szCs w:val="28"/>
          <w:shd w:val="clear" w:color="auto" w:fill="auto"/>
          <w:lang w:eastAsia="zh-CN"/>
        </w:rPr>
      </w:pPr>
      <w:r>
        <w:rPr>
          <w:rFonts w:hint="eastAsia" w:ascii="宋体" w:hAnsi="宋体" w:eastAsia="宋体" w:cs="宋体"/>
          <w:sz w:val="28"/>
          <w:szCs w:val="28"/>
          <w:lang w:val="en-US" w:eastAsia="zh-CN"/>
        </w:rPr>
        <w:t>立项依据：根据上级文件要求，</w:t>
      </w:r>
      <w:r>
        <w:rPr>
          <w:rFonts w:hint="eastAsia" w:ascii="宋体" w:hAnsi="宋体" w:eastAsia="宋体" w:cs="宋体"/>
          <w:i w:val="0"/>
          <w:caps w:val="0"/>
          <w:color w:val="000000"/>
          <w:spacing w:val="0"/>
          <w:kern w:val="0"/>
          <w:sz w:val="28"/>
          <w:szCs w:val="28"/>
          <w:shd w:val="clear" w:color="auto" w:fill="FFFFFF"/>
          <w:lang w:val="en-US" w:eastAsia="zh-CN" w:bidi="ar"/>
        </w:rPr>
        <w:t>对低风险工程和一般工程建设单位选择</w:t>
      </w:r>
      <w:r>
        <w:rPr>
          <w:rFonts w:hint="eastAsia" w:ascii="宋体" w:hAnsi="宋体" w:eastAsia="宋体" w:cs="宋体"/>
          <w:color w:val="000000"/>
          <w:sz w:val="28"/>
          <w:szCs w:val="28"/>
          <w:lang w:val="en-US" w:eastAsia="zh-CN"/>
        </w:rPr>
        <w:t>不图审的，由住建部门</w:t>
      </w:r>
      <w:r>
        <w:rPr>
          <w:rFonts w:hint="eastAsia" w:ascii="宋体" w:hAnsi="宋体" w:eastAsia="宋体" w:cs="宋体"/>
          <w:i w:val="0"/>
          <w:caps w:val="0"/>
          <w:color w:val="000000"/>
          <w:spacing w:val="0"/>
          <w:kern w:val="0"/>
          <w:sz w:val="28"/>
          <w:szCs w:val="28"/>
          <w:shd w:val="clear" w:color="auto" w:fill="FFFFFF"/>
          <w:lang w:val="en-US" w:eastAsia="zh-CN" w:bidi="ar"/>
        </w:rPr>
        <w:t>通过政府购买服务委托有资质的施工图审查机构对施工图设计文件进行全覆盖核查</w:t>
      </w:r>
      <w:r>
        <w:rPr>
          <w:rFonts w:hint="eastAsia" w:ascii="宋体" w:hAnsi="宋体" w:eastAsia="宋体" w:cs="宋体"/>
          <w:i w:val="0"/>
          <w:caps w:val="0"/>
          <w:color w:val="000000"/>
          <w:spacing w:val="0"/>
          <w:kern w:val="0"/>
          <w:sz w:val="28"/>
          <w:szCs w:val="28"/>
          <w:shd w:val="clear" w:color="auto" w:fill="FFFFFF"/>
          <w:lang w:val="en" w:eastAsia="zh-CN" w:bidi="ar"/>
        </w:rPr>
        <w:t>，</w:t>
      </w:r>
      <w:r>
        <w:rPr>
          <w:rFonts w:hint="eastAsia" w:ascii="宋体" w:hAnsi="宋体" w:eastAsia="宋体" w:cs="宋体"/>
          <w:sz w:val="28"/>
          <w:szCs w:val="28"/>
          <w:lang w:eastAsia="zh-CN"/>
        </w:rPr>
        <w:t>施工图</w:t>
      </w:r>
      <w:r>
        <w:rPr>
          <w:rFonts w:hint="eastAsia" w:ascii="宋体" w:hAnsi="宋体" w:eastAsia="宋体" w:cs="宋体"/>
          <w:i w:val="0"/>
          <w:caps w:val="0"/>
          <w:color w:val="000000"/>
          <w:spacing w:val="0"/>
          <w:sz w:val="28"/>
          <w:szCs w:val="28"/>
          <w:shd w:val="clear" w:color="auto" w:fill="auto"/>
          <w:lang w:eastAsia="zh-CN"/>
        </w:rPr>
        <w:t>核查费用列入各级财政年度预算安排</w:t>
      </w:r>
    </w:p>
    <w:p>
      <w:pPr>
        <w:numPr>
          <w:ilvl w:val="0"/>
          <w:numId w:val="0"/>
        </w:numPr>
        <w:ind w:firstLine="560" w:firstLineChars="200"/>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实施主体：该项目的实施主体为兴国县住房和城乡建设局。</w:t>
      </w:r>
    </w:p>
    <w:p>
      <w:pPr>
        <w:keepNext w:val="0"/>
        <w:keepLines w:val="0"/>
        <w:pageBreakBefore w:val="0"/>
        <w:widowControl/>
        <w:numPr>
          <w:ilvl w:val="0"/>
          <w:numId w:val="0"/>
        </w:numPr>
        <w:kinsoku/>
        <w:wordWrap/>
        <w:overflowPunct/>
        <w:topLinePunct w:val="0"/>
        <w:autoSpaceDE/>
        <w:autoSpaceDN/>
        <w:bidi w:val="0"/>
        <w:spacing w:line="560" w:lineRule="exact"/>
        <w:ind w:left="279" w:leftChars="133" w:firstLine="280" w:firstLineChars="100"/>
        <w:jc w:val="both"/>
        <w:textAlignment w:val="auto"/>
        <w:rPr>
          <w:rFonts w:hint="eastAsia" w:ascii="宋体" w:hAnsi="宋体" w:eastAsia="宋体" w:cs="宋体"/>
          <w:i w:val="0"/>
          <w:caps w:val="0"/>
          <w:color w:val="000000"/>
          <w:spacing w:val="0"/>
          <w:kern w:val="0"/>
          <w:sz w:val="28"/>
          <w:szCs w:val="28"/>
          <w:shd w:val="clear" w:color="auto" w:fill="FFFFFF"/>
          <w:lang w:val="en-US" w:eastAsia="zh-CN" w:bidi="ar"/>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4）实施方案：</w:t>
      </w:r>
      <w:r>
        <w:rPr>
          <w:rFonts w:hint="eastAsia" w:ascii="宋体" w:hAnsi="宋体" w:eastAsia="宋体" w:cs="宋体"/>
          <w:i w:val="0"/>
          <w:caps w:val="0"/>
          <w:color w:val="000000"/>
          <w:spacing w:val="0"/>
          <w:kern w:val="0"/>
          <w:sz w:val="28"/>
          <w:szCs w:val="28"/>
          <w:shd w:val="clear" w:color="auto" w:fill="FFFFFF"/>
          <w:lang w:val="en-US" w:eastAsia="zh-CN" w:bidi="ar"/>
        </w:rPr>
        <w:t>对低风险工程和一般工程建设单位选择</w:t>
      </w:r>
      <w:r>
        <w:rPr>
          <w:rFonts w:hint="eastAsia" w:ascii="宋体" w:hAnsi="宋体" w:eastAsia="宋体" w:cs="宋体"/>
          <w:color w:val="000000"/>
          <w:sz w:val="28"/>
          <w:szCs w:val="28"/>
          <w:lang w:val="en-US" w:eastAsia="zh-CN"/>
        </w:rPr>
        <w:t>不图审的，由住建部门</w:t>
      </w:r>
      <w:r>
        <w:rPr>
          <w:rFonts w:hint="eastAsia" w:ascii="宋体" w:hAnsi="宋体" w:eastAsia="宋体" w:cs="宋体"/>
          <w:i w:val="0"/>
          <w:caps w:val="0"/>
          <w:color w:val="000000"/>
          <w:spacing w:val="0"/>
          <w:kern w:val="0"/>
          <w:sz w:val="28"/>
          <w:szCs w:val="28"/>
          <w:shd w:val="clear" w:color="auto" w:fill="FFFFFF"/>
          <w:lang w:val="en-US" w:eastAsia="zh-CN" w:bidi="ar"/>
        </w:rPr>
        <w:t>通过政府购买服务委托有资质的施工图审查机构对施工图设计文件进行全覆盖核查。</w:t>
      </w:r>
    </w:p>
    <w:p>
      <w:pPr>
        <w:numPr>
          <w:ilvl w:val="0"/>
          <w:numId w:val="0"/>
        </w:numPr>
        <w:ind w:firstLine="560" w:firstLineChars="200"/>
        <w:rPr>
          <w:rFonts w:hint="eastAsia" w:ascii="宋体" w:hAnsi="宋体" w:eastAsia="宋体" w:cs="宋体"/>
          <w:sz w:val="28"/>
          <w:szCs w:val="28"/>
        </w:rPr>
      </w:pPr>
      <w:r>
        <w:rPr>
          <w:rFonts w:hint="eastAsia" w:ascii="宋体" w:hAnsi="宋体" w:eastAsia="宋体" w:cs="宋体"/>
          <w:i w:val="0"/>
          <w:caps w:val="0"/>
          <w:color w:val="000000"/>
          <w:spacing w:val="0"/>
          <w:kern w:val="0"/>
          <w:sz w:val="28"/>
          <w:szCs w:val="28"/>
          <w:shd w:val="clear" w:color="auto" w:fill="FFFFFF"/>
          <w:lang w:val="en-US" w:eastAsia="zh-CN" w:bidi="ar"/>
        </w:rPr>
        <w:t>（5）</w:t>
      </w:r>
      <w:r>
        <w:rPr>
          <w:rFonts w:hint="eastAsia" w:ascii="宋体" w:hAnsi="宋体" w:eastAsia="宋体" w:cs="宋体"/>
          <w:sz w:val="28"/>
          <w:szCs w:val="28"/>
          <w:lang w:eastAsia="zh-CN"/>
        </w:rPr>
        <w:t>实施周期：该项目实施周期为一年。</w:t>
      </w:r>
    </w:p>
    <w:p>
      <w:pPr>
        <w:keepNext w:val="0"/>
        <w:keepLines w:val="0"/>
        <w:pageBreakBefore w:val="0"/>
        <w:widowControl/>
        <w:numPr>
          <w:ilvl w:val="0"/>
          <w:numId w:val="0"/>
        </w:numPr>
        <w:kinsoku/>
        <w:wordWrap/>
        <w:overflowPunct/>
        <w:topLinePunct w:val="0"/>
        <w:autoSpaceDE/>
        <w:autoSpaceDN/>
        <w:bidi w:val="0"/>
        <w:spacing w:line="560" w:lineRule="exact"/>
        <w:ind w:firstLine="560" w:firstLineChars="200"/>
        <w:jc w:val="both"/>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6）</w:t>
      </w:r>
      <w:r>
        <w:rPr>
          <w:rFonts w:hint="eastAsia" w:ascii="宋体" w:hAnsi="宋体" w:eastAsia="宋体" w:cs="宋体"/>
          <w:sz w:val="28"/>
          <w:szCs w:val="28"/>
        </w:rPr>
        <w:t>年度预算安排</w:t>
      </w:r>
      <w:r>
        <w:rPr>
          <w:rFonts w:hint="eastAsia" w:ascii="宋体" w:hAnsi="宋体" w:eastAsia="宋体" w:cs="宋体"/>
          <w:sz w:val="28"/>
          <w:szCs w:val="28"/>
          <w:lang w:eastAsia="zh-CN"/>
        </w:rPr>
        <w:t>：该项目年度预算为</w:t>
      </w:r>
      <w:r>
        <w:rPr>
          <w:rFonts w:hint="eastAsia" w:ascii="宋体" w:hAnsi="宋体" w:eastAsia="宋体" w:cs="宋体"/>
          <w:sz w:val="28"/>
          <w:szCs w:val="28"/>
          <w:lang w:val="en-US" w:eastAsia="zh-CN"/>
        </w:rPr>
        <w:t>180</w:t>
      </w:r>
      <w:r>
        <w:rPr>
          <w:rFonts w:hint="eastAsia" w:ascii="宋体" w:hAnsi="宋体" w:eastAsia="宋体" w:cs="宋体"/>
          <w:sz w:val="28"/>
          <w:szCs w:val="28"/>
        </w:rPr>
        <w:t>万元</w:t>
      </w:r>
      <w:r>
        <w:rPr>
          <w:rFonts w:hint="eastAsia" w:ascii="宋体" w:hAnsi="宋体" w:eastAsia="宋体" w:cs="宋体"/>
          <w:sz w:val="28"/>
          <w:szCs w:val="28"/>
          <w:lang w:eastAsia="zh-CN"/>
        </w:rPr>
        <w:t>。</w:t>
      </w:r>
    </w:p>
    <w:p>
      <w:pPr>
        <w:keepNext w:val="0"/>
        <w:keepLines w:val="0"/>
        <w:pageBreakBefore w:val="0"/>
        <w:widowControl/>
        <w:numPr>
          <w:ilvl w:val="0"/>
          <w:numId w:val="0"/>
        </w:numPr>
        <w:kinsoku/>
        <w:wordWrap/>
        <w:overflowPunct/>
        <w:topLinePunct w:val="0"/>
        <w:autoSpaceDE/>
        <w:autoSpaceDN/>
        <w:bidi w:val="0"/>
        <w:spacing w:line="560" w:lineRule="exact"/>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7）</w:t>
      </w:r>
      <w:r>
        <w:rPr>
          <w:rFonts w:hint="eastAsia" w:ascii="宋体" w:hAnsi="宋体" w:eastAsia="宋体" w:cs="宋体"/>
          <w:sz w:val="28"/>
          <w:szCs w:val="28"/>
        </w:rPr>
        <w:t>年度绩效目标</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一是</w:t>
      </w:r>
      <w:r>
        <w:rPr>
          <w:rFonts w:hint="eastAsia" w:ascii="宋体" w:hAnsi="宋体" w:eastAsia="宋体" w:cs="宋体"/>
          <w:sz w:val="28"/>
          <w:szCs w:val="28"/>
          <w:lang w:eastAsia="zh-CN"/>
        </w:rPr>
        <w:t>过政府采购方式确定并委托施工图审查机构负责核查工作，</w:t>
      </w:r>
      <w:r>
        <w:rPr>
          <w:rFonts w:hint="eastAsia" w:ascii="宋体" w:hAnsi="宋体" w:eastAsia="宋体" w:cs="宋体"/>
          <w:sz w:val="28"/>
          <w:szCs w:val="28"/>
          <w:lang w:val="en-US" w:eastAsia="zh-CN"/>
        </w:rPr>
        <w:t>全面完成工作任务</w:t>
      </w:r>
      <w:r>
        <w:rPr>
          <w:rFonts w:hint="eastAsia" w:ascii="宋体" w:hAnsi="宋体" w:eastAsia="宋体" w:cs="宋体"/>
          <w:sz w:val="28"/>
          <w:szCs w:val="28"/>
          <w:lang w:eastAsia="zh-CN"/>
        </w:rPr>
        <w:t>；二是</w:t>
      </w:r>
      <w:r>
        <w:rPr>
          <w:rFonts w:hint="eastAsia" w:ascii="宋体" w:hAnsi="宋体" w:eastAsia="宋体" w:cs="宋体"/>
          <w:sz w:val="28"/>
          <w:szCs w:val="28"/>
          <w:lang w:val="en-US" w:eastAsia="zh-CN"/>
        </w:rPr>
        <w:t>降低低风险工程的风险等级完成2022年施工图图审工作。</w:t>
      </w:r>
    </w:p>
    <w:p>
      <w:pPr>
        <w:keepNext w:val="0"/>
        <w:keepLines w:val="0"/>
        <w:pageBreakBefore w:val="0"/>
        <w:widowControl/>
        <w:kinsoku/>
        <w:wordWrap/>
        <w:overflowPunct/>
        <w:topLinePunct w:val="0"/>
        <w:autoSpaceDE/>
        <w:autoSpaceDN/>
        <w:bidi w:val="0"/>
        <w:spacing w:line="560" w:lineRule="exact"/>
        <w:ind w:firstLine="301" w:firstLineChars="100"/>
        <w:jc w:val="both"/>
        <w:textAlignment w:val="auto"/>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二、2022年“三公”经费预算情况说明</w:t>
      </w:r>
    </w:p>
    <w:p>
      <w:pPr>
        <w:numPr>
          <w:ilvl w:val="0"/>
          <w:numId w:val="0"/>
        </w:numPr>
        <w:spacing w:line="560" w:lineRule="exact"/>
        <w:ind w:leftChars="200"/>
        <w:rPr>
          <w:rFonts w:hint="eastAsia" w:ascii="宋体" w:hAnsi="宋体" w:eastAsia="宋体" w:cs="Times New Roman"/>
          <w:sz w:val="28"/>
          <w:szCs w:val="28"/>
        </w:rPr>
      </w:pPr>
      <w:r>
        <w:rPr>
          <w:rFonts w:hint="eastAsia" w:ascii="宋体" w:hAnsi="宋体" w:eastAsia="宋体" w:cs="Times New Roman"/>
          <w:b w:val="0"/>
          <w:bCs w:val="0"/>
          <w:sz w:val="28"/>
          <w:szCs w:val="28"/>
          <w:lang w:val="en-US" w:eastAsia="zh-CN"/>
        </w:rPr>
        <w:t>2022年本部门“三公”经费一般公共预算安排84万元。</w:t>
      </w:r>
      <w:r>
        <w:rPr>
          <w:rFonts w:hint="eastAsia" w:ascii="宋体" w:hAnsi="宋体" w:eastAsia="宋体" w:cs="Times New Roman"/>
          <w:sz w:val="28"/>
          <w:szCs w:val="28"/>
        </w:rPr>
        <w:t>其中：</w:t>
      </w:r>
    </w:p>
    <w:p>
      <w:pPr>
        <w:numPr>
          <w:ilvl w:val="0"/>
          <w:numId w:val="8"/>
        </w:numPr>
        <w:spacing w:line="560" w:lineRule="exact"/>
        <w:ind w:left="0" w:leftChars="0" w:firstLine="560" w:firstLineChars="200"/>
        <w:rPr>
          <w:rFonts w:hint="eastAsia" w:ascii="Times New Roman" w:hAnsi="Times New Roman" w:eastAsia="宋体" w:cs="Times New Roman"/>
          <w:sz w:val="28"/>
          <w:szCs w:val="28"/>
          <w:lang w:eastAsia="zh-CN"/>
        </w:rPr>
      </w:pPr>
      <w:r>
        <w:rPr>
          <w:rFonts w:ascii="宋体" w:hAnsi="宋体" w:eastAsia="宋体" w:cs="Times New Roman"/>
          <w:sz w:val="28"/>
          <w:szCs w:val="28"/>
        </w:rPr>
        <w:t>因公出国（境）费支出</w:t>
      </w:r>
      <w:r>
        <w:rPr>
          <w:rFonts w:hint="eastAsia" w:ascii="宋体" w:hAnsi="宋体" w:eastAsia="宋体" w:cs="Times New Roman"/>
          <w:sz w:val="28"/>
          <w:szCs w:val="28"/>
        </w:rPr>
        <w:t>年初</w:t>
      </w:r>
      <w:r>
        <w:rPr>
          <w:rFonts w:ascii="宋体" w:hAnsi="宋体" w:eastAsia="宋体" w:cs="Times New Roman"/>
          <w:sz w:val="28"/>
          <w:szCs w:val="28"/>
        </w:rPr>
        <w:t>预算</w:t>
      </w:r>
      <w:r>
        <w:rPr>
          <w:rFonts w:hint="eastAsia" w:ascii="宋体" w:hAnsi="宋体" w:eastAsia="宋体" w:cs="Times New Roman"/>
          <w:sz w:val="28"/>
          <w:szCs w:val="28"/>
        </w:rPr>
        <w:t>数为0</w:t>
      </w:r>
      <w:r>
        <w:rPr>
          <w:rFonts w:ascii="宋体" w:hAnsi="宋体" w:eastAsia="宋体" w:cs="Times New Roman"/>
          <w:sz w:val="28"/>
          <w:szCs w:val="28"/>
        </w:rPr>
        <w:t>万元</w:t>
      </w:r>
      <w:r>
        <w:rPr>
          <w:rFonts w:hint="eastAsia" w:ascii="宋体" w:hAnsi="宋体" w:eastAsia="宋体" w:cs="Times New Roman"/>
          <w:sz w:val="28"/>
          <w:szCs w:val="28"/>
          <w:lang w:eastAsia="zh-CN"/>
        </w:rPr>
        <w:t>，</w:t>
      </w:r>
      <w:r>
        <w:rPr>
          <w:rFonts w:hint="eastAsia" w:ascii="Times New Roman" w:hAnsi="Times New Roman" w:eastAsia="宋体" w:cs="Times New Roman"/>
          <w:sz w:val="28"/>
          <w:szCs w:val="28"/>
          <w:lang w:eastAsia="zh-CN"/>
        </w:rPr>
        <w:t>与</w:t>
      </w:r>
      <w:r>
        <w:rPr>
          <w:rFonts w:hint="eastAsia" w:ascii="Times New Roman" w:hAnsi="Times New Roman" w:eastAsia="宋体" w:cs="Times New Roman"/>
          <w:sz w:val="28"/>
          <w:szCs w:val="28"/>
          <w:lang w:val="en-US" w:eastAsia="zh-CN"/>
        </w:rPr>
        <w:t>2021年预算一样。</w:t>
      </w:r>
    </w:p>
    <w:p>
      <w:pPr>
        <w:numPr>
          <w:ilvl w:val="0"/>
          <w:numId w:val="8"/>
        </w:numPr>
        <w:spacing w:line="560" w:lineRule="exact"/>
        <w:ind w:left="0" w:leftChars="0" w:firstLine="560" w:firstLineChars="200"/>
        <w:rPr>
          <w:rFonts w:hint="eastAsia" w:ascii="宋体" w:hAnsi="宋体" w:eastAsia="宋体" w:cs="Times New Roman"/>
          <w:sz w:val="28"/>
          <w:szCs w:val="28"/>
          <w:lang w:eastAsia="zh-CN"/>
        </w:rPr>
      </w:pPr>
      <w:r>
        <w:rPr>
          <w:rFonts w:ascii="宋体" w:hAnsi="宋体" w:eastAsia="宋体" w:cs="Times New Roman"/>
          <w:sz w:val="28"/>
          <w:szCs w:val="28"/>
        </w:rPr>
        <w:t>公务接待费支出</w:t>
      </w:r>
      <w:r>
        <w:rPr>
          <w:rFonts w:hint="eastAsia" w:ascii="Times New Roman" w:hAnsi="Times New Roman" w:eastAsia="宋体" w:cs="Times New Roman"/>
          <w:sz w:val="28"/>
          <w:szCs w:val="28"/>
        </w:rPr>
        <w:t>预算数为</w:t>
      </w:r>
      <w:r>
        <w:rPr>
          <w:rFonts w:hint="eastAsia" w:ascii="Times New Roman" w:hAnsi="Times New Roman" w:eastAsia="宋体" w:cs="Times New Roman"/>
          <w:sz w:val="28"/>
          <w:szCs w:val="28"/>
          <w:lang w:val="en-US" w:eastAsia="zh-CN"/>
        </w:rPr>
        <w:t>74</w:t>
      </w:r>
      <w:r>
        <w:rPr>
          <w:rFonts w:ascii="Times New Roman" w:hAnsi="Times New Roman" w:eastAsia="宋体" w:cs="Times New Roman"/>
          <w:sz w:val="28"/>
          <w:szCs w:val="28"/>
        </w:rPr>
        <w:t>万元</w:t>
      </w:r>
      <w:r>
        <w:rPr>
          <w:rFonts w:hint="eastAsia" w:ascii="Times New Roman" w:hAnsi="Times New Roman" w:eastAsia="宋体" w:cs="Times New Roman"/>
          <w:sz w:val="28"/>
          <w:szCs w:val="28"/>
          <w:lang w:eastAsia="zh-CN"/>
        </w:rPr>
        <w:t>，比上</w:t>
      </w:r>
      <w:r>
        <w:rPr>
          <w:rFonts w:hint="eastAsia" w:ascii="宋体" w:hAnsi="宋体" w:eastAsia="宋体" w:cs="Times New Roman"/>
          <w:sz w:val="28"/>
          <w:szCs w:val="28"/>
          <w:lang w:val="en-US" w:eastAsia="zh-CN"/>
        </w:rPr>
        <w:t>年减少13.6万元，主要原因是：事业单位机构改革，单位减少。</w:t>
      </w:r>
    </w:p>
    <w:p>
      <w:pPr>
        <w:numPr>
          <w:ilvl w:val="0"/>
          <w:numId w:val="8"/>
        </w:numPr>
        <w:spacing w:line="560" w:lineRule="exact"/>
        <w:ind w:left="0" w:leftChars="0" w:firstLine="560" w:firstLineChars="200"/>
        <w:rPr>
          <w:rFonts w:hint="eastAsia" w:ascii="Times New Roman" w:hAnsi="Times New Roman" w:eastAsia="宋体" w:cs="Times New Roman"/>
          <w:sz w:val="28"/>
          <w:szCs w:val="28"/>
          <w:lang w:eastAsia="zh-CN"/>
        </w:rPr>
      </w:pPr>
      <w:r>
        <w:rPr>
          <w:rFonts w:ascii="Times New Roman" w:hAnsi="Times New Roman" w:eastAsia="宋体" w:cs="Times New Roman"/>
          <w:sz w:val="28"/>
          <w:szCs w:val="28"/>
        </w:rPr>
        <w:t>公务用车购置及运行</w:t>
      </w:r>
      <w:r>
        <w:rPr>
          <w:rFonts w:hint="eastAsia" w:ascii="Times New Roman" w:hAnsi="Times New Roman" w:eastAsia="宋体" w:cs="Times New Roman"/>
          <w:sz w:val="28"/>
          <w:szCs w:val="28"/>
        </w:rPr>
        <w:t>维护</w:t>
      </w:r>
      <w:r>
        <w:rPr>
          <w:rFonts w:ascii="Times New Roman" w:hAnsi="Times New Roman" w:eastAsia="宋体" w:cs="Times New Roman"/>
          <w:sz w:val="28"/>
          <w:szCs w:val="28"/>
        </w:rPr>
        <w:t>费支出</w:t>
      </w:r>
      <w:r>
        <w:rPr>
          <w:rFonts w:hint="eastAsia" w:ascii="Times New Roman" w:hAnsi="Times New Roman" w:eastAsia="宋体" w:cs="Times New Roman"/>
          <w:sz w:val="28"/>
          <w:szCs w:val="28"/>
          <w:lang w:val="en-US" w:eastAsia="zh-CN"/>
        </w:rPr>
        <w:t>10</w:t>
      </w:r>
      <w:r>
        <w:rPr>
          <w:rFonts w:ascii="Times New Roman" w:hAnsi="Times New Roman" w:eastAsia="宋体" w:cs="Times New Roman"/>
          <w:sz w:val="28"/>
          <w:szCs w:val="28"/>
        </w:rPr>
        <w:t>万元</w:t>
      </w:r>
      <w:r>
        <w:rPr>
          <w:rFonts w:hint="eastAsia" w:ascii="Times New Roman" w:hAnsi="Times New Roman" w:eastAsia="宋体" w:cs="Times New Roman"/>
          <w:sz w:val="28"/>
          <w:szCs w:val="28"/>
          <w:lang w:eastAsia="zh-CN"/>
        </w:rPr>
        <w:t>，与</w:t>
      </w:r>
      <w:r>
        <w:rPr>
          <w:rFonts w:hint="eastAsia" w:ascii="Times New Roman" w:hAnsi="Times New Roman" w:eastAsia="宋体" w:cs="Times New Roman"/>
          <w:sz w:val="28"/>
          <w:szCs w:val="28"/>
          <w:lang w:val="en-US" w:eastAsia="zh-CN"/>
        </w:rPr>
        <w:t>2021年预算一样。其中：公务用购置费0元，2022年无购车计划；公务用车运行维护费10万元，与上年持平。</w:t>
      </w:r>
    </w:p>
    <w:p>
      <w:pPr>
        <w:numPr>
          <w:ilvl w:val="0"/>
          <w:numId w:val="2"/>
        </w:numPr>
        <w:spacing w:line="560" w:lineRule="exact"/>
        <w:ind w:left="210" w:leftChars="0" w:firstLine="0" w:firstLineChars="0"/>
        <w:rPr>
          <w:rFonts w:cs="Times New Roman"/>
          <w:b/>
          <w:bCs/>
          <w:kern w:val="2"/>
          <w:sz w:val="30"/>
          <w:szCs w:val="30"/>
        </w:rPr>
      </w:pPr>
      <w:r>
        <w:rPr>
          <w:rFonts w:cs="Times New Roman"/>
          <w:b/>
          <w:bCs/>
          <w:kern w:val="2"/>
          <w:sz w:val="30"/>
          <w:szCs w:val="30"/>
        </w:rPr>
        <w:t xml:space="preserve"> 20</w:t>
      </w:r>
      <w:r>
        <w:rPr>
          <w:rFonts w:hint="eastAsia" w:cs="Times New Roman"/>
          <w:b/>
          <w:bCs/>
          <w:kern w:val="2"/>
          <w:sz w:val="30"/>
          <w:szCs w:val="30"/>
          <w:lang w:val="en-US" w:eastAsia="zh-CN"/>
        </w:rPr>
        <w:t>22</w:t>
      </w:r>
      <w:r>
        <w:rPr>
          <w:rFonts w:cs="Times New Roman"/>
          <w:b/>
          <w:bCs/>
          <w:kern w:val="2"/>
          <w:sz w:val="30"/>
          <w:szCs w:val="30"/>
        </w:rPr>
        <w:t>年度</w:t>
      </w:r>
      <w:r>
        <w:rPr>
          <w:rFonts w:hint="eastAsia" w:cs="Times New Roman"/>
          <w:b/>
          <w:bCs/>
          <w:kern w:val="2"/>
          <w:sz w:val="30"/>
          <w:szCs w:val="30"/>
          <w:lang w:eastAsia="zh-CN"/>
        </w:rPr>
        <w:t>部门预算</w:t>
      </w:r>
      <w:r>
        <w:rPr>
          <w:rFonts w:cs="Times New Roman"/>
          <w:b/>
          <w:bCs/>
          <w:kern w:val="2"/>
          <w:sz w:val="30"/>
          <w:szCs w:val="30"/>
        </w:rPr>
        <w:t>表</w:t>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b/>
          <w:bCs/>
          <w:sz w:val="28"/>
          <w:szCs w:val="28"/>
        </w:rPr>
      </w:pPr>
      <w:r>
        <w:drawing>
          <wp:inline distT="0" distB="0" distL="114300" distR="114300">
            <wp:extent cx="5265420" cy="5523230"/>
            <wp:effectExtent l="0" t="0" r="11430" b="127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tretch>
                      <a:fillRect/>
                    </a:stretch>
                  </pic:blipFill>
                  <pic:spPr>
                    <a:xfrm>
                      <a:off x="0" y="0"/>
                      <a:ext cx="5265420" cy="552323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b/>
          <w:bCs/>
          <w:sz w:val="28"/>
          <w:szCs w:val="28"/>
          <w:lang w:eastAsia="zh-CN"/>
        </w:rPr>
      </w:pPr>
      <w:r>
        <w:drawing>
          <wp:inline distT="0" distB="0" distL="114300" distR="114300">
            <wp:extent cx="5264785" cy="6493510"/>
            <wp:effectExtent l="0" t="0" r="12065" b="254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5"/>
                    <a:stretch>
                      <a:fillRect/>
                    </a:stretch>
                  </pic:blipFill>
                  <pic:spPr>
                    <a:xfrm>
                      <a:off x="0" y="0"/>
                      <a:ext cx="5264785" cy="6493510"/>
                    </a:xfrm>
                    <a:prstGeom prst="rect">
                      <a:avLst/>
                    </a:prstGeom>
                    <a:noFill/>
                    <a:ln>
                      <a:noFill/>
                    </a:ln>
                  </pic:spPr>
                </pic:pic>
              </a:graphicData>
            </a:graphic>
          </wp:inline>
        </w:drawing>
      </w:r>
      <w:r>
        <w:drawing>
          <wp:inline distT="0" distB="0" distL="114300" distR="114300">
            <wp:extent cx="5274310" cy="10423525"/>
            <wp:effectExtent l="0" t="0" r="2540" b="1587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6"/>
                    <a:stretch>
                      <a:fillRect/>
                    </a:stretch>
                  </pic:blipFill>
                  <pic:spPr>
                    <a:xfrm>
                      <a:off x="0" y="0"/>
                      <a:ext cx="5274310" cy="10423525"/>
                    </a:xfrm>
                    <a:prstGeom prst="rect">
                      <a:avLst/>
                    </a:prstGeom>
                    <a:noFill/>
                    <a:ln>
                      <a:noFill/>
                    </a:ln>
                  </pic:spPr>
                </pic:pic>
              </a:graphicData>
            </a:graphic>
          </wp:inline>
        </w:drawing>
      </w:r>
      <w:r>
        <w:rPr>
          <w:rFonts w:hint="eastAsia" w:ascii="宋体" w:hAnsi="宋体" w:eastAsia="宋体" w:cs="宋体"/>
          <w:b/>
          <w:bCs/>
          <w:sz w:val="28"/>
          <w:szCs w:val="28"/>
          <w:lang w:eastAsia="zh-CN"/>
        </w:rPr>
        <w:drawing>
          <wp:inline distT="0" distB="0" distL="114300" distR="114300">
            <wp:extent cx="5266690" cy="5135245"/>
            <wp:effectExtent l="0" t="0" r="10160" b="8255"/>
            <wp:docPr id="11" name="图片 11" descr="住建局部门2022年预算报表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住建局部门2022年预算报表_4"/>
                    <pic:cNvPicPr>
                      <a:picLocks noChangeAspect="1"/>
                    </pic:cNvPicPr>
                  </pic:nvPicPr>
                  <pic:blipFill>
                    <a:blip r:embed="rId7"/>
                    <a:stretch>
                      <a:fillRect/>
                    </a:stretch>
                  </pic:blipFill>
                  <pic:spPr>
                    <a:xfrm>
                      <a:off x="0" y="0"/>
                      <a:ext cx="5266690" cy="5135245"/>
                    </a:xfrm>
                    <a:prstGeom prst="rect">
                      <a:avLst/>
                    </a:prstGeom>
                  </pic:spPr>
                </pic:pic>
              </a:graphicData>
            </a:graphic>
          </wp:inline>
        </w:drawing>
      </w:r>
      <w:r>
        <w:drawing>
          <wp:inline distT="0" distB="0" distL="114300" distR="114300">
            <wp:extent cx="5269865" cy="4845050"/>
            <wp:effectExtent l="0" t="0" r="6985" b="1270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8"/>
                    <a:stretch>
                      <a:fillRect/>
                    </a:stretch>
                  </pic:blipFill>
                  <pic:spPr>
                    <a:xfrm>
                      <a:off x="0" y="0"/>
                      <a:ext cx="5269865" cy="4845050"/>
                    </a:xfrm>
                    <a:prstGeom prst="rect">
                      <a:avLst/>
                    </a:prstGeom>
                    <a:noFill/>
                    <a:ln>
                      <a:noFill/>
                    </a:ln>
                  </pic:spPr>
                </pic:pic>
              </a:graphicData>
            </a:graphic>
          </wp:inline>
        </w:drawing>
      </w:r>
      <w:r>
        <w:drawing>
          <wp:inline distT="0" distB="0" distL="114300" distR="114300">
            <wp:extent cx="5265420" cy="7770495"/>
            <wp:effectExtent l="0" t="0" r="11430" b="190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9"/>
                    <a:stretch>
                      <a:fillRect/>
                    </a:stretch>
                  </pic:blipFill>
                  <pic:spPr>
                    <a:xfrm>
                      <a:off x="0" y="0"/>
                      <a:ext cx="5265420" cy="777049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jc w:val="both"/>
        <w:textAlignment w:val="auto"/>
        <w:outlineLvl w:val="9"/>
      </w:pPr>
    </w:p>
    <w:p>
      <w:pPr>
        <w:keepNext w:val="0"/>
        <w:keepLines w:val="0"/>
        <w:pageBreakBefore w:val="0"/>
        <w:widowControl w:val="0"/>
        <w:kinsoku/>
        <w:wordWrap/>
        <w:overflowPunct/>
        <w:topLinePunct w:val="0"/>
        <w:autoSpaceDE/>
        <w:autoSpaceDN/>
        <w:bidi w:val="0"/>
        <w:adjustRightInd/>
        <w:snapToGrid/>
        <w:jc w:val="both"/>
        <w:textAlignment w:val="auto"/>
        <w:outlineLvl w:val="9"/>
      </w:pPr>
      <w:r>
        <w:rPr>
          <w:rFonts w:hint="eastAsia" w:ascii="宋体" w:hAnsi="宋体" w:eastAsia="宋体" w:cs="宋体"/>
          <w:b/>
          <w:bCs/>
          <w:sz w:val="28"/>
          <w:szCs w:val="28"/>
          <w:lang w:eastAsia="zh-CN"/>
        </w:rPr>
        <w:drawing>
          <wp:inline distT="0" distB="0" distL="114300" distR="114300">
            <wp:extent cx="5264785" cy="1045210"/>
            <wp:effectExtent l="0" t="0" r="12065" b="2540"/>
            <wp:docPr id="14" name="图片 14" descr="住建局部门2022年预算报表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住建局部门2022年预算报表_7"/>
                    <pic:cNvPicPr>
                      <a:picLocks noChangeAspect="1"/>
                    </pic:cNvPicPr>
                  </pic:nvPicPr>
                  <pic:blipFill>
                    <a:blip r:embed="rId10"/>
                    <a:stretch>
                      <a:fillRect/>
                    </a:stretch>
                  </pic:blipFill>
                  <pic:spPr>
                    <a:xfrm>
                      <a:off x="0" y="0"/>
                      <a:ext cx="5264785" cy="1045210"/>
                    </a:xfrm>
                    <a:prstGeom prst="rect">
                      <a:avLst/>
                    </a:prstGeom>
                  </pic:spPr>
                </pic:pic>
              </a:graphicData>
            </a:graphic>
          </wp:inline>
        </w:drawing>
      </w:r>
      <w:r>
        <w:drawing>
          <wp:inline distT="0" distB="0" distL="114300" distR="114300">
            <wp:extent cx="5267325" cy="1089660"/>
            <wp:effectExtent l="0" t="0" r="9525" b="1524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1"/>
                    <a:stretch>
                      <a:fillRect/>
                    </a:stretch>
                  </pic:blipFill>
                  <pic:spPr>
                    <a:xfrm>
                      <a:off x="0" y="0"/>
                      <a:ext cx="5267325" cy="1089660"/>
                    </a:xfrm>
                    <a:prstGeom prst="rect">
                      <a:avLst/>
                    </a:prstGeom>
                    <a:noFill/>
                    <a:ln>
                      <a:noFill/>
                    </a:ln>
                  </pic:spPr>
                </pic:pic>
              </a:graphicData>
            </a:graphic>
          </wp:inline>
        </w:drawing>
      </w:r>
      <w:r>
        <w:drawing>
          <wp:inline distT="0" distB="0" distL="114300" distR="114300">
            <wp:extent cx="5267325" cy="991870"/>
            <wp:effectExtent l="0" t="0" r="9525" b="1778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2"/>
                    <a:stretch>
                      <a:fillRect/>
                    </a:stretch>
                  </pic:blipFill>
                  <pic:spPr>
                    <a:xfrm>
                      <a:off x="0" y="0"/>
                      <a:ext cx="5267325" cy="991870"/>
                    </a:xfrm>
                    <a:prstGeom prst="rect">
                      <a:avLst/>
                    </a:prstGeom>
                    <a:noFill/>
                    <a:ln>
                      <a:noFill/>
                    </a:ln>
                  </pic:spPr>
                </pic:pic>
              </a:graphicData>
            </a:graphic>
          </wp:inline>
        </w:drawing>
      </w:r>
      <w:r>
        <w:drawing>
          <wp:inline distT="0" distB="0" distL="114300" distR="114300">
            <wp:extent cx="5271135" cy="3439160"/>
            <wp:effectExtent l="0" t="0" r="571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5271135" cy="343916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jc w:val="both"/>
        <w:textAlignment w:val="auto"/>
        <w:outlineLvl w:val="9"/>
      </w:pPr>
      <w:r>
        <w:drawing>
          <wp:inline distT="0" distB="0" distL="114300" distR="114300">
            <wp:extent cx="5270500" cy="4926330"/>
            <wp:effectExtent l="0" t="0" r="6350" b="762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4"/>
                    <a:stretch>
                      <a:fillRect/>
                    </a:stretch>
                  </pic:blipFill>
                  <pic:spPr>
                    <a:xfrm>
                      <a:off x="0" y="0"/>
                      <a:ext cx="5270500" cy="492633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jc w:val="both"/>
        <w:textAlignment w:val="auto"/>
        <w:outlineLvl w:val="9"/>
      </w:pPr>
    </w:p>
    <w:p>
      <w:pPr>
        <w:keepNext w:val="0"/>
        <w:keepLines w:val="0"/>
        <w:pageBreakBefore w:val="0"/>
        <w:widowControl w:val="0"/>
        <w:kinsoku/>
        <w:wordWrap/>
        <w:overflowPunct/>
        <w:topLinePunct w:val="0"/>
        <w:autoSpaceDE/>
        <w:autoSpaceDN/>
        <w:bidi w:val="0"/>
        <w:adjustRightInd/>
        <w:snapToGrid/>
        <w:jc w:val="both"/>
        <w:textAlignment w:val="auto"/>
        <w:outlineLvl w:val="9"/>
      </w:pPr>
      <w:r>
        <w:drawing>
          <wp:inline distT="0" distB="0" distL="114300" distR="114300">
            <wp:extent cx="5273675" cy="8306435"/>
            <wp:effectExtent l="0" t="0" r="3175" b="18415"/>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15"/>
                    <a:stretch>
                      <a:fillRect/>
                    </a:stretch>
                  </pic:blipFill>
                  <pic:spPr>
                    <a:xfrm>
                      <a:off x="0" y="0"/>
                      <a:ext cx="5273675" cy="830643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rPr>
      </w:pPr>
      <w:r>
        <w:drawing>
          <wp:inline distT="0" distB="0" distL="114300" distR="114300">
            <wp:extent cx="5272405" cy="8647430"/>
            <wp:effectExtent l="0" t="0" r="4445" b="127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16"/>
                    <a:stretch>
                      <a:fillRect/>
                    </a:stretch>
                  </pic:blipFill>
                  <pic:spPr>
                    <a:xfrm>
                      <a:off x="0" y="0"/>
                      <a:ext cx="5272405" cy="864743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rPr>
        <w:t>第</w:t>
      </w:r>
      <w:r>
        <w:rPr>
          <w:rFonts w:hint="eastAsia" w:ascii="宋体" w:hAnsi="宋体" w:eastAsia="宋体" w:cs="宋体"/>
          <w:b/>
          <w:bCs/>
          <w:sz w:val="28"/>
          <w:szCs w:val="28"/>
          <w:lang w:eastAsia="zh-CN"/>
        </w:rPr>
        <w:t>四</w:t>
      </w:r>
      <w:r>
        <w:rPr>
          <w:rFonts w:hint="eastAsia" w:ascii="宋体" w:hAnsi="宋体" w:eastAsia="宋体" w:cs="宋体"/>
          <w:b/>
          <w:bCs/>
          <w:sz w:val="28"/>
          <w:szCs w:val="28"/>
        </w:rPr>
        <w:t xml:space="preserve">部分 </w:t>
      </w:r>
      <w:r>
        <w:rPr>
          <w:rFonts w:hint="eastAsia" w:ascii="宋体" w:hAnsi="宋体" w:eastAsia="宋体" w:cs="宋体"/>
          <w:b/>
          <w:bCs/>
          <w:sz w:val="28"/>
          <w:szCs w:val="28"/>
          <w:lang w:eastAsia="zh-CN"/>
        </w:rPr>
        <w:t>名词解释</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(一)财政拨款收入：指单位本年度从本级财政部门取得的财政拨款，包括一般公共预算财政拨款和政府性基金预算财政拨款。</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(二)上级补助收入：指事业单位从主管部门和上级单位取得的非财政补助收入。</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(三)事业收入：指事业单位开展专业业务活动及其辅助活动取得的收入；事业单位收到的财政专户实际核拨的教育收费等资金在此反映。</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(四)经营收入：指事业单位在专业业务活动及其辅助活动之外开展非独立核算经营活动取得的收入。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(五)附属单位缴款：指事业单位附属独立核算单位按照有关规定上缴的收入。</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(六)其他收入：指单位取得的除上述“财政拨款收入”、 “事业收入”、“经营收入”、“附属单位缴款”等以外的各项收入。</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(七)用事业基金弥补收支差额：指事业单位用事业基金弥补当年收支差额的数额。</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(八)年初结转和结余：指单位上年结转本年使用的基本支出结转、项目支出结转和结余和经营结余。</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(九)结余分配：指事业单位按规定对非财政补助结余资金提取的职工福利基金、事业基金和缴纳的所得税，以及减少单位按规定应缴回的基本建设竣工项目结余资金。</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(十)年末结转和结余资金：指单位结转下年的基本支出结转、项目支出结转和结余和经营结余。</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(十一)基本支出：指为保障机构正常运转、完成日常工作任务而发生的人员支出和公用支出。</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(十二)项目支出：指在基本支出之外为完成特定的行政任务或事业发展目标所发生的支出。</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(十三)上缴上级支出：指事业单位按照财政部门和主管部门的规定上缴上级单位的支出。</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 (十四)经营支出：指事业单位在专业业务活动及其辅助活动之外开展非独立核算经营活动发生的支出。</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(十五)对附属单位补助支出：指事业单位用财政补助收入之外的收入对附属单位补助发生的支出。</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(十六)“三公”经费：指各部门因公出国（境）费、公务用车购置及运行费和公务接待费。其中：</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因公出国（境）费指单位公务出国（境）的住宿费、旅费、伙食补助费、杂费、培训费等支出；</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公务用车购置及运行费指单位公务用车购置费及租用费、燃料费、维修费、过路过桥费、保险费、安全奖励费用等支出；</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公务接待费指单位按规定开支的各类公务接待（含外宾接待）支出。</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outlineLvl w:val="9"/>
        <w:rPr>
          <w:rFonts w:hint="eastAsia" w:ascii="宋体" w:hAnsi="宋体" w:eastAsia="宋体" w:cs="宋体"/>
          <w:kern w:val="0"/>
          <w:sz w:val="28"/>
          <w:szCs w:val="28"/>
        </w:rPr>
      </w:pPr>
      <w:r>
        <w:rPr>
          <w:rFonts w:hint="eastAsia" w:ascii="宋体" w:hAnsi="宋体" w:eastAsia="宋体" w:cs="宋体"/>
          <w:b w:val="0"/>
          <w:bCs w:val="0"/>
          <w:kern w:val="0"/>
          <w:sz w:val="28"/>
          <w:szCs w:val="28"/>
        </w:rPr>
        <w:t>(十七)机关运行经费：指为保障行政单位（含参照公务员法管理的事业单位）运行用于购买货物和服务的各项资金，包括办公费、印刷费、差旅费、会议费、日常维修费、专用材料及办公用房水电费、物业管理费、公务用车运行维护费等。</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5282B9"/>
    <w:multiLevelType w:val="singleLevel"/>
    <w:tmpl w:val="A25282B9"/>
    <w:lvl w:ilvl="0" w:tentative="0">
      <w:start w:val="2"/>
      <w:numFmt w:val="chineseCounting"/>
      <w:suff w:val="space"/>
      <w:lvlText w:val="第%1部分"/>
      <w:lvlJc w:val="left"/>
      <w:pPr>
        <w:ind w:left="210"/>
      </w:pPr>
      <w:rPr>
        <w:rFonts w:hint="eastAsia"/>
      </w:rPr>
    </w:lvl>
  </w:abstractNum>
  <w:abstractNum w:abstractNumId="1">
    <w:nsid w:val="00CCE3CB"/>
    <w:multiLevelType w:val="singleLevel"/>
    <w:tmpl w:val="00CCE3CB"/>
    <w:lvl w:ilvl="0" w:tentative="0">
      <w:start w:val="1"/>
      <w:numFmt w:val="decimal"/>
      <w:suff w:val="nothing"/>
      <w:lvlText w:val="（%1）"/>
      <w:lvlJc w:val="left"/>
      <w:pPr>
        <w:ind w:left="630"/>
      </w:pPr>
    </w:lvl>
  </w:abstractNum>
  <w:abstractNum w:abstractNumId="2">
    <w:nsid w:val="1B2B05EA"/>
    <w:multiLevelType w:val="multilevel"/>
    <w:tmpl w:val="1B2B05EA"/>
    <w:lvl w:ilvl="0" w:tentative="0">
      <w:start w:val="1"/>
      <w:numFmt w:val="japaneseCounting"/>
      <w:lvlText w:val="%1、"/>
      <w:lvlJc w:val="left"/>
      <w:pPr>
        <w:ind w:left="720" w:hanging="72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3">
    <w:nsid w:val="1E23B0CF"/>
    <w:multiLevelType w:val="singleLevel"/>
    <w:tmpl w:val="1E23B0CF"/>
    <w:lvl w:ilvl="0" w:tentative="0">
      <w:start w:val="1"/>
      <w:numFmt w:val="decimal"/>
      <w:suff w:val="nothing"/>
      <w:lvlText w:val="（%1）"/>
      <w:lvlJc w:val="left"/>
    </w:lvl>
  </w:abstractNum>
  <w:abstractNum w:abstractNumId="4">
    <w:nsid w:val="5A077E2B"/>
    <w:multiLevelType w:val="singleLevel"/>
    <w:tmpl w:val="5A077E2B"/>
    <w:lvl w:ilvl="0" w:tentative="0">
      <w:start w:val="4"/>
      <w:numFmt w:val="chineseCounting"/>
      <w:suff w:val="nothing"/>
      <w:lvlText w:val="（%1）"/>
      <w:lvlJc w:val="left"/>
      <w:pPr>
        <w:ind w:left="280"/>
      </w:pPr>
      <w:rPr>
        <w:rFonts w:hint="eastAsia"/>
      </w:rPr>
    </w:lvl>
  </w:abstractNum>
  <w:abstractNum w:abstractNumId="5">
    <w:nsid w:val="6097C601"/>
    <w:multiLevelType w:val="singleLevel"/>
    <w:tmpl w:val="6097C601"/>
    <w:lvl w:ilvl="0" w:tentative="0">
      <w:start w:val="1"/>
      <w:numFmt w:val="chineseCounting"/>
      <w:suff w:val="nothing"/>
      <w:lvlText w:val="（%1）"/>
      <w:lvlJc w:val="left"/>
      <w:rPr>
        <w:rFonts w:hint="eastAsia"/>
      </w:rPr>
    </w:lvl>
  </w:abstractNum>
  <w:abstractNum w:abstractNumId="6">
    <w:nsid w:val="6C547C50"/>
    <w:multiLevelType w:val="singleLevel"/>
    <w:tmpl w:val="6C547C50"/>
    <w:lvl w:ilvl="0" w:tentative="0">
      <w:start w:val="8"/>
      <w:numFmt w:val="chineseCounting"/>
      <w:suff w:val="nothing"/>
      <w:lvlText w:val="(%1）"/>
      <w:lvlJc w:val="left"/>
      <w:pPr>
        <w:ind w:left="385" w:leftChars="0" w:firstLine="0" w:firstLineChars="0"/>
      </w:pPr>
      <w:rPr>
        <w:rFonts w:hint="eastAsia"/>
      </w:rPr>
    </w:lvl>
  </w:abstractNum>
  <w:abstractNum w:abstractNumId="7">
    <w:nsid w:val="6CB88FAA"/>
    <w:multiLevelType w:val="singleLevel"/>
    <w:tmpl w:val="6CB88FAA"/>
    <w:lvl w:ilvl="0" w:tentative="0">
      <w:start w:val="1"/>
      <w:numFmt w:val="decimal"/>
      <w:suff w:val="nothing"/>
      <w:lvlText w:val="（%1）"/>
      <w:lvlJc w:val="left"/>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4"/>
  </w:num>
  <w:num w:numId="4">
    <w:abstractNumId w:val="6"/>
  </w:num>
  <w:num w:numId="5">
    <w:abstractNumId w:val="7"/>
  </w:num>
  <w:num w:numId="6">
    <w:abstractNumId w:val="1"/>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yNGRjOWQ2YjIyYzIxOTY0M2ZmY2ExNGE3YWQ4YTgifQ=="/>
  </w:docVars>
  <w:rsids>
    <w:rsidRoot w:val="183268DC"/>
    <w:rsid w:val="017C0016"/>
    <w:rsid w:val="01834718"/>
    <w:rsid w:val="02E3743C"/>
    <w:rsid w:val="030A6629"/>
    <w:rsid w:val="050F3BF1"/>
    <w:rsid w:val="05AE103A"/>
    <w:rsid w:val="06932D3E"/>
    <w:rsid w:val="0B0F69BB"/>
    <w:rsid w:val="0BA0280B"/>
    <w:rsid w:val="0C8135CC"/>
    <w:rsid w:val="0D376274"/>
    <w:rsid w:val="0E6D544C"/>
    <w:rsid w:val="0FCD38E3"/>
    <w:rsid w:val="11F8577E"/>
    <w:rsid w:val="134132DB"/>
    <w:rsid w:val="14671529"/>
    <w:rsid w:val="1493056C"/>
    <w:rsid w:val="17B30117"/>
    <w:rsid w:val="183268DC"/>
    <w:rsid w:val="1AC27A2C"/>
    <w:rsid w:val="1BCE274C"/>
    <w:rsid w:val="1CC76F23"/>
    <w:rsid w:val="1D8C1535"/>
    <w:rsid w:val="1DEE45E2"/>
    <w:rsid w:val="1E34479D"/>
    <w:rsid w:val="1E6151F3"/>
    <w:rsid w:val="21093CBF"/>
    <w:rsid w:val="26E50D2A"/>
    <w:rsid w:val="29402660"/>
    <w:rsid w:val="2B122384"/>
    <w:rsid w:val="2C267E1B"/>
    <w:rsid w:val="2C6E4EBA"/>
    <w:rsid w:val="2F9E43F2"/>
    <w:rsid w:val="30E621D8"/>
    <w:rsid w:val="312A03B8"/>
    <w:rsid w:val="32E53EE1"/>
    <w:rsid w:val="33262BA7"/>
    <w:rsid w:val="35B879B7"/>
    <w:rsid w:val="36D7734F"/>
    <w:rsid w:val="370E1BD7"/>
    <w:rsid w:val="380054AE"/>
    <w:rsid w:val="38952E0D"/>
    <w:rsid w:val="3A084C38"/>
    <w:rsid w:val="3A42007E"/>
    <w:rsid w:val="3BFF2409"/>
    <w:rsid w:val="3C586C27"/>
    <w:rsid w:val="3DDC4323"/>
    <w:rsid w:val="42815DAF"/>
    <w:rsid w:val="42E323D5"/>
    <w:rsid w:val="48074B4D"/>
    <w:rsid w:val="480C16F1"/>
    <w:rsid w:val="486024AF"/>
    <w:rsid w:val="491A6F85"/>
    <w:rsid w:val="4DF77B65"/>
    <w:rsid w:val="4F5E78DD"/>
    <w:rsid w:val="52AC6F10"/>
    <w:rsid w:val="55DE0DD2"/>
    <w:rsid w:val="562543F0"/>
    <w:rsid w:val="56F54208"/>
    <w:rsid w:val="57832C93"/>
    <w:rsid w:val="594554D5"/>
    <w:rsid w:val="5A34623E"/>
    <w:rsid w:val="5A7F0572"/>
    <w:rsid w:val="5B242CB8"/>
    <w:rsid w:val="62D50A0C"/>
    <w:rsid w:val="63B23681"/>
    <w:rsid w:val="67D91C09"/>
    <w:rsid w:val="6B693FF9"/>
    <w:rsid w:val="6B6D06AF"/>
    <w:rsid w:val="71197C0D"/>
    <w:rsid w:val="788E24B4"/>
    <w:rsid w:val="78C8106F"/>
    <w:rsid w:val="78FC593C"/>
    <w:rsid w:val="7C1C76BD"/>
    <w:rsid w:val="7D2C66B6"/>
    <w:rsid w:val="7D3E0CDF"/>
    <w:rsid w:val="7D6559DF"/>
    <w:rsid w:val="7F7D2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Heading2"/>
    <w:basedOn w:val="1"/>
    <w:next w:val="1"/>
    <w:qFormat/>
    <w:uiPriority w:val="0"/>
    <w:pPr>
      <w:keepNext/>
      <w:keepLines/>
      <w:spacing w:line="600" w:lineRule="exact"/>
    </w:pPr>
    <w:rPr>
      <w:rFonts w:ascii="Arial" w:hAnsi="Arial" w:cs="Times New Roman"/>
    </w:rPr>
  </w:style>
  <w:style w:type="paragraph" w:styleId="7">
    <w:name w:val="header"/>
    <w:qFormat/>
    <w:uiPriority w:val="0"/>
    <w:pPr>
      <w:widowControl w:val="0"/>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eastAsia="宋体" w:cs="Times New Roman"/>
      <w:kern w:val="2"/>
      <w:sz w:val="18"/>
      <w:szCs w:val="21"/>
      <w:lang w:val="en-US" w:eastAsia="zh-CN" w:bidi="ar-SA"/>
    </w:rPr>
  </w:style>
  <w:style w:type="paragraph" w:styleId="8">
    <w:name w:val="Normal (Web)"/>
    <w:basedOn w:val="1"/>
    <w:semiHidden/>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4868</Words>
  <Characters>5350</Characters>
  <Lines>0</Lines>
  <Paragraphs>0</Paragraphs>
  <TotalTime>2</TotalTime>
  <ScaleCrop>false</ScaleCrop>
  <LinksUpToDate>false</LinksUpToDate>
  <CharactersWithSpaces>5390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2020-10-26T02:25:00Z</dcterms:created>
  <dc:creator>WPS_1562641888</dc:creator>
  <cp:lastModifiedBy>ʅ（‾◡◝）ʃ</cp:lastModifiedBy>
  <cp:lastPrinted>2022-03-24T07:38:00Z</cp:lastPrinted>
  <dcterms:modified xsi:type="dcterms:W3CDTF">2023-06-25T09:20:19Z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C9B5701615644AC083909CA618EB4E5C</vt:lpwstr>
  </property>
</Properties>
</file>