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兴国县住房保障安置服务中心</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2022年部门预算编制说明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住房保障安置服务中心</w:t>
      </w:r>
      <w:r>
        <w:rPr>
          <w:rFonts w:hint="eastAsia" w:ascii="仿宋" w:hAnsi="仿宋" w:eastAsia="仿宋" w:cs="仿宋"/>
          <w:b/>
          <w:bCs/>
          <w:sz w:val="32"/>
          <w:szCs w:val="32"/>
        </w:rPr>
        <w:t>概况</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一、部门主要职责</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住房保障安置服务中心</w:t>
      </w:r>
      <w:r>
        <w:rPr>
          <w:rFonts w:hint="eastAsia" w:ascii="仿宋" w:hAnsi="仿宋" w:eastAsia="仿宋" w:cs="仿宋"/>
          <w:b/>
          <w:bCs/>
          <w:sz w:val="32"/>
          <w:szCs w:val="32"/>
        </w:rPr>
        <w:t>位预算情况说明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住房保障安置服务中心</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w:t>
      </w:r>
      <w:r>
        <w:rPr>
          <w:rFonts w:hint="eastAsia" w:ascii="仿宋" w:hAnsi="仿宋" w:eastAsia="仿宋" w:cs="仿宋"/>
          <w:sz w:val="32"/>
          <w:szCs w:val="32"/>
          <w:lang w:eastAsia="zh-CN"/>
        </w:rPr>
        <w:t>《国有资本经营收支预算表》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十、《部门整体支出绩效目标表》</w:t>
      </w:r>
    </w:p>
    <w:p>
      <w:pPr>
        <w:spacing w:line="560" w:lineRule="exact"/>
        <w:ind w:left="10" w:leftChars="5" w:firstLine="620" w:firstLineChars="194"/>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spacing w:line="560" w:lineRule="exact"/>
        <w:ind w:left="10" w:leftChars="5" w:firstLine="620" w:firstLineChars="194"/>
        <w:rPr>
          <w:rFonts w:hint="eastAsia" w:ascii="仿宋" w:hAnsi="仿宋" w:eastAsia="仿宋" w:cs="仿宋"/>
          <w:sz w:val="32"/>
          <w:szCs w:val="32"/>
          <w:lang w:eastAsia="zh-CN"/>
        </w:rPr>
      </w:pPr>
    </w:p>
    <w:p>
      <w:pPr>
        <w:spacing w:line="560" w:lineRule="exact"/>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住房保障安置服务中心</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一、单位主要职责</w:t>
      </w:r>
    </w:p>
    <w:p>
      <w:pPr>
        <w:spacing w:line="600" w:lineRule="exact"/>
        <w:ind w:left="319" w:leftChars="152" w:firstLine="300" w:firstLineChars="100"/>
        <w:rPr>
          <w:rFonts w:hint="eastAsia" w:ascii="仿宋" w:hAnsi="仿宋" w:eastAsia="仿宋" w:cs="仿宋"/>
          <w:sz w:val="30"/>
          <w:szCs w:val="30"/>
        </w:rPr>
      </w:pPr>
      <w:r>
        <w:rPr>
          <w:rFonts w:hint="eastAsia" w:ascii="仿宋" w:hAnsi="仿宋" w:eastAsia="仿宋" w:cs="仿宋"/>
          <w:sz w:val="30"/>
          <w:szCs w:val="30"/>
        </w:rPr>
        <w:t>直属正科级事业单位，主要职责是：</w:t>
      </w:r>
    </w:p>
    <w:p>
      <w:pPr>
        <w:spacing w:line="60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1、贯彻执行国家和省有关房产的方针政策和法律、法规、规章，负责制定全县房产业管理办法和行业发展规划。</w:t>
      </w:r>
      <w:r>
        <w:rPr>
          <w:rFonts w:hint="eastAsia" w:ascii="仿宋" w:hAnsi="仿宋" w:eastAsia="仿宋" w:cs="仿宋"/>
          <w:sz w:val="30"/>
          <w:szCs w:val="30"/>
          <w:lang w:eastAsia="zh-CN"/>
        </w:rPr>
        <w:t>主要是承担为保障性住房安置、房屋征收、房地产交易、公房管理、物业管理、商品住宅维修基金储存与使用等。</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二、单位基本情况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我中心</w:t>
      </w:r>
      <w:r>
        <w:rPr>
          <w:rFonts w:hint="eastAsia" w:ascii="仿宋" w:hAnsi="仿宋" w:eastAsia="仿宋" w:cs="仿宋"/>
          <w:sz w:val="30"/>
          <w:szCs w:val="30"/>
        </w:rPr>
        <w:t>共有预算单位</w:t>
      </w:r>
      <w:r>
        <w:rPr>
          <w:rFonts w:hint="eastAsia" w:ascii="仿宋" w:hAnsi="仿宋" w:eastAsia="仿宋" w:cs="仿宋"/>
          <w:sz w:val="30"/>
          <w:szCs w:val="30"/>
          <w:lang w:val="en-US" w:eastAsia="zh-CN"/>
        </w:rPr>
        <w:t>1</w:t>
      </w:r>
      <w:r>
        <w:rPr>
          <w:rFonts w:hint="eastAsia" w:ascii="仿宋" w:hAnsi="仿宋" w:eastAsia="仿宋" w:cs="仿宋"/>
          <w:sz w:val="30"/>
          <w:szCs w:val="30"/>
        </w:rPr>
        <w:t>个</w:t>
      </w:r>
      <w:r>
        <w:rPr>
          <w:rFonts w:hint="eastAsia" w:ascii="仿宋" w:hAnsi="仿宋" w:eastAsia="仿宋" w:cs="仿宋"/>
          <w:sz w:val="30"/>
          <w:szCs w:val="30"/>
          <w:lang w:eastAsia="zh-CN"/>
        </w:rPr>
        <w:t>，</w:t>
      </w:r>
      <w:r>
        <w:rPr>
          <w:rFonts w:hint="eastAsia" w:ascii="仿宋" w:hAnsi="仿宋" w:eastAsia="仿宋" w:cs="仿宋"/>
          <w:sz w:val="30"/>
          <w:szCs w:val="30"/>
        </w:rPr>
        <w:t>编制人数</w:t>
      </w:r>
      <w:r>
        <w:rPr>
          <w:rFonts w:hint="eastAsia" w:ascii="仿宋" w:hAnsi="仿宋" w:eastAsia="仿宋" w:cs="仿宋"/>
          <w:sz w:val="30"/>
          <w:szCs w:val="30"/>
          <w:lang w:val="en-US" w:eastAsia="zh-CN"/>
        </w:rPr>
        <w:t>44</w:t>
      </w:r>
      <w:r>
        <w:rPr>
          <w:rFonts w:hint="eastAsia" w:ascii="仿宋" w:hAnsi="仿宋" w:eastAsia="仿宋" w:cs="仿宋"/>
          <w:sz w:val="30"/>
          <w:szCs w:val="30"/>
        </w:rPr>
        <w:t>个</w:t>
      </w:r>
      <w:r>
        <w:rPr>
          <w:rFonts w:hint="eastAsia" w:ascii="仿宋" w:hAnsi="仿宋" w:eastAsia="仿宋" w:cs="仿宋"/>
          <w:sz w:val="30"/>
          <w:szCs w:val="30"/>
          <w:lang w:eastAsia="zh-CN"/>
        </w:rPr>
        <w:t>，</w:t>
      </w:r>
      <w:r>
        <w:rPr>
          <w:rFonts w:hint="eastAsia" w:ascii="仿宋" w:hAnsi="仿宋" w:eastAsia="仿宋" w:cs="仿宋"/>
          <w:sz w:val="30"/>
          <w:szCs w:val="30"/>
        </w:rPr>
        <w:t>实有人数</w:t>
      </w:r>
      <w:r>
        <w:rPr>
          <w:rFonts w:hint="eastAsia" w:ascii="仿宋" w:hAnsi="仿宋" w:eastAsia="仿宋" w:cs="仿宋"/>
          <w:sz w:val="30"/>
          <w:szCs w:val="30"/>
          <w:lang w:val="en-US" w:eastAsia="zh-CN"/>
        </w:rPr>
        <w:t>54</w:t>
      </w:r>
      <w:r>
        <w:rPr>
          <w:rFonts w:hint="eastAsia" w:ascii="仿宋" w:hAnsi="仿宋" w:eastAsia="仿宋" w:cs="仿宋"/>
          <w:sz w:val="30"/>
          <w:szCs w:val="30"/>
        </w:rPr>
        <w:t>人。其中：全额事业在职</w:t>
      </w:r>
      <w:r>
        <w:rPr>
          <w:rFonts w:hint="eastAsia" w:ascii="仿宋" w:hAnsi="仿宋" w:eastAsia="仿宋" w:cs="仿宋"/>
          <w:sz w:val="30"/>
          <w:szCs w:val="30"/>
          <w:lang w:val="en-US" w:eastAsia="zh-CN"/>
        </w:rPr>
        <w:t>44</w:t>
      </w:r>
      <w:r>
        <w:rPr>
          <w:rFonts w:hint="eastAsia" w:ascii="仿宋" w:hAnsi="仿宋" w:eastAsia="仿宋" w:cs="仿宋"/>
          <w:sz w:val="30"/>
          <w:szCs w:val="30"/>
        </w:rPr>
        <w:t>人，自收自支在职</w:t>
      </w:r>
      <w:r>
        <w:rPr>
          <w:rFonts w:hint="eastAsia" w:ascii="仿宋" w:hAnsi="仿宋" w:eastAsia="仿宋" w:cs="仿宋"/>
          <w:sz w:val="30"/>
          <w:szCs w:val="30"/>
          <w:lang w:val="en-US" w:eastAsia="zh-CN"/>
        </w:rPr>
        <w:t>10</w:t>
      </w:r>
      <w:r>
        <w:rPr>
          <w:rFonts w:hint="eastAsia" w:ascii="仿宋" w:hAnsi="仿宋" w:eastAsia="仿宋" w:cs="仿宋"/>
          <w:sz w:val="30"/>
          <w:szCs w:val="30"/>
        </w:rPr>
        <w:t>人，退休</w:t>
      </w:r>
      <w:r>
        <w:rPr>
          <w:rFonts w:hint="eastAsia" w:ascii="仿宋" w:hAnsi="仿宋" w:eastAsia="仿宋" w:cs="仿宋"/>
          <w:sz w:val="30"/>
          <w:szCs w:val="30"/>
          <w:lang w:val="en-US" w:eastAsia="zh-CN"/>
        </w:rPr>
        <w:t>25</w:t>
      </w:r>
      <w:r>
        <w:rPr>
          <w:rFonts w:hint="eastAsia" w:ascii="仿宋" w:hAnsi="仿宋" w:eastAsia="仿宋" w:cs="仿宋"/>
          <w:sz w:val="30"/>
          <w:szCs w:val="30"/>
        </w:rPr>
        <w:t xml:space="preserve">人。 </w:t>
      </w:r>
    </w:p>
    <w:p>
      <w:pPr>
        <w:spacing w:line="560" w:lineRule="exact"/>
        <w:rPr>
          <w:rFonts w:hint="eastAsia" w:ascii="黑体" w:hAnsi="黑体" w:eastAsia="黑体" w:cs="黑体"/>
          <w:b w:val="0"/>
          <w:bCs w:val="0"/>
          <w:sz w:val="32"/>
          <w:szCs w:val="32"/>
        </w:rPr>
      </w:pPr>
    </w:p>
    <w:p>
      <w:pPr>
        <w:spacing w:line="56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住房保障安置服务中心</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sz w:val="32"/>
          <w:szCs w:val="32"/>
          <w:lang w:eastAsia="zh-CN"/>
        </w:rPr>
        <w:t>收入预算总额</w:t>
      </w:r>
      <w:r>
        <w:rPr>
          <w:rFonts w:hint="eastAsia" w:ascii="仿宋" w:hAnsi="仿宋" w:eastAsia="仿宋" w:cs="仿宋"/>
          <w:b w:val="0"/>
          <w:bCs w:val="0"/>
          <w:sz w:val="32"/>
          <w:szCs w:val="32"/>
          <w:lang w:val="en-US" w:eastAsia="zh-CN"/>
        </w:rPr>
        <w:t>7776.08万元。其中一般公共预算收入675.68万元</w:t>
      </w:r>
      <w:r>
        <w:rPr>
          <w:rFonts w:hint="eastAsia" w:ascii="仿宋" w:hAnsi="仿宋" w:eastAsia="仿宋" w:cs="仿宋"/>
          <w:b w:val="0"/>
          <w:bCs w:val="0"/>
          <w:color w:val="auto"/>
          <w:sz w:val="32"/>
          <w:szCs w:val="32"/>
          <w:lang w:val="en-US" w:eastAsia="zh-CN"/>
        </w:rPr>
        <w:t>，</w:t>
      </w:r>
      <w:r>
        <w:rPr>
          <w:rFonts w:hint="eastAsia" w:ascii="仿宋" w:hAnsi="仿宋" w:eastAsia="仿宋" w:cs="仿宋"/>
          <w:color w:val="auto"/>
          <w:sz w:val="32"/>
          <w:szCs w:val="32"/>
          <w:lang w:val="en-US" w:eastAsia="zh-CN"/>
        </w:rPr>
        <w:t>占预算总额的9%；</w:t>
      </w:r>
      <w:r>
        <w:rPr>
          <w:rFonts w:hint="eastAsia" w:ascii="仿宋" w:hAnsi="仿宋" w:eastAsia="仿宋" w:cs="仿宋"/>
          <w:b w:val="0"/>
          <w:bCs w:val="0"/>
          <w:color w:val="auto"/>
          <w:sz w:val="32"/>
          <w:szCs w:val="32"/>
          <w:lang w:val="en-US" w:eastAsia="zh-CN"/>
        </w:rPr>
        <w:t>其他收入5017.38万，</w:t>
      </w:r>
      <w:r>
        <w:rPr>
          <w:rFonts w:hint="eastAsia" w:ascii="仿宋" w:hAnsi="仿宋" w:eastAsia="仿宋" w:cs="仿宋"/>
          <w:color w:val="auto"/>
          <w:sz w:val="32"/>
          <w:szCs w:val="32"/>
          <w:lang w:val="en-US" w:eastAsia="zh-CN"/>
        </w:rPr>
        <w:t>占预算总额的64%；</w:t>
      </w:r>
      <w:r>
        <w:rPr>
          <w:rFonts w:hint="eastAsia" w:ascii="仿宋" w:hAnsi="仿宋" w:eastAsia="仿宋" w:cs="仿宋"/>
          <w:b w:val="0"/>
          <w:bCs w:val="0"/>
          <w:color w:val="auto"/>
          <w:sz w:val="32"/>
          <w:szCs w:val="32"/>
          <w:lang w:val="en-US" w:eastAsia="zh-CN"/>
        </w:rPr>
        <w:t>上年结余2083.01万元，</w:t>
      </w:r>
      <w:r>
        <w:rPr>
          <w:rFonts w:hint="eastAsia" w:ascii="仿宋" w:hAnsi="仿宋" w:eastAsia="仿宋" w:cs="仿宋"/>
          <w:color w:val="auto"/>
          <w:sz w:val="32"/>
          <w:szCs w:val="32"/>
          <w:lang w:val="en-US" w:eastAsia="zh-CN"/>
        </w:rPr>
        <w:t>占预算总额的27%；</w:t>
      </w:r>
      <w:r>
        <w:rPr>
          <w:rFonts w:hint="eastAsia" w:ascii="仿宋" w:hAnsi="仿宋" w:eastAsia="仿宋" w:cs="仿宋"/>
          <w:b w:val="0"/>
          <w:bCs w:val="0"/>
          <w:color w:val="auto"/>
          <w:sz w:val="32"/>
          <w:szCs w:val="32"/>
          <w:lang w:val="en-US" w:eastAsia="zh-CN"/>
        </w:rPr>
        <w:t>。一般公共预算收入上年731.24万元，较上年减少了7.49%。其他收入、上年结余上年未计入预算总额</w:t>
      </w:r>
      <w:r>
        <w:rPr>
          <w:rFonts w:hint="eastAsia" w:ascii="仿宋" w:hAnsi="仿宋" w:eastAsia="仿宋" w:cs="仿宋"/>
          <w:color w:val="auto"/>
          <w:sz w:val="30"/>
          <w:szCs w:val="30"/>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支出预算总额为</w:t>
      </w:r>
      <w:r>
        <w:rPr>
          <w:rFonts w:hint="eastAsia" w:ascii="仿宋" w:hAnsi="仿宋" w:eastAsia="仿宋" w:cs="仿宋"/>
          <w:color w:val="auto"/>
          <w:sz w:val="32"/>
          <w:szCs w:val="32"/>
          <w:lang w:val="en-US" w:eastAsia="zh-CN"/>
        </w:rPr>
        <w:t>7776.08万元，基本支出小计499.88万元，项目支出7276.19万元。基本支出上年731.24万元，较上年减少了231.36万元，减少了31%。支出总额较上年增加7044.84万元。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功能分类划分机关事业单位基本养老保险缴费支出45.59万元；机关事业单位职业年金缴费支出13.3万元，其他社会保障和就业支出22.52万元，事业单位医疗23.89万元，住宅建设与房地产市场监管540.56万元，公共租赁住房532.77万元，保障性住房租金补贴1517.26万元，住房公积金49.42万元，其他支出5017.38万元。</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经济分类划分基本支出499.88万元（其中工资福利支出455.63万元，商品和服务支出33.76万元，对个人和家庭的补助4.04万元，资本性支出8.46万元）；项目支出7276.19万元（其中工资福利支出27.01万元，其他相关支出7249.18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财政拨款总支出</w:t>
      </w:r>
      <w:r>
        <w:rPr>
          <w:rFonts w:hint="eastAsia" w:ascii="仿宋" w:hAnsi="仿宋" w:eastAsia="仿宋" w:cs="仿宋"/>
          <w:color w:val="auto"/>
          <w:sz w:val="32"/>
          <w:szCs w:val="32"/>
          <w:lang w:val="en-US" w:eastAsia="zh-CN"/>
        </w:rPr>
        <w:t>675.68万元，其中人员类457.66万元，占预算总额的68%；公用经费42.22万元，占预算总额的6%；特定目标类175.8万元，占预算总额的26%。较上年预算安排减少了55.56万元，主要原因是：机构改革人员减少，退休人员增加，运转缺口资金减少。</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无</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年部门或单位机关运行费预算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无增长。</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7.86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7.86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截至</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年12月31日</w:t>
      </w:r>
      <w:r>
        <w:rPr>
          <w:rFonts w:hint="eastAsia" w:ascii="仿宋" w:hAnsi="仿宋" w:eastAsia="仿宋" w:cs="仿宋"/>
          <w:color w:val="auto"/>
          <w:sz w:val="32"/>
          <w:szCs w:val="32"/>
          <w:lang w:eastAsia="zh-CN"/>
        </w:rPr>
        <w:t>无公车。上年度无公车，本年度预算无安排新购车辆。</w:t>
      </w:r>
    </w:p>
    <w:p>
      <w:pPr>
        <w:pStyle w:val="2"/>
        <w:numPr>
          <w:ilvl w:val="0"/>
          <w:numId w:val="1"/>
        </w:numPr>
        <w:ind w:firstLine="643" w:firstLineChars="200"/>
        <w:rPr>
          <w:rFonts w:hint="eastAsia"/>
          <w:b/>
          <w:bCs/>
          <w:lang w:eastAsia="zh-CN"/>
        </w:rPr>
      </w:pPr>
      <w:r>
        <w:rPr>
          <w:rFonts w:hint="eastAsia"/>
          <w:b/>
          <w:bCs/>
          <w:lang w:eastAsia="zh-CN"/>
        </w:rPr>
        <w:t>国有资本经营情况说明</w:t>
      </w:r>
    </w:p>
    <w:p>
      <w:pPr>
        <w:pStyle w:val="2"/>
        <w:numPr>
          <w:ilvl w:val="0"/>
          <w:numId w:val="0"/>
        </w:numPr>
        <w:ind w:firstLine="640" w:firstLineChars="200"/>
        <w:rPr>
          <w:rFonts w:hint="default"/>
          <w:b w:val="0"/>
          <w:bCs w:val="0"/>
          <w:lang w:val="en-US" w:eastAsia="zh-CN"/>
        </w:rPr>
      </w:pPr>
      <w:r>
        <w:rPr>
          <w:rFonts w:hint="eastAsia" w:ascii="仿宋" w:hAnsi="仿宋" w:eastAsia="仿宋" w:cs="仿宋"/>
          <w:color w:val="auto"/>
          <w:sz w:val="32"/>
          <w:szCs w:val="32"/>
        </w:rPr>
        <w:t>截至</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年12月31日</w:t>
      </w:r>
      <w:r>
        <w:rPr>
          <w:rFonts w:hint="eastAsia" w:ascii="仿宋" w:hAnsi="仿宋" w:eastAsia="仿宋" w:cs="仿宋"/>
          <w:color w:val="auto"/>
          <w:sz w:val="32"/>
          <w:szCs w:val="32"/>
          <w:lang w:eastAsia="zh-CN"/>
        </w:rPr>
        <w:t>国有资本经营无收支。</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u w:val="single"/>
          <w:lang w:val="en-US" w:eastAsia="zh-CN"/>
        </w:rPr>
        <w:t>2</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u w:val="single"/>
          <w:lang w:val="en-US" w:eastAsia="zh-CN"/>
        </w:rPr>
        <w:t>165.8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lang w:val="en-US" w:eastAsia="zh-CN"/>
        </w:rPr>
        <w:t>2022年运转缺口经费165.8万元，其他资金5000万元。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val="en-US" w:eastAsia="zh-CN"/>
        </w:rPr>
        <w:t>2022年运转缺口经费</w:t>
      </w:r>
    </w:p>
    <w:p>
      <w:pPr>
        <w:numPr>
          <w:ilvl w:val="0"/>
          <w:numId w:val="2"/>
        </w:num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2022年运转缺口经费</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w:t>
      </w:r>
      <w:r>
        <w:rPr>
          <w:rFonts w:hint="eastAsia" w:ascii="宋体" w:hAnsi="宋体" w:cstheme="minorEastAsia"/>
          <w:i w:val="0"/>
          <w:color w:val="auto"/>
          <w:kern w:val="0"/>
          <w:sz w:val="20"/>
          <w:szCs w:val="20"/>
          <w:u w:val="none"/>
          <w:lang w:val="en-US" w:eastAsia="zh-CN" w:bidi="ar"/>
        </w:rPr>
        <w:t>兴编字[2021]6号</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2022年运转缺口</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：一年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165.8万元</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老旧住宅小区物业服务标准提升率98%，群众满意度96%。</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val="en-US" w:eastAsia="zh-CN"/>
        </w:rPr>
        <w:t>2022年其他资金</w:t>
      </w:r>
    </w:p>
    <w:p>
      <w:pPr>
        <w:numPr>
          <w:ilvl w:val="0"/>
          <w:numId w:val="0"/>
        </w:num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2022年其他资金</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：无</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2022年其他资金</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：一年</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5000万元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：保障性安居工程完成</w:t>
      </w:r>
      <w:r>
        <w:rPr>
          <w:rFonts w:hint="eastAsia" w:ascii="仿宋" w:hAnsi="仿宋" w:eastAsia="仿宋" w:cs="仿宋"/>
          <w:color w:val="auto"/>
          <w:sz w:val="32"/>
          <w:szCs w:val="32"/>
          <w:lang w:val="en-US" w:eastAsia="zh-CN"/>
        </w:rPr>
        <w:t>46700平方米，522套房。</w:t>
      </w: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年“三公”经费预算情况说明</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住房保障安置服务中心</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万元。</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其中：公务接待费</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与</w:t>
      </w:r>
      <w:r>
        <w:rPr>
          <w:rFonts w:hint="eastAsia" w:ascii="仿宋" w:hAnsi="仿宋" w:eastAsia="仿宋" w:cs="仿宋"/>
          <w:color w:val="auto"/>
          <w:sz w:val="32"/>
          <w:szCs w:val="32"/>
        </w:rPr>
        <w:t>上年</w:t>
      </w:r>
      <w:r>
        <w:rPr>
          <w:rFonts w:hint="eastAsia" w:ascii="仿宋" w:hAnsi="仿宋" w:eastAsia="仿宋" w:cs="仿宋"/>
          <w:color w:val="auto"/>
          <w:sz w:val="32"/>
          <w:szCs w:val="32"/>
          <w:lang w:eastAsia="zh-CN"/>
        </w:rPr>
        <w:t>无增减。原因是维持正常业务。</w:t>
      </w:r>
    </w:p>
    <w:p>
      <w:pPr>
        <w:spacing w:line="56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与</w:t>
      </w:r>
      <w:r>
        <w:rPr>
          <w:rFonts w:hint="eastAsia" w:ascii="仿宋" w:hAnsi="仿宋" w:eastAsia="仿宋" w:cs="仿宋"/>
          <w:color w:val="auto"/>
          <w:sz w:val="32"/>
          <w:szCs w:val="32"/>
        </w:rPr>
        <w:t>上年</w:t>
      </w:r>
      <w:r>
        <w:rPr>
          <w:rFonts w:hint="eastAsia" w:ascii="仿宋" w:hAnsi="仿宋" w:eastAsia="仿宋" w:cs="仿宋"/>
          <w:color w:val="auto"/>
          <w:sz w:val="32"/>
          <w:szCs w:val="32"/>
          <w:lang w:eastAsia="zh-CN"/>
        </w:rPr>
        <w:t>无增减。原因是我单位无公车。</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预算未安排新购车辆，与</w:t>
      </w:r>
      <w:r>
        <w:rPr>
          <w:rFonts w:hint="eastAsia" w:ascii="仿宋" w:hAnsi="仿宋" w:eastAsia="仿宋" w:cs="仿宋"/>
          <w:color w:val="auto"/>
          <w:sz w:val="32"/>
          <w:szCs w:val="32"/>
        </w:rPr>
        <w:t>上年</w:t>
      </w:r>
      <w:r>
        <w:rPr>
          <w:rFonts w:hint="eastAsia" w:ascii="仿宋" w:hAnsi="仿宋" w:eastAsia="仿宋" w:cs="仿宋"/>
          <w:color w:val="auto"/>
          <w:sz w:val="32"/>
          <w:szCs w:val="32"/>
          <w:lang w:eastAsia="zh-CN"/>
        </w:rPr>
        <w:t>无增减。原因是我单位无公车</w:t>
      </w:r>
    </w:p>
    <w:p>
      <w:pPr>
        <w:pStyle w:val="2"/>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2022年无因公出国经费预算。上年度无因公出国经费。</w:t>
      </w:r>
    </w:p>
    <w:p>
      <w:pPr>
        <w:pStyle w:val="2"/>
        <w:ind w:firstLine="640" w:firstLineChars="200"/>
        <w:rPr>
          <w:rFonts w:hint="eastAsia" w:ascii="仿宋" w:hAnsi="仿宋" w:eastAsia="仿宋" w:cs="仿宋"/>
          <w:color w:val="auto"/>
          <w:sz w:val="32"/>
          <w:szCs w:val="32"/>
          <w:lang w:val="en-US" w:eastAsia="zh-CN"/>
        </w:rPr>
      </w:pPr>
    </w:p>
    <w:p>
      <w:pPr>
        <w:pStyle w:val="2"/>
        <w:ind w:firstLine="640" w:firstLineChars="200"/>
        <w:rPr>
          <w:rFonts w:hint="eastAsia" w:ascii="仿宋" w:hAnsi="仿宋" w:eastAsia="仿宋" w:cs="仿宋"/>
          <w:color w:val="auto"/>
          <w:sz w:val="32"/>
          <w:szCs w:val="32"/>
          <w:lang w:val="en-US" w:eastAsia="zh-CN"/>
        </w:rPr>
      </w:pPr>
    </w:p>
    <w:p>
      <w:pPr>
        <w:pStyle w:val="2"/>
        <w:ind w:firstLine="640" w:firstLineChars="200"/>
        <w:rPr>
          <w:rFonts w:hint="eastAsia" w:ascii="仿宋" w:hAnsi="仿宋" w:eastAsia="仿宋" w:cs="仿宋"/>
          <w:color w:val="auto"/>
          <w:sz w:val="32"/>
          <w:szCs w:val="32"/>
          <w:lang w:val="en-US" w:eastAsia="zh-CN"/>
        </w:rPr>
      </w:pPr>
    </w:p>
    <w:p>
      <w:pPr>
        <w:pStyle w:val="2"/>
        <w:ind w:firstLine="640" w:firstLineChars="200"/>
        <w:rPr>
          <w:rFonts w:hint="eastAsia" w:ascii="仿宋" w:hAnsi="仿宋" w:eastAsia="仿宋" w:cs="仿宋"/>
          <w:color w:val="auto"/>
          <w:sz w:val="32"/>
          <w:szCs w:val="32"/>
          <w:lang w:val="en-US" w:eastAsia="zh-CN"/>
        </w:rPr>
      </w:pPr>
    </w:p>
    <w:p>
      <w:pPr>
        <w:pStyle w:val="2"/>
        <w:ind w:firstLine="640" w:firstLineChars="200"/>
        <w:rPr>
          <w:rFonts w:hint="eastAsia" w:ascii="仿宋" w:hAnsi="仿宋" w:eastAsia="仿宋" w:cs="仿宋"/>
          <w:color w:val="auto"/>
          <w:sz w:val="32"/>
          <w:szCs w:val="32"/>
          <w:lang w:val="en-US" w:eastAsia="zh-CN"/>
        </w:rPr>
      </w:pPr>
    </w:p>
    <w:p>
      <w:pPr>
        <w:pStyle w:val="2"/>
        <w:ind w:firstLine="640" w:firstLineChars="200"/>
        <w:rPr>
          <w:rFonts w:hint="eastAsia" w:ascii="仿宋" w:hAnsi="仿宋" w:eastAsia="仿宋" w:cs="仿宋"/>
          <w:color w:val="auto"/>
          <w:sz w:val="32"/>
          <w:szCs w:val="32"/>
          <w:lang w:val="en-US" w:eastAsia="zh-CN"/>
        </w:rPr>
      </w:pPr>
    </w:p>
    <w:p>
      <w:pPr>
        <w:pStyle w:val="2"/>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住房保障安置</w:t>
      </w:r>
      <w:r>
        <w:rPr>
          <w:rFonts w:hint="eastAsia" w:ascii="黑体" w:hAnsi="黑体" w:eastAsia="黑体" w:cs="黑体"/>
          <w:b w:val="0"/>
          <w:bCs w:val="0"/>
          <w:color w:val="auto"/>
          <w:sz w:val="32"/>
          <w:szCs w:val="32"/>
        </w:rPr>
        <w:t>单位</w:t>
      </w:r>
      <w:r>
        <w:rPr>
          <w:rFonts w:hint="eastAsia" w:ascii="黑体" w:hAnsi="黑体" w:eastAsia="黑体" w:cs="黑体"/>
          <w:b w:val="0"/>
          <w:bCs w:val="0"/>
          <w:color w:val="auto"/>
          <w:sz w:val="32"/>
          <w:szCs w:val="32"/>
          <w:lang w:val="en-US" w:eastAsia="zh-CN"/>
        </w:rPr>
        <w:t>2022</w:t>
      </w:r>
      <w:r>
        <w:rPr>
          <w:rFonts w:hint="eastAsia" w:ascii="黑体" w:hAnsi="黑体" w:eastAsia="黑体" w:cs="黑体"/>
          <w:b w:val="0"/>
          <w:bCs w:val="0"/>
          <w:color w:val="auto"/>
          <w:sz w:val="32"/>
          <w:szCs w:val="32"/>
        </w:rPr>
        <w:t>年单位预算表</w:t>
      </w:r>
    </w:p>
    <w:tbl>
      <w:tblPr>
        <w:tblStyle w:val="6"/>
        <w:tblpPr w:leftFromText="180" w:rightFromText="180" w:vertAnchor="text" w:horzAnchor="page" w:tblpX="1477" w:tblpY="2185"/>
        <w:tblOverlap w:val="never"/>
        <w:tblW w:w="9300" w:type="dxa"/>
        <w:tblInd w:w="0" w:type="dxa"/>
        <w:shd w:val="clear" w:color="auto" w:fill="auto"/>
        <w:tblLayout w:type="autofit"/>
        <w:tblCellMar>
          <w:top w:w="0" w:type="dxa"/>
          <w:left w:w="0" w:type="dxa"/>
          <w:bottom w:w="0" w:type="dxa"/>
          <w:right w:w="0" w:type="dxa"/>
        </w:tblCellMar>
      </w:tblPr>
      <w:tblGrid>
        <w:gridCol w:w="2619"/>
        <w:gridCol w:w="870"/>
        <w:gridCol w:w="1951"/>
        <w:gridCol w:w="870"/>
        <w:gridCol w:w="2195"/>
        <w:gridCol w:w="870"/>
      </w:tblGrid>
      <w:tr>
        <w:tblPrEx>
          <w:shd w:val="clear" w:color="auto" w:fill="auto"/>
          <w:tblCellMar>
            <w:top w:w="0" w:type="dxa"/>
            <w:left w:w="0" w:type="dxa"/>
            <w:bottom w:w="0" w:type="dxa"/>
            <w:right w:w="0" w:type="dxa"/>
          </w:tblCellMar>
        </w:tblPrEx>
        <w:trPr>
          <w:trHeight w:val="556" w:hRule="atLeast"/>
        </w:trPr>
        <w:tc>
          <w:tcPr>
            <w:tcW w:w="9300"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u w:val="none"/>
              </w:rPr>
            </w:pPr>
            <w:r>
              <w:rPr>
                <w:rFonts w:hint="eastAsia" w:ascii="宋体" w:hAnsi="宋体" w:eastAsia="宋体" w:cs="宋体"/>
                <w:b/>
                <w:i w:val="0"/>
                <w:color w:val="auto"/>
                <w:kern w:val="0"/>
                <w:sz w:val="40"/>
                <w:szCs w:val="40"/>
                <w:u w:val="none"/>
                <w:lang w:val="en-US" w:eastAsia="zh-CN" w:bidi="ar"/>
              </w:rPr>
              <w:t>收支预算总表</w:t>
            </w:r>
          </w:p>
        </w:tc>
      </w:tr>
      <w:tr>
        <w:tblPrEx>
          <w:shd w:val="clear" w:color="auto" w:fill="auto"/>
          <w:tblCellMar>
            <w:top w:w="0" w:type="dxa"/>
            <w:left w:w="0" w:type="dxa"/>
            <w:bottom w:w="0" w:type="dxa"/>
            <w:right w:w="0" w:type="dxa"/>
          </w:tblCellMar>
        </w:tblPrEx>
        <w:trPr>
          <w:trHeight w:val="556" w:hRule="atLeast"/>
        </w:trPr>
        <w:tc>
          <w:tcPr>
            <w:tcW w:w="261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填报单位:[308001]兴国县住房保障安置服务中心</w:t>
            </w:r>
          </w:p>
        </w:tc>
        <w:tc>
          <w:tcPr>
            <w:tcW w:w="844" w:type="dxa"/>
            <w:tcBorders>
              <w:top w:val="nil"/>
              <w:left w:val="nil"/>
              <w:bottom w:val="nil"/>
              <w:right w:val="nil"/>
            </w:tcBorders>
            <w:shd w:val="clear" w:color="auto" w:fill="auto"/>
            <w:noWrap/>
            <w:tcMar>
              <w:top w:w="15" w:type="dxa"/>
              <w:left w:w="15" w:type="dxa"/>
              <w:right w:w="15" w:type="dxa"/>
            </w:tcMar>
            <w:vAlign w:val="bottom"/>
          </w:tcPr>
          <w:p>
            <w:pPr>
              <w:jc w:val="center"/>
              <w:rPr>
                <w:rFonts w:hint="eastAsia" w:ascii="Calibri" w:hAnsi="Calibri" w:cs="Calibri"/>
                <w:i w:val="0"/>
                <w:color w:val="000000"/>
                <w:sz w:val="22"/>
                <w:szCs w:val="22"/>
                <w:u w:val="none"/>
              </w:rPr>
            </w:pPr>
          </w:p>
        </w:tc>
        <w:tc>
          <w:tcPr>
            <w:tcW w:w="1951" w:type="dxa"/>
            <w:tcBorders>
              <w:top w:val="nil"/>
              <w:left w:val="nil"/>
              <w:bottom w:val="nil"/>
              <w:right w:val="nil"/>
            </w:tcBorders>
            <w:shd w:val="clear" w:color="auto" w:fill="auto"/>
            <w:noWrap/>
            <w:tcMar>
              <w:top w:w="15" w:type="dxa"/>
              <w:left w:w="15" w:type="dxa"/>
              <w:right w:w="15" w:type="dxa"/>
            </w:tcMar>
            <w:vAlign w:val="bottom"/>
          </w:tcPr>
          <w:p>
            <w:pPr>
              <w:jc w:val="center"/>
              <w:rPr>
                <w:rFonts w:hint="default" w:ascii="Calibri" w:hAnsi="Calibri" w:cs="Calibri"/>
                <w:i w:val="0"/>
                <w:color w:val="000000"/>
                <w:sz w:val="22"/>
                <w:szCs w:val="22"/>
                <w:u w:val="none"/>
              </w:rPr>
            </w:pPr>
          </w:p>
        </w:tc>
        <w:tc>
          <w:tcPr>
            <w:tcW w:w="844" w:type="dxa"/>
            <w:tcBorders>
              <w:top w:val="nil"/>
              <w:left w:val="nil"/>
              <w:bottom w:val="nil"/>
              <w:right w:val="nil"/>
            </w:tcBorders>
            <w:shd w:val="clear" w:color="auto" w:fill="auto"/>
            <w:noWrap/>
            <w:tcMar>
              <w:top w:w="15" w:type="dxa"/>
              <w:left w:w="15" w:type="dxa"/>
              <w:right w:w="15" w:type="dxa"/>
            </w:tcMar>
            <w:vAlign w:val="bottom"/>
          </w:tcPr>
          <w:p>
            <w:pPr>
              <w:jc w:val="center"/>
              <w:rPr>
                <w:rFonts w:hint="default" w:ascii="Calibri" w:hAnsi="Calibri" w:cs="Calibri"/>
                <w:i w:val="0"/>
                <w:color w:val="000000"/>
                <w:sz w:val="22"/>
                <w:szCs w:val="22"/>
                <w:u w:val="none"/>
              </w:rPr>
            </w:pPr>
          </w:p>
        </w:tc>
        <w:tc>
          <w:tcPr>
            <w:tcW w:w="2195" w:type="dxa"/>
            <w:tcBorders>
              <w:top w:val="nil"/>
              <w:left w:val="nil"/>
              <w:bottom w:val="nil"/>
              <w:right w:val="nil"/>
            </w:tcBorders>
            <w:shd w:val="clear" w:color="auto" w:fill="auto"/>
            <w:noWrap/>
            <w:tcMar>
              <w:top w:w="15" w:type="dxa"/>
              <w:left w:w="15" w:type="dxa"/>
              <w:right w:w="15" w:type="dxa"/>
            </w:tcMar>
            <w:vAlign w:val="bottom"/>
          </w:tcPr>
          <w:p>
            <w:pPr>
              <w:jc w:val="center"/>
              <w:rPr>
                <w:rFonts w:hint="default" w:ascii="Calibri" w:hAnsi="Calibri" w:cs="Calibri"/>
                <w:i w:val="0"/>
                <w:color w:val="000000"/>
                <w:sz w:val="22"/>
                <w:szCs w:val="22"/>
                <w:u w:val="none"/>
              </w:rPr>
            </w:pPr>
          </w:p>
        </w:tc>
        <w:tc>
          <w:tcPr>
            <w:tcW w:w="84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shd w:val="clear" w:color="auto" w:fill="auto"/>
          <w:tblCellMar>
            <w:top w:w="0" w:type="dxa"/>
            <w:left w:w="0" w:type="dxa"/>
            <w:bottom w:w="0" w:type="dxa"/>
            <w:right w:w="0" w:type="dxa"/>
          </w:tblCellMar>
        </w:tblPrEx>
        <w:trPr>
          <w:trHeight w:val="295" w:hRule="atLeast"/>
        </w:trPr>
        <w:tc>
          <w:tcPr>
            <w:tcW w:w="346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      入</w:t>
            </w:r>
          </w:p>
        </w:tc>
        <w:tc>
          <w:tcPr>
            <w:tcW w:w="5837"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          出</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按支出经济分类（款级）</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按支出功能科目（项级）</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一、财政拨款收入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675.68</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人员类</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457.66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社会保障和就业支出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81.41</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（一）一般公共预算收入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675.68</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工资福利支出</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453.62</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行政事业单位养老支出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58.89</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（二）政府性基金预算收入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基本工资</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181.86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机关事业单位基本养老保险缴费支出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45.59</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（三）国有资本经营预算收入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津贴补贴</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87.94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机关事业单位职业年金缴费支出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13.30</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二、教育收费资金收入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奖金</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15.15</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22.52</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三、事业收入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伙食补助费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其他社会保障和就业支出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22.52</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四、事业单位经营收入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机关事业单位基本养老保险缴费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45.59</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卫生健康支出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23.89</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五、附属单位上缴收入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职业年金缴费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13.30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行政事业单位医疗</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23.89</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六、上级补助收入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职工基本医疗保险缴费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23.89</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事业单位医疗</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23.89</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七、其他收入</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5017.38</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其他社会保障缴费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22.52</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城乡社区支出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520.95</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住房公积金</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49.42</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城乡社区管理事务</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520.95</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对个人和家庭的补助</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住宅建设与房地产市场监管</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520.95</w:t>
            </w:r>
          </w:p>
        </w:tc>
      </w:tr>
      <w:tr>
        <w:tblPrEx>
          <w:shd w:val="clear" w:color="auto" w:fill="auto"/>
          <w:tblCellMar>
            <w:top w:w="0" w:type="dxa"/>
            <w:left w:w="0" w:type="dxa"/>
            <w:bottom w:w="0" w:type="dxa"/>
            <w:right w:w="0" w:type="dxa"/>
          </w:tblCellMar>
        </w:tblPrEx>
        <w:trPr>
          <w:trHeight w:val="56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其他对个人和家庭的补助</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4.04</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住房保障支出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49.42</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公用经费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42.22</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住房改革支出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49.42</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商品和服务支出</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33.76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住房公积金</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49.42</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办公费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5017.38</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水费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5017.38</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电费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5017.38</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取暖费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差旅费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公务接待费</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其他交通费用</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7.02</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资本性支出</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办公设备购置</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其他运转类</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517.38</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517.38</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shd w:val="clear" w:color="auto" w:fill="auto"/>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517.38</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特定目标类</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4675.80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4675.80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其他支出</w:t>
            </w:r>
          </w:p>
        </w:tc>
        <w:tc>
          <w:tcPr>
            <w:tcW w:w="8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4675.80</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本年收入合计</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5693.06</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本年支出合计</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5693.06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本年支出合计</w:t>
            </w:r>
          </w:p>
        </w:tc>
        <w:tc>
          <w:tcPr>
            <w:tcW w:w="8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八、使用非财政拨款结余</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295"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九、上年结转（结余）</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三、结转下年</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结转下年</w:t>
            </w:r>
          </w:p>
        </w:tc>
        <w:tc>
          <w:tcPr>
            <w:tcW w:w="8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2" w:hRule="atLeast"/>
        </w:trPr>
        <w:tc>
          <w:tcPr>
            <w:tcW w:w="26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收入总计</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5693.06</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支出总计</w:t>
            </w:r>
          </w:p>
        </w:tc>
        <w:tc>
          <w:tcPr>
            <w:tcW w:w="8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5693.06</w:t>
            </w:r>
          </w:p>
        </w:tc>
        <w:tc>
          <w:tcPr>
            <w:tcW w:w="21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支出总计</w:t>
            </w:r>
          </w:p>
        </w:tc>
        <w:tc>
          <w:tcPr>
            <w:tcW w:w="8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5693.06</w:t>
            </w:r>
          </w:p>
        </w:tc>
      </w:tr>
    </w:tbl>
    <w:p>
      <w:pPr>
        <w:spacing w:line="240" w:lineRule="auto"/>
        <w:ind w:firstLine="0" w:firstLineChars="0"/>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995670" cy="3204845"/>
            <wp:effectExtent l="0" t="0" r="5080" b="14605"/>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4"/>
                    <a:stretch>
                      <a:fillRect/>
                    </a:stretch>
                  </pic:blipFill>
                  <pic:spPr>
                    <a:xfrm>
                      <a:off x="0" y="0"/>
                      <a:ext cx="5995670" cy="3204845"/>
                    </a:xfrm>
                    <a:prstGeom prst="rect">
                      <a:avLst/>
                    </a:prstGeom>
                  </pic:spPr>
                </pic:pic>
              </a:graphicData>
            </a:graphic>
          </wp:inline>
        </w:drawing>
      </w:r>
    </w:p>
    <w:p>
      <w:pPr>
        <w:spacing w:line="560" w:lineRule="exact"/>
        <w:ind w:firstLine="1920" w:firstLineChars="600"/>
        <w:jc w:val="both"/>
        <w:rPr>
          <w:rFonts w:hint="eastAsia" w:ascii="黑体" w:hAnsi="黑体" w:eastAsia="黑体" w:cs="黑体"/>
          <w:b w:val="0"/>
          <w:bCs w:val="0"/>
          <w:sz w:val="32"/>
          <w:szCs w:val="32"/>
        </w:rPr>
      </w:pPr>
    </w:p>
    <w:tbl>
      <w:tblPr>
        <w:tblStyle w:val="6"/>
        <w:tblW w:w="9600" w:type="dxa"/>
        <w:tblInd w:w="0" w:type="dxa"/>
        <w:shd w:val="clear" w:color="auto" w:fill="auto"/>
        <w:tblLayout w:type="autofit"/>
        <w:tblCellMar>
          <w:top w:w="0" w:type="dxa"/>
          <w:left w:w="0" w:type="dxa"/>
          <w:bottom w:w="0" w:type="dxa"/>
          <w:right w:w="0" w:type="dxa"/>
        </w:tblCellMar>
      </w:tblPr>
      <w:tblGrid>
        <w:gridCol w:w="5340"/>
        <w:gridCol w:w="4260"/>
      </w:tblGrid>
      <w:tr>
        <w:tblPrEx>
          <w:shd w:val="clear" w:color="auto" w:fill="auto"/>
          <w:tblCellMar>
            <w:top w:w="0" w:type="dxa"/>
            <w:left w:w="0" w:type="dxa"/>
            <w:bottom w:w="0" w:type="dxa"/>
            <w:right w:w="0" w:type="dxa"/>
          </w:tblCellMar>
        </w:tblPrEx>
        <w:trPr>
          <w:trHeight w:val="450" w:hRule="atLeast"/>
        </w:trPr>
        <w:tc>
          <w:tcPr>
            <w:tcW w:w="5340" w:type="dxa"/>
            <w:tcBorders>
              <w:top w:val="nil"/>
              <w:left w:val="nil"/>
              <w:bottom w:val="nil"/>
              <w:right w:val="nil"/>
            </w:tcBorders>
            <w:shd w:val="clear" w:color="auto" w:fill="auto"/>
            <w:noWrap/>
            <w:tcMar>
              <w:top w:w="15" w:type="dxa"/>
              <w:left w:w="15" w:type="dxa"/>
              <w:right w:w="15" w:type="dxa"/>
            </w:tcMar>
            <w:vAlign w:val="bottom"/>
          </w:tcPr>
          <w:p>
            <w:pPr>
              <w:rPr>
                <w:rFonts w:hint="eastAsia" w:ascii="Calibri" w:hAnsi="Calibri" w:cs="Calibri"/>
                <w:i w:val="0"/>
                <w:color w:val="000000"/>
                <w:sz w:val="22"/>
                <w:szCs w:val="22"/>
                <w:u w:val="none"/>
              </w:rPr>
            </w:pPr>
          </w:p>
        </w:tc>
        <w:tc>
          <w:tcPr>
            <w:tcW w:w="4260" w:type="dxa"/>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预算03表-1</w:t>
            </w:r>
          </w:p>
        </w:tc>
      </w:tr>
      <w:tr>
        <w:tblPrEx>
          <w:shd w:val="clear" w:color="auto" w:fill="auto"/>
          <w:tblCellMar>
            <w:top w:w="0" w:type="dxa"/>
            <w:left w:w="0" w:type="dxa"/>
            <w:bottom w:w="0" w:type="dxa"/>
            <w:right w:w="0" w:type="dxa"/>
          </w:tblCellMar>
        </w:tblPrEx>
        <w:trPr>
          <w:trHeight w:val="555" w:hRule="atLeast"/>
        </w:trPr>
        <w:tc>
          <w:tcPr>
            <w:tcW w:w="0" w:type="auto"/>
            <w:gridSpan w:val="2"/>
            <w:tcBorders>
              <w:top w:val="nil"/>
              <w:left w:val="nil"/>
              <w:bottom w:val="nil"/>
              <w:right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支出预算表</w:t>
            </w:r>
          </w:p>
        </w:tc>
      </w:tr>
      <w:tr>
        <w:tblPrEx>
          <w:shd w:val="clear" w:color="auto" w:fill="auto"/>
          <w:tblCellMar>
            <w:top w:w="0" w:type="dxa"/>
            <w:left w:w="0" w:type="dxa"/>
            <w:bottom w:w="0" w:type="dxa"/>
            <w:right w:w="0" w:type="dxa"/>
          </w:tblCellMar>
        </w:tblPrEx>
        <w:trPr>
          <w:trHeight w:val="390" w:hRule="atLeast"/>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填报单位:[308001]兴国县住房保障安置服务中心</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单位：万元</w:t>
            </w:r>
          </w:p>
        </w:tc>
      </w:tr>
      <w:tr>
        <w:tblPrEx>
          <w:shd w:val="clear" w:color="auto" w:fill="auto"/>
          <w:tblCellMar>
            <w:top w:w="0" w:type="dxa"/>
            <w:left w:w="0" w:type="dxa"/>
            <w:bottom w:w="0" w:type="dxa"/>
            <w:right w:w="0"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支出经济分类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预算数</w:t>
            </w:r>
          </w:p>
        </w:tc>
      </w:tr>
      <w:tr>
        <w:tblPrEx>
          <w:shd w:val="clear" w:color="auto" w:fill="auto"/>
          <w:tblCellMar>
            <w:top w:w="0" w:type="dxa"/>
            <w:left w:w="0" w:type="dxa"/>
            <w:bottom w:w="0" w:type="dxa"/>
            <w:right w:w="0"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5693.06</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人员类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457.66</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工资福利支出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453.62</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基本工资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181.86</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津贴补贴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87.94</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奖金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15.15</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伙食补助费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13.94</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机关事业单位基本养老保险缴费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45.59</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职业年金缴费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13.30</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职工基本医疗保险缴费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23.89</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其他社会保障缴费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22.52</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49.42</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对个人和家庭的补助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4.04</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其他对个人和家庭的补助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4.04</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公用经费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42.22</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商品和服务支出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33.76</w:t>
            </w:r>
          </w:p>
        </w:tc>
      </w:tr>
      <w:tr>
        <w:tblPrEx>
          <w:shd w:val="clear" w:color="auto" w:fill="auto"/>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办公费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3.06</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水费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2.00</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电费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5.00</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取暖费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1.68</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差旅费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5.00</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公务接待费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10.00</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其他交通费用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7.02</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资本性支出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8.46</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办公设备购置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8.46</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其他运转类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517.38</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517.38</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517.38</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特定目标类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4675.80</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4675.80</w:t>
            </w:r>
          </w:p>
        </w:tc>
      </w:tr>
      <w:tr>
        <w:tblPrEx>
          <w:tblCellMar>
            <w:top w:w="0" w:type="dxa"/>
            <w:left w:w="0" w:type="dxa"/>
            <w:bottom w:w="0" w:type="dxa"/>
            <w:right w:w="0"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4675.80</w:t>
            </w:r>
          </w:p>
        </w:tc>
      </w:tr>
    </w:tbl>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5482590" cy="5292725"/>
            <wp:effectExtent l="0" t="0" r="3810" b="3175"/>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5"/>
                    <a:stretch>
                      <a:fillRect/>
                    </a:stretch>
                  </pic:blipFill>
                  <pic:spPr>
                    <a:xfrm>
                      <a:off x="0" y="0"/>
                      <a:ext cx="5482590" cy="5292725"/>
                    </a:xfrm>
                    <a:prstGeom prst="rect">
                      <a:avLst/>
                    </a:prstGeom>
                  </pic:spPr>
                </pic:pic>
              </a:graphicData>
            </a:graphic>
          </wp:inline>
        </w:drawing>
      </w:r>
    </w:p>
    <w:p>
      <w:pPr>
        <w:pStyle w:val="2"/>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5540375" cy="3385185"/>
            <wp:effectExtent l="0" t="0" r="3175" b="5715"/>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6"/>
                    <a:stretch>
                      <a:fillRect/>
                    </a:stretch>
                  </pic:blipFill>
                  <pic:spPr>
                    <a:xfrm>
                      <a:off x="0" y="0"/>
                      <a:ext cx="5540375" cy="3385185"/>
                    </a:xfrm>
                    <a:prstGeom prst="rect">
                      <a:avLst/>
                    </a:prstGeom>
                  </pic:spPr>
                </pic:pic>
              </a:graphicData>
            </a:graphic>
          </wp:inline>
        </w:drawing>
      </w:r>
    </w:p>
    <w:p>
      <w:pPr>
        <w:spacing w:line="560" w:lineRule="exact"/>
        <w:ind w:firstLine="1920" w:firstLineChars="600"/>
        <w:jc w:val="both"/>
        <w:rPr>
          <w:rFonts w:hint="eastAsia" w:ascii="黑体" w:hAnsi="黑体" w:eastAsia="黑体" w:cs="黑体"/>
          <w:b w:val="0"/>
          <w:bCs w:val="0"/>
          <w:sz w:val="32"/>
          <w:szCs w:val="32"/>
        </w:rPr>
      </w:pPr>
    </w:p>
    <w:p>
      <w:pPr>
        <w:spacing w:line="240" w:lineRule="auto"/>
        <w:jc w:val="both"/>
        <w:rPr>
          <w:rFonts w:hint="eastAsia" w:ascii="黑体" w:hAnsi="黑体" w:eastAsia="黑体" w:cs="黑体"/>
          <w:b w:val="0"/>
          <w:bCs w:val="0"/>
          <w:sz w:val="32"/>
          <w:szCs w:val="32"/>
          <w:lang w:eastAsia="zh-CN"/>
        </w:rPr>
      </w:pPr>
    </w:p>
    <w:p>
      <w:pPr>
        <w:spacing w:line="240" w:lineRule="auto"/>
        <w:jc w:val="left"/>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6306185" cy="3664585"/>
            <wp:effectExtent l="0" t="0" r="18415" b="12065"/>
            <wp:docPr id="9" name="图片 9"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6.1"/>
                    <pic:cNvPicPr>
                      <a:picLocks noChangeAspect="1"/>
                    </pic:cNvPicPr>
                  </pic:nvPicPr>
                  <pic:blipFill>
                    <a:blip r:embed="rId7"/>
                    <a:stretch>
                      <a:fillRect/>
                    </a:stretch>
                  </pic:blipFill>
                  <pic:spPr>
                    <a:xfrm>
                      <a:off x="0" y="0"/>
                      <a:ext cx="6306185" cy="3664585"/>
                    </a:xfrm>
                    <a:prstGeom prst="rect">
                      <a:avLst/>
                    </a:prstGeom>
                  </pic:spPr>
                </pic:pic>
              </a:graphicData>
            </a:graphic>
          </wp:inline>
        </w:drawing>
      </w:r>
    </w:p>
    <w:p>
      <w:pPr>
        <w:spacing w:line="560" w:lineRule="exact"/>
        <w:ind w:firstLine="1920" w:firstLineChars="600"/>
        <w:jc w:val="both"/>
        <w:rPr>
          <w:rFonts w:hint="eastAsia" w:ascii="黑体" w:hAnsi="黑体" w:eastAsia="黑体" w:cs="黑体"/>
          <w:b w:val="0"/>
          <w:bCs w:val="0"/>
          <w:sz w:val="32"/>
          <w:szCs w:val="32"/>
        </w:rPr>
      </w:pPr>
    </w:p>
    <w:p>
      <w:pPr>
        <w:spacing w:line="560" w:lineRule="exact"/>
        <w:ind w:firstLine="1920" w:firstLineChars="600"/>
        <w:jc w:val="both"/>
        <w:rPr>
          <w:rFonts w:hint="eastAsia" w:ascii="黑体" w:hAnsi="黑体" w:eastAsia="黑体" w:cs="黑体"/>
          <w:b w:val="0"/>
          <w:bCs w:val="0"/>
          <w:sz w:val="32"/>
          <w:szCs w:val="32"/>
        </w:rPr>
      </w:pPr>
    </w:p>
    <w:p>
      <w:pPr>
        <w:spacing w:line="560" w:lineRule="exact"/>
        <w:ind w:firstLine="1920" w:firstLineChars="600"/>
        <w:jc w:val="both"/>
        <w:rPr>
          <w:rFonts w:hint="eastAsia" w:ascii="黑体" w:hAnsi="黑体" w:eastAsia="黑体" w:cs="黑体"/>
          <w:b w:val="0"/>
          <w:bCs w:val="0"/>
          <w:sz w:val="32"/>
          <w:szCs w:val="32"/>
        </w:rPr>
      </w:pPr>
    </w:p>
    <w:p>
      <w:pPr>
        <w:spacing w:line="240" w:lineRule="auto"/>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6207125" cy="2315210"/>
            <wp:effectExtent l="0" t="0" r="3175" b="8890"/>
            <wp:docPr id="10" name="图片 1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
                    <pic:cNvPicPr>
                      <a:picLocks noChangeAspect="1"/>
                    </pic:cNvPicPr>
                  </pic:nvPicPr>
                  <pic:blipFill>
                    <a:blip r:embed="rId8"/>
                    <a:stretch>
                      <a:fillRect/>
                    </a:stretch>
                  </pic:blipFill>
                  <pic:spPr>
                    <a:xfrm>
                      <a:off x="0" y="0"/>
                      <a:ext cx="6207125" cy="2315210"/>
                    </a:xfrm>
                    <a:prstGeom prst="rect">
                      <a:avLst/>
                    </a:prstGeom>
                  </pic:spPr>
                </pic:pic>
              </a:graphicData>
            </a:graphic>
          </wp:inline>
        </w:drawing>
      </w:r>
    </w:p>
    <w:p>
      <w:pPr>
        <w:spacing w:line="560" w:lineRule="exact"/>
        <w:ind w:firstLine="1920" w:firstLineChars="600"/>
        <w:jc w:val="both"/>
        <w:rPr>
          <w:rFonts w:hint="eastAsia" w:ascii="黑体" w:hAnsi="黑体" w:eastAsia="黑体" w:cs="黑体"/>
          <w:b w:val="0"/>
          <w:bCs w:val="0"/>
          <w:sz w:val="32"/>
          <w:szCs w:val="32"/>
        </w:rPr>
      </w:pPr>
    </w:p>
    <w:p>
      <w:pPr>
        <w:spacing w:line="560" w:lineRule="exact"/>
        <w:ind w:firstLine="1920" w:firstLineChars="600"/>
        <w:jc w:val="both"/>
        <w:rPr>
          <w:rFonts w:hint="eastAsia" w:ascii="黑体" w:hAnsi="黑体" w:eastAsia="黑体" w:cs="黑体"/>
          <w:b w:val="0"/>
          <w:bCs w:val="0"/>
          <w:sz w:val="32"/>
          <w:szCs w:val="32"/>
        </w:rPr>
      </w:pPr>
    </w:p>
    <w:p>
      <w:pPr>
        <w:spacing w:line="240" w:lineRule="auto"/>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6313170" cy="1103630"/>
            <wp:effectExtent l="0" t="0" r="11430" b="1270"/>
            <wp:docPr id="11" name="图片 1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
                    <pic:cNvPicPr>
                      <a:picLocks noChangeAspect="1"/>
                    </pic:cNvPicPr>
                  </pic:nvPicPr>
                  <pic:blipFill>
                    <a:blip r:embed="rId9"/>
                    <a:stretch>
                      <a:fillRect/>
                    </a:stretch>
                  </pic:blipFill>
                  <pic:spPr>
                    <a:xfrm>
                      <a:off x="0" y="0"/>
                      <a:ext cx="6313170" cy="1103630"/>
                    </a:xfrm>
                    <a:prstGeom prst="rect">
                      <a:avLst/>
                    </a:prstGeom>
                  </pic:spPr>
                </pic:pic>
              </a:graphicData>
            </a:graphic>
          </wp:inline>
        </w:drawing>
      </w:r>
    </w:p>
    <w:p>
      <w:pPr>
        <w:spacing w:line="560" w:lineRule="exact"/>
        <w:ind w:firstLine="1920" w:firstLineChars="600"/>
        <w:jc w:val="both"/>
        <w:rPr>
          <w:rFonts w:hint="eastAsia" w:ascii="黑体" w:hAnsi="黑体" w:eastAsia="黑体" w:cs="黑体"/>
          <w:b w:val="0"/>
          <w:bCs w:val="0"/>
          <w:sz w:val="32"/>
          <w:szCs w:val="32"/>
          <w:lang w:eastAsia="zh-CN"/>
        </w:rPr>
      </w:pPr>
    </w:p>
    <w:p>
      <w:pPr>
        <w:pStyle w:val="2"/>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drawing>
          <wp:inline distT="0" distB="0" distL="114300" distR="114300">
            <wp:extent cx="6189980" cy="1398905"/>
            <wp:effectExtent l="0" t="0" r="1270" b="10795"/>
            <wp:docPr id="1" name="图片 1" descr="d60d33aeeb6aad1077e40c9fc250f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60d33aeeb6aad1077e40c9fc250fba"/>
                    <pic:cNvPicPr>
                      <a:picLocks noChangeAspect="1"/>
                    </pic:cNvPicPr>
                  </pic:nvPicPr>
                  <pic:blipFill>
                    <a:blip r:embed="rId10"/>
                    <a:stretch>
                      <a:fillRect/>
                    </a:stretch>
                  </pic:blipFill>
                  <pic:spPr>
                    <a:xfrm>
                      <a:off x="0" y="0"/>
                      <a:ext cx="6189980" cy="1398905"/>
                    </a:xfrm>
                    <a:prstGeom prst="rect">
                      <a:avLst/>
                    </a:prstGeom>
                  </pic:spPr>
                </pic:pic>
              </a:graphicData>
            </a:graphic>
          </wp:inline>
        </w:drawing>
      </w: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黑体" w:cs="黑体"/>
          <w:b w:val="0"/>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left="0" w:leftChars="0" w:right="0" w:rightChars="0"/>
        <w:rPr>
          <w:rFonts w:hint="eastAsia" w:ascii="宋体" w:hAnsi="宋体" w:eastAsia="楷体_GB2312" w:cs="楷体_GB2312"/>
          <w:b/>
          <w:bCs/>
          <w:color w:val="000000" w:themeColor="text1"/>
          <w:sz w:val="32"/>
          <w:szCs w:val="32"/>
          <w14:textFill>
            <w14:solidFill>
              <w14:schemeClr w14:val="tx1"/>
            </w14:solidFill>
          </w14:textFill>
        </w:rPr>
      </w:pPr>
      <w:r>
        <w:rPr>
          <w:rFonts w:hint="eastAsia" w:ascii="宋体" w:hAnsi="宋体" w:eastAsia="黑体" w:cs="黑体"/>
          <w:b w:val="0"/>
          <w:bCs/>
          <w:color w:val="000000" w:themeColor="text1"/>
          <w:sz w:val="32"/>
          <w:szCs w:val="32"/>
          <w14:textFill>
            <w14:solidFill>
              <w14:schemeClr w14:val="tx1"/>
            </w14:solidFill>
          </w14:textFill>
        </w:rPr>
        <w:t>附件</w:t>
      </w:r>
      <w:r>
        <w:rPr>
          <w:rFonts w:hint="eastAsia" w:ascii="宋体" w:hAnsi="宋体" w:eastAsia="黑体" w:cs="黑体"/>
          <w:b w:val="0"/>
          <w:bCs/>
          <w:color w:val="000000" w:themeColor="text1"/>
          <w:sz w:val="32"/>
          <w:szCs w:val="32"/>
          <w:lang w:val="en-US" w:eastAsia="zh-CN"/>
          <w14:textFill>
            <w14:solidFill>
              <w14:schemeClr w14:val="tx1"/>
            </w14:solidFill>
          </w14:textFill>
        </w:rPr>
        <w:t>3</w:t>
      </w:r>
    </w:p>
    <w:tbl>
      <w:tblPr>
        <w:tblStyle w:val="6"/>
        <w:tblW w:w="9080" w:type="dxa"/>
        <w:jc w:val="center"/>
        <w:shd w:val="clear" w:color="auto" w:fill="auto"/>
        <w:tblLayout w:type="fixed"/>
        <w:tblCellMar>
          <w:top w:w="0" w:type="dxa"/>
          <w:left w:w="0" w:type="dxa"/>
          <w:bottom w:w="0" w:type="dxa"/>
          <w:right w:w="0" w:type="dxa"/>
        </w:tblCellMar>
      </w:tblPr>
      <w:tblGrid>
        <w:gridCol w:w="916"/>
        <w:gridCol w:w="916"/>
        <w:gridCol w:w="920"/>
        <w:gridCol w:w="914"/>
        <w:gridCol w:w="2653"/>
        <w:gridCol w:w="916"/>
        <w:gridCol w:w="916"/>
        <w:gridCol w:w="929"/>
      </w:tblGrid>
      <w:tr>
        <w:tblPrEx>
          <w:shd w:val="clear" w:color="auto" w:fill="auto"/>
          <w:tblCellMar>
            <w:top w:w="0" w:type="dxa"/>
            <w:left w:w="0" w:type="dxa"/>
            <w:bottom w:w="0" w:type="dxa"/>
            <w:right w:w="0" w:type="dxa"/>
          </w:tblCellMar>
        </w:tblPrEx>
        <w:trPr>
          <w:trHeight w:val="542" w:hRule="atLeast"/>
          <w:jc w:val="center"/>
        </w:trPr>
        <w:tc>
          <w:tcPr>
            <w:tcW w:w="9080" w:type="dxa"/>
            <w:gridSpan w:val="8"/>
            <w:tcBorders>
              <w:top w:val="nil"/>
              <w:left w:val="nil"/>
              <w:bottom w:val="nil"/>
              <w:right w:val="nil"/>
            </w:tcBorders>
            <w:shd w:val="clear" w:color="auto" w:fill="auto"/>
            <w:tcMar>
              <w:top w:w="12" w:type="dxa"/>
              <w:left w:w="12" w:type="dxa"/>
              <w:right w:w="12" w:type="dxa"/>
            </w:tcMar>
            <w:vAlign w:val="center"/>
          </w:tcPr>
          <w:p>
            <w:pPr>
              <w:keepNext w:val="0"/>
              <w:keepLines w:val="0"/>
              <w:pageBreakBefore w:val="0"/>
              <w:widowControl/>
              <w:suppressLineNumbers w:val="0"/>
              <w:tabs>
                <w:tab w:val="left" w:pos="451"/>
                <w:tab w:val="center" w:pos="5149"/>
              </w:tabs>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宋体" w:cs="宋体"/>
                <w:b/>
                <w:i w:val="0"/>
                <w:color w:val="000000" w:themeColor="text1"/>
                <w:sz w:val="32"/>
                <w:szCs w:val="32"/>
                <w:u w:val="none"/>
                <w14:textFill>
                  <w14:solidFill>
                    <w14:schemeClr w14:val="tx1"/>
                  </w14:solidFill>
                </w14:textFill>
              </w:rPr>
            </w:pPr>
            <w:r>
              <w:rPr>
                <w:rFonts w:hint="eastAsia" w:ascii="宋体" w:hAnsi="宋体" w:cs="宋体"/>
                <w:b/>
                <w:i w:val="0"/>
                <w:color w:val="000000" w:themeColor="text1"/>
                <w:kern w:val="0"/>
                <w:sz w:val="32"/>
                <w:szCs w:val="32"/>
                <w:u w:val="none"/>
                <w:lang w:val="en-US" w:eastAsia="zh-CN" w:bidi="ar"/>
                <w14:textFill>
                  <w14:solidFill>
                    <w14:schemeClr w14:val="tx1"/>
                  </w14:solidFill>
                </w14:textFill>
              </w:rPr>
              <w:tab/>
            </w:r>
            <w:r>
              <w:rPr>
                <w:rFonts w:hint="eastAsia" w:ascii="宋体" w:hAnsi="宋体" w:cs="宋体"/>
                <w:b/>
                <w:i w:val="0"/>
                <w:color w:val="000000" w:themeColor="text1"/>
                <w:kern w:val="0"/>
                <w:sz w:val="32"/>
                <w:szCs w:val="32"/>
                <w:u w:val="none"/>
                <w:lang w:val="en-US" w:eastAsia="zh-CN" w:bidi="ar"/>
                <w14:textFill>
                  <w14:solidFill>
                    <w14:schemeClr w14:val="tx1"/>
                  </w14:solidFill>
                </w14:textFill>
              </w:rPr>
              <w:tab/>
            </w:r>
            <w:r>
              <w:rPr>
                <w:rFonts w:hint="eastAsia" w:ascii="宋体" w:hAnsi="宋体" w:eastAsia="方正小标宋简体" w:cs="方正小标宋简体"/>
                <w:b w:val="0"/>
                <w:bCs/>
                <w:i w:val="0"/>
                <w:color w:val="000000" w:themeColor="text1"/>
                <w:kern w:val="0"/>
                <w:sz w:val="44"/>
                <w:szCs w:val="44"/>
                <w:u w:val="none"/>
                <w:lang w:val="en-US" w:eastAsia="zh-CN" w:bidi="ar"/>
                <w14:textFill>
                  <w14:solidFill>
                    <w14:schemeClr w14:val="tx1"/>
                  </w14:solidFill>
                </w14:textFill>
              </w:rPr>
              <w:t>部门整体支出绩效目标申报表</w:t>
            </w:r>
          </w:p>
        </w:tc>
      </w:tr>
      <w:tr>
        <w:tblPrEx>
          <w:shd w:val="clear" w:color="auto" w:fill="auto"/>
          <w:tblCellMar>
            <w:top w:w="0" w:type="dxa"/>
            <w:left w:w="0" w:type="dxa"/>
            <w:bottom w:w="0" w:type="dxa"/>
            <w:right w:w="0" w:type="dxa"/>
          </w:tblCellMar>
        </w:tblPrEx>
        <w:trPr>
          <w:trHeight w:val="276" w:hRule="atLeast"/>
          <w:jc w:val="center"/>
        </w:trPr>
        <w:tc>
          <w:tcPr>
            <w:tcW w:w="9080" w:type="dxa"/>
            <w:gridSpan w:val="8"/>
            <w:tcBorders>
              <w:top w:val="nil"/>
              <w:left w:val="nil"/>
              <w:bottom w:val="nil"/>
              <w:right w:val="nil"/>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4"/>
                <w:szCs w:val="24"/>
                <w:u w:val="none"/>
                <w14:textFill>
                  <w14:solidFill>
                    <w14:schemeClr w14:val="tx1"/>
                  </w14:solidFill>
                </w14:textFill>
              </w:rPr>
            </w:pPr>
            <w:r>
              <w:rPr>
                <w:rStyle w:val="8"/>
                <w:rFonts w:hint="eastAsia" w:ascii="宋体" w:hAnsi="宋体" w:eastAsiaTheme="minorEastAsia" w:cstheme="minorEastAsia"/>
                <w:color w:val="000000" w:themeColor="text1"/>
                <w:lang w:val="en-US" w:eastAsia="zh-CN" w:bidi="ar"/>
                <w14:textFill>
                  <w14:solidFill>
                    <w14:schemeClr w14:val="tx1"/>
                  </w14:solidFill>
                </w14:textFill>
              </w:rPr>
              <w:t>（</w:t>
            </w:r>
            <w:r>
              <w:rPr>
                <w:rStyle w:val="9"/>
                <w:rFonts w:hint="eastAsia" w:ascii="宋体" w:hAnsi="宋体" w:eastAsiaTheme="minorEastAsia" w:cstheme="minorEastAsia"/>
                <w:color w:val="000000" w:themeColor="text1"/>
                <w:lang w:val="en-US" w:eastAsia="zh-CN" w:bidi="ar"/>
                <w14:textFill>
                  <w14:solidFill>
                    <w14:schemeClr w14:val="tx1"/>
                  </w14:solidFill>
                </w14:textFill>
              </w:rPr>
              <w:t xml:space="preserve"> 2022</w:t>
            </w:r>
            <w:r>
              <w:rPr>
                <w:rStyle w:val="8"/>
                <w:rFonts w:hint="eastAsia" w:ascii="宋体" w:hAnsi="宋体" w:eastAsiaTheme="minorEastAsia" w:cstheme="minorEastAsia"/>
                <w:color w:val="000000" w:themeColor="text1"/>
                <w:lang w:val="en-US" w:eastAsia="zh-CN" w:bidi="ar"/>
                <w14:textFill>
                  <w14:solidFill>
                    <w14:schemeClr w14:val="tx1"/>
                  </w14:solidFill>
                </w14:textFill>
              </w:rPr>
              <w:t>年度）</w:t>
            </w:r>
          </w:p>
        </w:tc>
      </w:tr>
      <w:tr>
        <w:tblPrEx>
          <w:shd w:val="clear" w:color="auto" w:fill="auto"/>
          <w:tblCellMar>
            <w:top w:w="0" w:type="dxa"/>
            <w:left w:w="0" w:type="dxa"/>
            <w:bottom w:w="0" w:type="dxa"/>
            <w:right w:w="0" w:type="dxa"/>
          </w:tblCellMar>
        </w:tblPrEx>
        <w:trPr>
          <w:trHeight w:val="285" w:hRule="atLeast"/>
          <w:jc w:val="center"/>
        </w:trPr>
        <w:tc>
          <w:tcPr>
            <w:tcW w:w="2752"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部门名称</w:t>
            </w:r>
          </w:p>
        </w:tc>
        <w:tc>
          <w:tcPr>
            <w:tcW w:w="6328"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兴国县住房保障安置服务中心</w:t>
            </w:r>
          </w:p>
        </w:tc>
      </w:tr>
      <w:tr>
        <w:tblPrEx>
          <w:shd w:val="clear" w:color="auto" w:fill="auto"/>
          <w:tblCellMar>
            <w:top w:w="0" w:type="dxa"/>
            <w:left w:w="0" w:type="dxa"/>
            <w:bottom w:w="0" w:type="dxa"/>
            <w:right w:w="0" w:type="dxa"/>
          </w:tblCellMar>
        </w:tblPrEx>
        <w:trPr>
          <w:trHeight w:val="285" w:hRule="atLeast"/>
          <w:jc w:val="center"/>
        </w:trPr>
        <w:tc>
          <w:tcPr>
            <w:tcW w:w="2752"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联系人</w:t>
            </w:r>
          </w:p>
        </w:tc>
        <w:tc>
          <w:tcPr>
            <w:tcW w:w="356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lang w:eastAsia="zh-CN"/>
                <w14:textFill>
                  <w14:solidFill>
                    <w14:schemeClr w14:val="tx1"/>
                  </w14:solidFill>
                </w14:textFill>
              </w:rPr>
            </w:pPr>
            <w:r>
              <w:rPr>
                <w:rFonts w:hint="eastAsia" w:ascii="宋体" w:hAnsi="宋体" w:cstheme="minorEastAsia"/>
                <w:i w:val="0"/>
                <w:color w:val="000000" w:themeColor="text1"/>
                <w:sz w:val="20"/>
                <w:szCs w:val="20"/>
                <w:u w:val="none"/>
                <w:lang w:eastAsia="zh-CN"/>
                <w14:textFill>
                  <w14:solidFill>
                    <w14:schemeClr w14:val="tx1"/>
                  </w14:solidFill>
                </w14:textFill>
              </w:rPr>
              <w:t>李群</w:t>
            </w:r>
          </w:p>
        </w:tc>
        <w:tc>
          <w:tcPr>
            <w:tcW w:w="276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default" w:ascii="宋体" w:hAnsi="宋体" w:eastAsiaTheme="minorEastAsia" w:cstheme="minorEastAsia"/>
                <w:i w:val="0"/>
                <w:color w:val="000000" w:themeColor="text1"/>
                <w:sz w:val="20"/>
                <w:szCs w:val="20"/>
                <w:u w:val="none"/>
                <w:lang w:val="en-US"/>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联系电话：</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15970889196</w:t>
            </w:r>
          </w:p>
        </w:tc>
      </w:tr>
      <w:tr>
        <w:tblPrEx>
          <w:shd w:val="clear" w:color="auto" w:fill="auto"/>
          <w:tblCellMar>
            <w:top w:w="0" w:type="dxa"/>
            <w:left w:w="0" w:type="dxa"/>
            <w:bottom w:w="0" w:type="dxa"/>
            <w:right w:w="0" w:type="dxa"/>
          </w:tblCellMar>
        </w:tblPrEx>
        <w:trPr>
          <w:trHeight w:val="285" w:hRule="atLeast"/>
          <w:jc w:val="center"/>
        </w:trPr>
        <w:tc>
          <w:tcPr>
            <w:tcW w:w="2752" w:type="dxa"/>
            <w:gridSpan w:val="3"/>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单位职能</w:t>
            </w:r>
          </w:p>
        </w:tc>
        <w:tc>
          <w:tcPr>
            <w:tcW w:w="6328"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依据：</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兴编字[2021]6号</w:t>
            </w:r>
          </w:p>
        </w:tc>
      </w:tr>
      <w:tr>
        <w:tblPrEx>
          <w:shd w:val="clear" w:color="auto" w:fill="auto"/>
          <w:tblCellMar>
            <w:top w:w="0" w:type="dxa"/>
            <w:left w:w="0" w:type="dxa"/>
            <w:bottom w:w="0" w:type="dxa"/>
            <w:right w:w="0" w:type="dxa"/>
          </w:tblCellMar>
        </w:tblPrEx>
        <w:trPr>
          <w:trHeight w:val="285" w:hRule="atLeast"/>
          <w:jc w:val="center"/>
        </w:trPr>
        <w:tc>
          <w:tcPr>
            <w:tcW w:w="2752" w:type="dxa"/>
            <w:gridSpan w:val="3"/>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6328"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职能：</w:t>
            </w:r>
            <w:r>
              <w:rPr>
                <w:rFonts w:hint="eastAsia" w:ascii="仿宋" w:hAnsi="仿宋" w:eastAsia="仿宋" w:cs="仿宋"/>
                <w:sz w:val="30"/>
                <w:szCs w:val="30"/>
                <w:lang w:eastAsia="zh-CN"/>
              </w:rPr>
              <w:t>保障性住房安置、房屋征收、房地产交易、公房管理、物业管理、商品住宅维修基金储存与使用等</w:t>
            </w:r>
          </w:p>
        </w:tc>
      </w:tr>
      <w:tr>
        <w:tblPrEx>
          <w:shd w:val="clear" w:color="auto" w:fill="auto"/>
          <w:tblCellMar>
            <w:top w:w="0" w:type="dxa"/>
            <w:left w:w="0" w:type="dxa"/>
            <w:bottom w:w="0" w:type="dxa"/>
            <w:right w:w="0" w:type="dxa"/>
          </w:tblCellMar>
        </w:tblPrEx>
        <w:trPr>
          <w:trHeight w:val="285" w:hRule="atLeast"/>
          <w:jc w:val="center"/>
        </w:trPr>
        <w:tc>
          <w:tcPr>
            <w:tcW w:w="2752" w:type="dxa"/>
            <w:gridSpan w:val="3"/>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6328"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近三年单位职能是否出现过重大变化：</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否</w:t>
            </w:r>
          </w:p>
        </w:tc>
      </w:tr>
      <w:tr>
        <w:tblPrEx>
          <w:shd w:val="clear" w:color="auto" w:fill="auto"/>
          <w:tblCellMar>
            <w:top w:w="0" w:type="dxa"/>
            <w:left w:w="0" w:type="dxa"/>
            <w:bottom w:w="0" w:type="dxa"/>
            <w:right w:w="0" w:type="dxa"/>
          </w:tblCellMar>
        </w:tblPrEx>
        <w:trPr>
          <w:trHeight w:val="285" w:hRule="atLeast"/>
          <w:jc w:val="center"/>
        </w:trPr>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年度</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主要</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任务</w:t>
            </w:r>
          </w:p>
        </w:tc>
        <w:tc>
          <w:tcPr>
            <w:tcW w:w="18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任务名称</w:t>
            </w:r>
          </w:p>
        </w:tc>
        <w:tc>
          <w:tcPr>
            <w:tcW w:w="35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主要内容</w:t>
            </w:r>
          </w:p>
        </w:tc>
        <w:tc>
          <w:tcPr>
            <w:tcW w:w="276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预算金额（万元）</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总额</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财政拨款</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其他资金</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lang w:eastAsia="zh-CN"/>
                <w14:textFill>
                  <w14:solidFill>
                    <w14:schemeClr w14:val="tx1"/>
                  </w14:solidFill>
                </w14:textFill>
              </w:rPr>
            </w:pPr>
            <w:r>
              <w:rPr>
                <w:rFonts w:hint="eastAsia" w:ascii="宋体" w:hAnsi="宋体" w:cstheme="minorEastAsia"/>
                <w:i w:val="0"/>
                <w:color w:val="000000" w:themeColor="text1"/>
                <w:sz w:val="20"/>
                <w:szCs w:val="20"/>
                <w:u w:val="none"/>
                <w:lang w:eastAsia="zh-CN"/>
                <w14:textFill>
                  <w14:solidFill>
                    <w14:schemeClr w14:val="tx1"/>
                  </w14:solidFill>
                </w14:textFill>
              </w:rPr>
              <w:t>运转缺口经费</w:t>
            </w:r>
          </w:p>
        </w:tc>
        <w:tc>
          <w:tcPr>
            <w:tcW w:w="356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2022年运转缺口经费</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165.8</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165.8</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lang w:eastAsia="zh-CN"/>
                <w14:textFill>
                  <w14:solidFill>
                    <w14:schemeClr w14:val="tx1"/>
                  </w14:solidFill>
                </w14:textFill>
              </w:rPr>
            </w:pPr>
            <w:r>
              <w:rPr>
                <w:rFonts w:hint="eastAsia" w:ascii="宋体" w:hAnsi="宋体" w:cstheme="minorEastAsia"/>
                <w:i w:val="0"/>
                <w:color w:val="000000" w:themeColor="text1"/>
                <w:sz w:val="20"/>
                <w:szCs w:val="20"/>
                <w:u w:val="none"/>
                <w:lang w:eastAsia="zh-CN"/>
                <w14:textFill>
                  <w14:solidFill>
                    <w14:schemeClr w14:val="tx1"/>
                  </w14:solidFill>
                </w14:textFill>
              </w:rPr>
              <w:t>其他资金</w:t>
            </w:r>
          </w:p>
        </w:tc>
        <w:tc>
          <w:tcPr>
            <w:tcW w:w="356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lang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2022年</w:t>
            </w:r>
            <w:r>
              <w:rPr>
                <w:rFonts w:hint="eastAsia" w:ascii="宋体" w:hAnsi="宋体" w:cstheme="minorEastAsia"/>
                <w:i w:val="0"/>
                <w:color w:val="000000" w:themeColor="text1"/>
                <w:sz w:val="20"/>
                <w:szCs w:val="20"/>
                <w:u w:val="none"/>
                <w:lang w:eastAsia="zh-CN"/>
                <w14:textFill>
                  <w14:solidFill>
                    <w14:schemeClr w14:val="tx1"/>
                  </w14:solidFill>
                </w14:textFill>
              </w:rPr>
              <w:t>其他资金</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5000</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5000</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5403"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金额合计</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5165.8</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165.8</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5000</w:t>
            </w:r>
          </w:p>
        </w:tc>
      </w:tr>
      <w:tr>
        <w:tblPrEx>
          <w:shd w:val="clear" w:color="auto" w:fill="auto"/>
          <w:tblCellMar>
            <w:top w:w="0" w:type="dxa"/>
            <w:left w:w="0" w:type="dxa"/>
            <w:bottom w:w="0" w:type="dxa"/>
            <w:right w:w="0" w:type="dxa"/>
          </w:tblCellMar>
        </w:tblPrEx>
        <w:trPr>
          <w:trHeight w:val="1919" w:hRule="atLeast"/>
          <w:jc w:val="center"/>
        </w:trPr>
        <w:tc>
          <w:tcPr>
            <w:tcW w:w="916" w:type="dxa"/>
            <w:tcBorders>
              <w:top w:val="nil"/>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年度</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总体</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目标</w:t>
            </w:r>
          </w:p>
        </w:tc>
        <w:tc>
          <w:tcPr>
            <w:tcW w:w="8164" w:type="dxa"/>
            <w:gridSpan w:val="7"/>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目标1：</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目标2：</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目标3：</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r>
      <w:tr>
        <w:tblPrEx>
          <w:shd w:val="clear" w:color="auto" w:fill="auto"/>
          <w:tblCellMar>
            <w:top w:w="0" w:type="dxa"/>
            <w:left w:w="0" w:type="dxa"/>
            <w:bottom w:w="0" w:type="dxa"/>
            <w:right w:w="0" w:type="dxa"/>
          </w:tblCellMar>
        </w:tblPrEx>
        <w:trPr>
          <w:trHeight w:val="285" w:hRule="atLeast"/>
          <w:jc w:val="center"/>
        </w:trPr>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年</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度</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绩</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效</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指</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标</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一级指标</w:t>
            </w:r>
          </w:p>
        </w:tc>
        <w:tc>
          <w:tcPr>
            <w:tcW w:w="18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二级指标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三级指标</w:t>
            </w:r>
          </w:p>
        </w:tc>
        <w:tc>
          <w:tcPr>
            <w:tcW w:w="1845" w:type="dxa"/>
            <w:gridSpan w:val="2"/>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指标值</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产出指标</w:t>
            </w: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数量指标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住房安置套数</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left"/>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522</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住房安置套数</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left"/>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300</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left"/>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质量指标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群众满意率</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left"/>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98%</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群众满意率</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left"/>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98%</w:t>
            </w: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时效指标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成本指标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left"/>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效益指标</w:t>
            </w: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经济效益</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社会效益</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生态效益</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可持续影响</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left"/>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r>
      <w:tr>
        <w:tblPrEx>
          <w:tblCellMar>
            <w:top w:w="0" w:type="dxa"/>
            <w:left w:w="0" w:type="dxa"/>
            <w:bottom w:w="0" w:type="dxa"/>
            <w:right w:w="0" w:type="dxa"/>
          </w:tblCellMar>
        </w:tblPrEx>
        <w:trPr>
          <w:trHeight w:val="285"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满意度</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指标</w:t>
            </w:r>
          </w:p>
        </w:tc>
        <w:tc>
          <w:tcPr>
            <w:tcW w:w="18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服务对象</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center"/>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满意度指标</w:t>
            </w: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eastAsia" w:ascii="宋体" w:hAnsi="宋体" w:eastAsiaTheme="minorEastAsia" w:cstheme="minorEastAsia"/>
                <w:i w:val="0"/>
                <w:color w:val="000000" w:themeColor="text1"/>
                <w:sz w:val="20"/>
                <w:szCs w:val="20"/>
                <w:u w:val="none"/>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指标1：</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群众</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98%</w:t>
            </w:r>
          </w:p>
        </w:tc>
      </w:tr>
      <w:tr>
        <w:tblPrEx>
          <w:tblCellMar>
            <w:top w:w="0" w:type="dxa"/>
            <w:left w:w="0" w:type="dxa"/>
            <w:bottom w:w="0" w:type="dxa"/>
            <w:right w:w="0" w:type="dxa"/>
          </w:tblCellMar>
        </w:tblPrEx>
        <w:trPr>
          <w:trHeight w:val="422"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18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eastAsia" w:ascii="宋体" w:hAnsi="宋体" w:eastAsiaTheme="minorEastAsia" w:cstheme="minorEastAsia"/>
                <w:i w:val="0"/>
                <w:color w:val="000000" w:themeColor="text1"/>
                <w:sz w:val="20"/>
                <w:szCs w:val="20"/>
                <w:u w:val="none"/>
                <w14:textFill>
                  <w14:solidFill>
                    <w14:schemeClr w14:val="tx1"/>
                  </w14:solidFill>
                </w14:textFill>
              </w:rPr>
            </w:pPr>
          </w:p>
        </w:tc>
        <w:tc>
          <w:tcPr>
            <w:tcW w:w="35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jc w:val="left"/>
              <w:textAlignment w:val="center"/>
              <w:rPr>
                <w:rFonts w:hint="default" w:ascii="宋体" w:hAnsi="宋体" w:eastAsiaTheme="minorEastAsia" w:cstheme="minorEastAsia"/>
                <w:i w:val="0"/>
                <w:color w:val="000000" w:themeColor="text1"/>
                <w:sz w:val="20"/>
                <w:szCs w:val="20"/>
                <w:u w:val="none"/>
                <w:lang w:val="en-US"/>
                <w14:textFill>
                  <w14:solidFill>
                    <w14:schemeClr w14:val="tx1"/>
                  </w14:solidFill>
                </w14:textFill>
              </w:rPr>
            </w:pPr>
            <w:r>
              <w:rPr>
                <w:rFonts w:hint="eastAsia" w:ascii="宋体" w:hAnsi="宋体" w:eastAsiaTheme="minorEastAsia" w:cstheme="minorEastAsia"/>
                <w:i w:val="0"/>
                <w:color w:val="000000" w:themeColor="text1"/>
                <w:kern w:val="0"/>
                <w:sz w:val="20"/>
                <w:szCs w:val="20"/>
                <w:u w:val="none"/>
                <w:lang w:val="en-US" w:eastAsia="zh-CN" w:bidi="ar"/>
                <w14:textFill>
                  <w14:solidFill>
                    <w14:schemeClr w14:val="tx1"/>
                  </w14:solidFill>
                </w14:textFill>
              </w:rPr>
              <w:t xml:space="preserve"> 指标2：</w:t>
            </w:r>
            <w:r>
              <w:rPr>
                <w:rFonts w:hint="eastAsia" w:ascii="宋体" w:hAnsi="宋体" w:cstheme="minorEastAsia"/>
                <w:i w:val="0"/>
                <w:color w:val="000000" w:themeColor="text1"/>
                <w:kern w:val="0"/>
                <w:sz w:val="20"/>
                <w:szCs w:val="20"/>
                <w:u w:val="none"/>
                <w:lang w:val="en-US" w:eastAsia="zh-CN" w:bidi="ar"/>
                <w14:textFill>
                  <w14:solidFill>
                    <w14:schemeClr w14:val="tx1"/>
                  </w14:solidFill>
                </w14:textFill>
              </w:rPr>
              <w:t>职工</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kinsoku/>
              <w:wordWrap/>
              <w:overflowPunct/>
              <w:topLinePunct w:val="0"/>
              <w:autoSpaceDE/>
              <w:autoSpaceDN/>
              <w:bidi w:val="0"/>
              <w:adjustRightInd/>
              <w:snapToGrid/>
              <w:spacing w:line="560" w:lineRule="exact"/>
              <w:ind w:left="0" w:leftChars="0" w:right="0" w:rightChars="0"/>
              <w:jc w:val="center"/>
              <w:rPr>
                <w:rFonts w:hint="default" w:ascii="宋体" w:hAnsi="宋体" w:eastAsiaTheme="minorEastAsia" w:cstheme="minorEastAsia"/>
                <w:i w:val="0"/>
                <w:color w:val="000000" w:themeColor="text1"/>
                <w:sz w:val="20"/>
                <w:szCs w:val="20"/>
                <w:u w:val="none"/>
                <w:lang w:val="en-US" w:eastAsia="zh-CN"/>
                <w14:textFill>
                  <w14:solidFill>
                    <w14:schemeClr w14:val="tx1"/>
                  </w14:solidFill>
                </w14:textFill>
              </w:rPr>
            </w:pPr>
            <w:r>
              <w:rPr>
                <w:rFonts w:hint="eastAsia" w:ascii="宋体" w:hAnsi="宋体" w:cstheme="minorEastAsia"/>
                <w:i w:val="0"/>
                <w:color w:val="000000" w:themeColor="text1"/>
                <w:sz w:val="20"/>
                <w:szCs w:val="20"/>
                <w:u w:val="none"/>
                <w:lang w:val="en-US" w:eastAsia="zh-CN"/>
                <w14:textFill>
                  <w14:solidFill>
                    <w14:schemeClr w14:val="tx1"/>
                  </w14:solidFill>
                </w14:textFill>
              </w:rPr>
              <w:t>98%</w:t>
            </w:r>
          </w:p>
        </w:tc>
      </w:tr>
    </w:tbl>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
      <w:pPr>
        <w:keepNext w:val="0"/>
        <w:keepLines w:val="0"/>
        <w:pageBreakBefore w:val="0"/>
        <w:kinsoku/>
        <w:wordWrap/>
        <w:overflowPunct/>
        <w:topLinePunct w:val="0"/>
        <w:bidi w:val="0"/>
        <w:spacing w:line="560" w:lineRule="exact"/>
        <w:rPr>
          <w:rFonts w:hint="eastAsia" w:ascii="宋体" w:hAnsi="宋体" w:eastAsiaTheme="minorEastAsia" w:cstheme="minorEastAsia"/>
          <w:b/>
          <w:bCs/>
          <w:color w:val="000000" w:themeColor="text1"/>
          <w:sz w:val="32"/>
          <w:szCs w:val="32"/>
          <w:lang w:val="en-US" w:eastAsia="zh-CN"/>
          <w14:textFill>
            <w14:solidFill>
              <w14:schemeClr w14:val="tx1"/>
            </w14:solidFill>
          </w14:textFill>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13CB5"/>
    <w:multiLevelType w:val="singleLevel"/>
    <w:tmpl w:val="A3D13CB5"/>
    <w:lvl w:ilvl="0" w:tentative="0">
      <w:start w:val="8"/>
      <w:numFmt w:val="chineseCounting"/>
      <w:suff w:val="nothing"/>
      <w:lvlText w:val="（%1）"/>
      <w:lvlJc w:val="left"/>
      <w:rPr>
        <w:rFonts w:hint="eastAsia"/>
      </w:rPr>
    </w:lvl>
  </w:abstractNum>
  <w:abstractNum w:abstractNumId="1">
    <w:nsid w:val="414ED9EA"/>
    <w:multiLevelType w:val="singleLevel"/>
    <w:tmpl w:val="414ED9EA"/>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1B25289"/>
    <w:rsid w:val="01B25289"/>
    <w:rsid w:val="033223EF"/>
    <w:rsid w:val="05DB4785"/>
    <w:rsid w:val="0AF81679"/>
    <w:rsid w:val="0C5A57CB"/>
    <w:rsid w:val="0FF43021"/>
    <w:rsid w:val="108D50E1"/>
    <w:rsid w:val="11275138"/>
    <w:rsid w:val="1896638A"/>
    <w:rsid w:val="1901393B"/>
    <w:rsid w:val="195D475F"/>
    <w:rsid w:val="1D7A52A1"/>
    <w:rsid w:val="1E3E3753"/>
    <w:rsid w:val="1EF5307B"/>
    <w:rsid w:val="25DE668B"/>
    <w:rsid w:val="28A80742"/>
    <w:rsid w:val="28CE066A"/>
    <w:rsid w:val="30E319AF"/>
    <w:rsid w:val="33B17FDE"/>
    <w:rsid w:val="361138EA"/>
    <w:rsid w:val="37260CE1"/>
    <w:rsid w:val="4064171F"/>
    <w:rsid w:val="42126939"/>
    <w:rsid w:val="452847AC"/>
    <w:rsid w:val="4C0E7075"/>
    <w:rsid w:val="4C250441"/>
    <w:rsid w:val="4C2757BD"/>
    <w:rsid w:val="4E08743B"/>
    <w:rsid w:val="4E4E4730"/>
    <w:rsid w:val="4ED97106"/>
    <w:rsid w:val="51291F34"/>
    <w:rsid w:val="592E3ACC"/>
    <w:rsid w:val="59D72764"/>
    <w:rsid w:val="5B97430C"/>
    <w:rsid w:val="5D325D70"/>
    <w:rsid w:val="5DEF7A2C"/>
    <w:rsid w:val="5FF82F69"/>
    <w:rsid w:val="617E2A01"/>
    <w:rsid w:val="65F32A92"/>
    <w:rsid w:val="6E8C39F7"/>
    <w:rsid w:val="6EEA77E7"/>
    <w:rsid w:val="751F2C26"/>
    <w:rsid w:val="7D22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spacing w:after="0" w:line="360" w:lineRule="auto"/>
      <w:ind w:left="0" w:leftChars="0" w:firstLine="1040" w:firstLineChars="200"/>
    </w:pPr>
    <w:rPr>
      <w:sz w:val="24"/>
    </w:rPr>
  </w:style>
  <w:style w:type="character" w:customStyle="1" w:styleId="8">
    <w:name w:val="font21"/>
    <w:basedOn w:val="7"/>
    <w:qFormat/>
    <w:uiPriority w:val="0"/>
    <w:rPr>
      <w:rFonts w:hint="eastAsia" w:ascii="宋体" w:hAnsi="宋体" w:eastAsia="宋体" w:cs="宋体"/>
      <w:color w:val="000000"/>
      <w:sz w:val="24"/>
      <w:szCs w:val="24"/>
      <w:u w:val="none"/>
    </w:rPr>
  </w:style>
  <w:style w:type="character" w:customStyle="1" w:styleId="9">
    <w:name w:val="font01"/>
    <w:basedOn w:val="7"/>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3557</Words>
  <Characters>4326</Characters>
  <Lines>0</Lines>
  <Paragraphs>0</Paragraphs>
  <TotalTime>48</TotalTime>
  <ScaleCrop>false</ScaleCrop>
  <LinksUpToDate>false</LinksUpToDate>
  <CharactersWithSpaces>4539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2021-09-27T08:04:00Z</dcterms:created>
  <dc:creator>Administrator</dc:creator>
  <cp:lastModifiedBy>甘荀</cp:lastModifiedBy>
  <cp:lastPrinted>2023-06-19T03:46:00Z</cp:lastPrinted>
  <dcterms:modified xsi:type="dcterms:W3CDTF">2023-06-26T00:49:23Z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BC083BE09DC348DDB238CAD76CE789AB_13</vt:lpwstr>
  </property>
</Properties>
</file>