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89703">
      <w:pPr>
        <w:widowControl/>
        <w:wordWrap w:val="0"/>
        <w:spacing w:line="706" w:lineRule="atLeast"/>
        <w:jc w:val="center"/>
        <w:outlineLvl w:val="0"/>
        <w:rPr>
          <w:rFonts w:ascii="微软雅黑" w:hAnsi="微软雅黑" w:eastAsia="微软雅黑" w:cs="宋体"/>
          <w:b/>
          <w:bCs/>
          <w:color w:val="auto"/>
          <w:kern w:val="36"/>
          <w:sz w:val="50"/>
          <w:szCs w:val="50"/>
        </w:rPr>
      </w:pPr>
      <w:r>
        <w:rPr>
          <w:rFonts w:hint="eastAsia" w:ascii="微软雅黑" w:hAnsi="微软雅黑" w:eastAsia="微软雅黑" w:cs="宋体"/>
          <w:b/>
          <w:bCs/>
          <w:color w:val="auto"/>
          <w:kern w:val="36"/>
          <w:sz w:val="50"/>
          <w:szCs w:val="50"/>
        </w:rPr>
        <w:t>兴国县乡村振兴局2022年部门预算编制说明</w:t>
      </w:r>
    </w:p>
    <w:p w14:paraId="0468F583">
      <w:pPr>
        <w:widowControl/>
        <w:spacing w:before="225" w:after="225" w:line="560" w:lineRule="atLeast"/>
        <w:jc w:val="center"/>
        <w:rPr>
          <w:rFonts w:hint="eastAsia" w:ascii="宋体" w:hAnsi="宋体" w:eastAsia="宋体" w:cs="宋体"/>
          <w:color w:val="333333"/>
          <w:kern w:val="0"/>
          <w:sz w:val="24"/>
          <w:szCs w:val="24"/>
        </w:rPr>
      </w:pPr>
      <w:r>
        <w:rPr>
          <w:rFonts w:hint="eastAsia" w:ascii="黑体" w:hAnsi="黑体" w:eastAsia="黑体" w:cs="宋体"/>
          <w:color w:val="333333"/>
          <w:kern w:val="0"/>
          <w:sz w:val="32"/>
          <w:szCs w:val="32"/>
        </w:rPr>
        <w:t>目</w:t>
      </w:r>
      <w:r>
        <w:rPr>
          <w:rFonts w:hint="eastAsia" w:ascii="宋体" w:hAnsi="宋体" w:eastAsia="宋体" w:cs="宋体"/>
          <w:color w:val="333333"/>
          <w:kern w:val="0"/>
          <w:sz w:val="32"/>
          <w:szCs w:val="32"/>
        </w:rPr>
        <w:t> </w:t>
      </w:r>
      <w:r>
        <w:rPr>
          <w:rFonts w:hint="eastAsia" w:ascii="MS Mincho" w:hAnsi="MS Mincho" w:eastAsia="MS Mincho" w:cs="MS Mincho"/>
          <w:color w:val="333333"/>
          <w:kern w:val="0"/>
          <w:sz w:val="32"/>
          <w:szCs w:val="32"/>
        </w:rPr>
        <w:t> </w:t>
      </w:r>
      <w:r>
        <w:rPr>
          <w:rFonts w:hint="eastAsia" w:ascii="黑体" w:hAnsi="黑体" w:eastAsia="黑体" w:cs="宋体"/>
          <w:color w:val="333333"/>
          <w:kern w:val="0"/>
          <w:sz w:val="32"/>
          <w:szCs w:val="32"/>
        </w:rPr>
        <w:t>录</w:t>
      </w:r>
    </w:p>
    <w:p w14:paraId="63D704A2">
      <w:pPr>
        <w:widowControl/>
        <w:spacing w:before="225" w:after="225" w:line="560" w:lineRule="atLeast"/>
        <w:jc w:val="center"/>
        <w:rPr>
          <w:rFonts w:ascii="宋体" w:hAnsi="宋体" w:eastAsia="宋体" w:cs="宋体"/>
          <w:color w:val="333333"/>
          <w:kern w:val="0"/>
          <w:sz w:val="24"/>
          <w:szCs w:val="24"/>
        </w:rPr>
      </w:pPr>
      <w:r>
        <w:rPr>
          <w:rFonts w:hint="eastAsia" w:ascii="MS Mincho" w:hAnsi="MS Mincho" w:eastAsia="MS Mincho" w:cs="MS Mincho"/>
          <w:color w:val="333333"/>
          <w:kern w:val="0"/>
          <w:sz w:val="32"/>
          <w:szCs w:val="32"/>
        </w:rPr>
        <w:t> </w:t>
      </w:r>
      <w:bookmarkStart w:id="0" w:name="_GoBack"/>
      <w:bookmarkEnd w:id="0"/>
    </w:p>
    <w:p w14:paraId="409E2C5E">
      <w:pPr>
        <w:widowControl/>
        <w:spacing w:before="225" w:after="225" w:line="560" w:lineRule="atLeast"/>
        <w:ind w:left="641" w:hanging="684"/>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第一部分</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兴国县乡村振兴局概况</w:t>
      </w:r>
    </w:p>
    <w:p w14:paraId="6EABF65D">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一、部门主要职责</w:t>
      </w:r>
    </w:p>
    <w:p w14:paraId="5AE039FA">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二、部门基本情况</w:t>
      </w:r>
    </w:p>
    <w:p w14:paraId="19E6857E">
      <w:pPr>
        <w:widowControl/>
        <w:spacing w:before="225" w:after="225" w:line="560" w:lineRule="atLeast"/>
        <w:ind w:left="641" w:hanging="684"/>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第二部分</w:t>
      </w:r>
      <w:r>
        <w:rPr>
          <w:rFonts w:hint="eastAsia" w:ascii="MS Mincho" w:hAnsi="MS Mincho" w:eastAsia="MS Mincho" w:cs="MS Mincho"/>
          <w:b/>
          <w:bCs/>
          <w:color w:val="333333"/>
          <w:kern w:val="0"/>
          <w:sz w:val="32"/>
          <w:szCs w:val="32"/>
        </w:rPr>
        <w:t> </w:t>
      </w:r>
      <w:r>
        <w:rPr>
          <w:rFonts w:hint="eastAsia" w:ascii="仿宋" w:hAnsi="仿宋" w:eastAsia="仿宋" w:cs="宋体"/>
          <w:b/>
          <w:bCs/>
          <w:color w:val="333333"/>
          <w:kern w:val="0"/>
          <w:sz w:val="32"/>
          <w:szCs w:val="32"/>
        </w:rPr>
        <w:t>兴国县乡村振兴局2022年部门预算情况说明</w:t>
      </w:r>
    </w:p>
    <w:p w14:paraId="3D459943">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一、2022年部门预算收支情况说明</w:t>
      </w:r>
    </w:p>
    <w:p w14:paraId="6E43DCF5">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二、2022年“三公”经费预算情况说明</w:t>
      </w:r>
    </w:p>
    <w:p w14:paraId="045040F7">
      <w:pPr>
        <w:widowControl/>
        <w:spacing w:before="225" w:after="225" w:line="560" w:lineRule="atLeast"/>
        <w:ind w:left="641" w:hanging="684"/>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第三部分</w:t>
      </w:r>
      <w:r>
        <w:rPr>
          <w:rFonts w:hint="eastAsia" w:ascii="MS Mincho" w:hAnsi="MS Mincho" w:eastAsia="MS Mincho" w:cs="MS Mincho"/>
          <w:b/>
          <w:bCs/>
          <w:color w:val="333333"/>
          <w:kern w:val="0"/>
          <w:sz w:val="32"/>
          <w:szCs w:val="32"/>
        </w:rPr>
        <w:t> </w:t>
      </w:r>
      <w:r>
        <w:rPr>
          <w:rFonts w:hint="eastAsia" w:ascii="仿宋" w:hAnsi="仿宋" w:eastAsia="仿宋" w:cs="宋体"/>
          <w:b/>
          <w:bCs/>
          <w:color w:val="333333"/>
          <w:kern w:val="0"/>
          <w:sz w:val="32"/>
          <w:szCs w:val="32"/>
        </w:rPr>
        <w:t>兴国县乡村振兴局2022年部门预算表</w:t>
      </w:r>
    </w:p>
    <w:p w14:paraId="650CA674">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一、《收支预算总表》</w:t>
      </w:r>
    </w:p>
    <w:p w14:paraId="4670ED89">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二、《部门收入总表》</w:t>
      </w:r>
    </w:p>
    <w:p w14:paraId="6674CA7D">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三、《部门支出总表》</w:t>
      </w:r>
    </w:p>
    <w:p w14:paraId="16A1C6D0">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四、《财政拨款收支总表》</w:t>
      </w:r>
    </w:p>
    <w:p w14:paraId="3F851BFD">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五、《一般公共预算支出表》</w:t>
      </w:r>
    </w:p>
    <w:p w14:paraId="595380CF">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六、《一般公共预算基本支出表》</w:t>
      </w:r>
    </w:p>
    <w:p w14:paraId="072D905A">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七、《一般公共预算“三公”经费支出表》</w:t>
      </w:r>
    </w:p>
    <w:p w14:paraId="71C0ECF1">
      <w:pPr>
        <w:widowControl/>
        <w:spacing w:before="225" w:after="225" w:line="560" w:lineRule="atLeast"/>
        <w:ind w:left="634" w:hanging="38"/>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八、《政府性基金预算支出表》</w:t>
      </w:r>
    </w:p>
    <w:p w14:paraId="58492677">
      <w:pPr>
        <w:widowControl/>
        <w:spacing w:before="225" w:after="225" w:line="560" w:lineRule="atLeast"/>
        <w:ind w:left="634" w:hanging="38"/>
        <w:jc w:val="left"/>
        <w:rPr>
          <w:rFonts w:hint="default" w:ascii="仿宋" w:hAnsi="仿宋" w:eastAsia="仿宋" w:cs="宋体"/>
          <w:color w:val="333333"/>
          <w:kern w:val="0"/>
          <w:sz w:val="32"/>
          <w:szCs w:val="32"/>
          <w:lang w:val="en-US" w:eastAsia="zh-CN"/>
        </w:rPr>
      </w:pPr>
      <w:r>
        <w:rPr>
          <w:rFonts w:hint="eastAsia" w:ascii="仿宋" w:hAnsi="仿宋" w:eastAsia="仿宋" w:cs="宋体"/>
          <w:color w:val="333333"/>
          <w:kern w:val="0"/>
          <w:sz w:val="32"/>
          <w:szCs w:val="32"/>
          <w:lang w:val="en-US" w:eastAsia="zh-CN"/>
        </w:rPr>
        <w:t>九、《国有资本经营预算支出表》</w:t>
      </w:r>
    </w:p>
    <w:p w14:paraId="57FF800C">
      <w:pPr>
        <w:widowControl/>
        <w:spacing w:before="225" w:after="225" w:line="560" w:lineRule="atLeast"/>
        <w:ind w:left="634" w:hanging="38"/>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lang w:val="en-US" w:eastAsia="zh-CN"/>
        </w:rPr>
        <w:t>十</w:t>
      </w:r>
      <w:r>
        <w:rPr>
          <w:rFonts w:hint="eastAsia" w:ascii="仿宋" w:hAnsi="仿宋" w:eastAsia="仿宋" w:cs="宋体"/>
          <w:color w:val="333333"/>
          <w:kern w:val="0"/>
          <w:sz w:val="32"/>
          <w:szCs w:val="32"/>
        </w:rPr>
        <w:t>、《部门整体支出绩效目标表》</w:t>
      </w:r>
    </w:p>
    <w:p w14:paraId="0189CE20">
      <w:pPr>
        <w:widowControl/>
        <w:spacing w:before="225" w:after="225" w:line="560" w:lineRule="atLeast"/>
        <w:ind w:left="10" w:firstLine="62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lang w:val="en-US" w:eastAsia="zh-CN"/>
        </w:rPr>
        <w:t>十一</w:t>
      </w:r>
      <w:r>
        <w:rPr>
          <w:rFonts w:hint="eastAsia" w:ascii="仿宋" w:hAnsi="仿宋" w:eastAsia="仿宋" w:cs="宋体"/>
          <w:color w:val="333333"/>
          <w:kern w:val="0"/>
          <w:sz w:val="32"/>
          <w:szCs w:val="32"/>
        </w:rPr>
        <w:t>、《项目支出绩效目标表》</w:t>
      </w:r>
    </w:p>
    <w:p w14:paraId="3645A244">
      <w:pPr>
        <w:widowControl/>
        <w:spacing w:before="225" w:after="225" w:line="560" w:lineRule="atLeast"/>
        <w:ind w:left="10" w:firstLine="620"/>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第四部分</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名词解释</w:t>
      </w:r>
    </w:p>
    <w:p w14:paraId="50E37E08">
      <w:pPr>
        <w:widowControl/>
        <w:spacing w:before="225" w:after="225" w:line="560" w:lineRule="atLeast"/>
        <w:jc w:val="center"/>
        <w:rPr>
          <w:rFonts w:ascii="宋体" w:hAnsi="宋体" w:eastAsia="宋体" w:cs="宋体"/>
          <w:color w:val="333333"/>
          <w:kern w:val="0"/>
          <w:sz w:val="24"/>
          <w:szCs w:val="24"/>
        </w:rPr>
      </w:pPr>
      <w:r>
        <w:rPr>
          <w:rFonts w:hint="eastAsia" w:ascii="MS Mincho" w:hAnsi="MS Mincho" w:eastAsia="MS Mincho" w:cs="MS Mincho"/>
          <w:b/>
          <w:bCs/>
          <w:color w:val="333333"/>
          <w:kern w:val="0"/>
          <w:sz w:val="32"/>
          <w:szCs w:val="32"/>
        </w:rPr>
        <w:t> </w:t>
      </w:r>
    </w:p>
    <w:p w14:paraId="2B7A0391">
      <w:pPr>
        <w:widowControl/>
        <w:spacing w:before="225" w:after="225" w:line="560" w:lineRule="atLeast"/>
        <w:jc w:val="center"/>
        <w:rPr>
          <w:rFonts w:ascii="宋体" w:hAnsi="宋体" w:eastAsia="宋体" w:cs="宋体"/>
          <w:color w:val="333333"/>
          <w:kern w:val="0"/>
          <w:sz w:val="24"/>
          <w:szCs w:val="24"/>
        </w:rPr>
      </w:pPr>
      <w:r>
        <w:rPr>
          <w:rFonts w:hint="eastAsia" w:ascii="黑体" w:hAnsi="黑体" w:eastAsia="黑体" w:cs="宋体"/>
          <w:color w:val="333333"/>
          <w:kern w:val="0"/>
          <w:sz w:val="32"/>
          <w:szCs w:val="32"/>
        </w:rPr>
        <w:t>第一部分</w:t>
      </w:r>
      <w:r>
        <w:rPr>
          <w:rFonts w:hint="eastAsia" w:ascii="MS Mincho" w:hAnsi="MS Mincho" w:eastAsia="MS Mincho" w:cs="MS Mincho"/>
          <w:color w:val="333333"/>
          <w:kern w:val="0"/>
          <w:sz w:val="32"/>
          <w:szCs w:val="32"/>
        </w:rPr>
        <w:t> </w:t>
      </w:r>
      <w:r>
        <w:rPr>
          <w:rFonts w:hint="eastAsia" w:ascii="黑体" w:hAnsi="黑体" w:eastAsia="黑体" w:cs="宋体"/>
          <w:color w:val="333333"/>
          <w:kern w:val="0"/>
          <w:sz w:val="32"/>
          <w:szCs w:val="32"/>
        </w:rPr>
        <w:t>兴国县乡村振兴局概况</w:t>
      </w:r>
    </w:p>
    <w:p w14:paraId="0CA013D2">
      <w:pPr>
        <w:widowControl/>
        <w:spacing w:before="225" w:after="225" w:line="560" w:lineRule="atLeast"/>
        <w:jc w:val="center"/>
        <w:rPr>
          <w:rFonts w:ascii="宋体" w:hAnsi="宋体" w:eastAsia="宋体" w:cs="宋体"/>
          <w:color w:val="333333"/>
          <w:kern w:val="0"/>
          <w:sz w:val="24"/>
          <w:szCs w:val="24"/>
        </w:rPr>
      </w:pPr>
      <w:r>
        <w:rPr>
          <w:rFonts w:hint="eastAsia" w:ascii="MS Mincho" w:hAnsi="MS Mincho" w:eastAsia="MS Mincho" w:cs="MS Mincho"/>
          <w:b/>
          <w:bCs/>
          <w:color w:val="333333"/>
          <w:kern w:val="0"/>
          <w:sz w:val="32"/>
          <w:szCs w:val="32"/>
        </w:rPr>
        <w:t> </w:t>
      </w:r>
    </w:p>
    <w:p w14:paraId="27F428DA">
      <w:pPr>
        <w:widowControl/>
        <w:spacing w:before="225" w:after="225" w:line="560" w:lineRule="atLeast"/>
        <w:ind w:left="10" w:firstLine="643"/>
        <w:jc w:val="left"/>
        <w:rPr>
          <w:rFonts w:ascii="宋体" w:hAnsi="宋体" w:eastAsia="宋体" w:cs="宋体"/>
          <w:color w:val="333333"/>
          <w:kern w:val="0"/>
          <w:sz w:val="24"/>
          <w:szCs w:val="24"/>
        </w:rPr>
      </w:pPr>
      <w:r>
        <w:rPr>
          <w:rFonts w:hint="eastAsia" w:ascii="楷体" w:hAnsi="楷体" w:eastAsia="楷体" w:cs="宋体"/>
          <w:b/>
          <w:bCs/>
          <w:color w:val="333333"/>
          <w:kern w:val="0"/>
          <w:sz w:val="32"/>
          <w:szCs w:val="32"/>
        </w:rPr>
        <w:t>一、部门主要职责</w:t>
      </w:r>
    </w:p>
    <w:p w14:paraId="541C0D01">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兴国县乡村振兴局是主管全县乡村振兴工作的县政府组成部门（直属机构），是贯彻执行党和国家及省、市乡村振兴工作的方针、政策的职能部门。我局负责全县乡村振兴整村推进、老区建设、易地搬迁、社会帮扶、雨露计划等</w:t>
      </w:r>
      <w:r>
        <w:rPr>
          <w:rFonts w:hint="eastAsia" w:ascii="仿宋_GB2312" w:hAnsi="宋体" w:eastAsia="仿宋_GB2312" w:cs="宋体"/>
          <w:color w:val="333333"/>
          <w:kern w:val="0"/>
          <w:sz w:val="32"/>
          <w:szCs w:val="32"/>
          <w:lang w:eastAsia="zh-CN"/>
        </w:rPr>
        <w:t>巩固拓展脱贫攻坚成果同乡村振兴有效衔接</w:t>
      </w:r>
      <w:r>
        <w:rPr>
          <w:rFonts w:hint="eastAsia" w:ascii="仿宋_GB2312" w:hAnsi="宋体" w:eastAsia="仿宋_GB2312" w:cs="宋体"/>
          <w:color w:val="333333"/>
          <w:kern w:val="0"/>
          <w:sz w:val="32"/>
          <w:szCs w:val="32"/>
        </w:rPr>
        <w:t>工作。</w:t>
      </w:r>
    </w:p>
    <w:p w14:paraId="197888C5">
      <w:pPr>
        <w:widowControl/>
        <w:spacing w:before="225" w:after="225" w:line="560" w:lineRule="atLeast"/>
        <w:ind w:left="10" w:firstLine="643"/>
        <w:jc w:val="left"/>
        <w:rPr>
          <w:rFonts w:ascii="宋体" w:hAnsi="宋体" w:eastAsia="宋体" w:cs="宋体"/>
          <w:color w:val="333333"/>
          <w:kern w:val="0"/>
          <w:sz w:val="24"/>
          <w:szCs w:val="24"/>
        </w:rPr>
      </w:pPr>
      <w:r>
        <w:rPr>
          <w:rFonts w:hint="eastAsia" w:ascii="楷体" w:hAnsi="楷体" w:eastAsia="楷体" w:cs="宋体"/>
          <w:b/>
          <w:bCs/>
          <w:color w:val="333333"/>
          <w:kern w:val="0"/>
          <w:sz w:val="32"/>
          <w:szCs w:val="32"/>
        </w:rPr>
        <w:t>二、部门或单位基本情况</w:t>
      </w:r>
    </w:p>
    <w:p w14:paraId="1C8C1732">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兴国县乡村振兴局现有干部职工共31人，其中：在编在岗27人，在职行政编6人，事业编制21人(含参公编制7人)。享受遗属补助退休人员2人。</w:t>
      </w:r>
    </w:p>
    <w:p w14:paraId="43AA6DF1">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内设4个股室：办公室，计财股，社会和搬迁扶贫股，社会和产业发展股。乡村振兴局除上级所拨专项资金外，经费来源全部是财政拨款。</w:t>
      </w:r>
    </w:p>
    <w:p w14:paraId="5791D0F9">
      <w:pPr>
        <w:widowControl/>
        <w:spacing w:before="225" w:after="225" w:line="480" w:lineRule="auto"/>
        <w:jc w:val="left"/>
        <w:rPr>
          <w:rFonts w:ascii="微软雅黑" w:hAnsi="微软雅黑" w:eastAsia="微软雅黑" w:cs="宋体"/>
          <w:color w:val="333333"/>
          <w:kern w:val="0"/>
          <w:sz w:val="27"/>
          <w:szCs w:val="27"/>
        </w:rPr>
      </w:pPr>
      <w:r>
        <w:rPr>
          <w:rFonts w:hint="eastAsia" w:ascii="MS Mincho" w:hAnsi="MS Mincho" w:eastAsia="MS Mincho" w:cs="MS Mincho"/>
          <w:color w:val="333333"/>
          <w:kern w:val="0"/>
          <w:sz w:val="32"/>
          <w:szCs w:val="32"/>
        </w:rPr>
        <w:t> </w:t>
      </w:r>
    </w:p>
    <w:p w14:paraId="5B4469F0">
      <w:pPr>
        <w:widowControl/>
        <w:spacing w:before="225" w:after="225" w:line="560" w:lineRule="atLeast"/>
        <w:jc w:val="center"/>
        <w:rPr>
          <w:rFonts w:hint="eastAsia" w:ascii="宋体" w:hAnsi="宋体" w:eastAsia="宋体" w:cs="宋体"/>
          <w:color w:val="333333"/>
          <w:kern w:val="0"/>
          <w:sz w:val="24"/>
          <w:szCs w:val="24"/>
        </w:rPr>
      </w:pPr>
      <w:r>
        <w:rPr>
          <w:rFonts w:hint="eastAsia" w:ascii="黑体" w:hAnsi="黑体" w:eastAsia="黑体" w:cs="宋体"/>
          <w:color w:val="333333"/>
          <w:kern w:val="0"/>
          <w:sz w:val="32"/>
          <w:szCs w:val="32"/>
        </w:rPr>
        <w:t>第二部分</w:t>
      </w:r>
      <w:r>
        <w:rPr>
          <w:rFonts w:hint="eastAsia" w:ascii="宋体" w:hAnsi="宋体" w:eastAsia="宋体" w:cs="宋体"/>
          <w:color w:val="333333"/>
          <w:kern w:val="0"/>
          <w:sz w:val="32"/>
          <w:szCs w:val="32"/>
        </w:rPr>
        <w:t> </w:t>
      </w:r>
      <w:r>
        <w:rPr>
          <w:rFonts w:hint="eastAsia" w:ascii="黑体" w:hAnsi="黑体" w:eastAsia="黑体" w:cs="宋体"/>
          <w:color w:val="333333"/>
          <w:kern w:val="0"/>
          <w:sz w:val="32"/>
          <w:szCs w:val="32"/>
        </w:rPr>
        <w:t>兴国县乡村振兴局2022年部门预算情况说明</w:t>
      </w:r>
    </w:p>
    <w:p w14:paraId="5CACC7A2">
      <w:pPr>
        <w:widowControl/>
        <w:spacing w:before="225" w:after="225" w:line="480" w:lineRule="auto"/>
        <w:jc w:val="left"/>
        <w:rPr>
          <w:rFonts w:ascii="微软雅黑" w:hAnsi="微软雅黑" w:eastAsia="微软雅黑" w:cs="宋体"/>
          <w:color w:val="333333"/>
          <w:kern w:val="0"/>
          <w:sz w:val="27"/>
          <w:szCs w:val="27"/>
        </w:rPr>
      </w:pPr>
      <w:r>
        <w:rPr>
          <w:rFonts w:hint="eastAsia" w:ascii="MS Mincho" w:hAnsi="MS Mincho" w:eastAsia="MS Mincho" w:cs="MS Mincho"/>
          <w:color w:val="333333"/>
          <w:kern w:val="0"/>
          <w:sz w:val="32"/>
          <w:szCs w:val="32"/>
        </w:rPr>
        <w:t> </w:t>
      </w:r>
    </w:p>
    <w:p w14:paraId="2775E753">
      <w:pPr>
        <w:widowControl/>
        <w:spacing w:before="225" w:after="225" w:line="560" w:lineRule="atLeast"/>
        <w:ind w:left="10" w:firstLine="643"/>
        <w:jc w:val="left"/>
        <w:rPr>
          <w:rFonts w:hint="eastAsia" w:ascii="宋体" w:hAnsi="宋体" w:eastAsia="宋体" w:cs="宋体"/>
          <w:color w:val="333333"/>
          <w:kern w:val="0"/>
          <w:sz w:val="24"/>
          <w:szCs w:val="24"/>
        </w:rPr>
      </w:pPr>
      <w:r>
        <w:rPr>
          <w:rFonts w:hint="eastAsia" w:ascii="楷体" w:hAnsi="楷体" w:eastAsia="楷体" w:cs="宋体"/>
          <w:b/>
          <w:bCs/>
          <w:color w:val="333333"/>
          <w:kern w:val="0"/>
          <w:sz w:val="32"/>
          <w:szCs w:val="32"/>
        </w:rPr>
        <w:t>一、2022年部门预算收支情况说明</w:t>
      </w:r>
    </w:p>
    <w:p w14:paraId="58C0EFF4">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（一）收入预算情况</w:t>
      </w:r>
    </w:p>
    <w:p w14:paraId="5296534E">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2022年乡村振兴局收入预算总额为8218.23万元，其中：财政拨款收入4122.11万元，占收入预算总额的50.2%。上级补助收入10万元，占收入预算总额的0.12，其他收入3656.95万元，占收入预算总额的44.5%，上年结转收入429.17万元，占收入预算总额的5.2%。财政拨款收入较上年度增加270.28万元，增长7%。</w:t>
      </w:r>
    </w:p>
    <w:p w14:paraId="56F573DA">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（二）支出预算情况</w:t>
      </w:r>
    </w:p>
    <w:p w14:paraId="7DF1B8DF">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2022年乡村振兴局支出预算总额为8218.23万元，较上年支出预算总额3851.83万元增加资金4366.4万元，增长113%。主要原因是根据中央省市相关文件精神和落实上级决策部署，</w:t>
      </w:r>
      <w:r>
        <w:rPr>
          <w:rFonts w:hint="eastAsia" w:ascii="仿宋_GB2312" w:hAnsi="宋体" w:eastAsia="仿宋_GB2312" w:cs="宋体"/>
          <w:color w:val="333333"/>
          <w:kern w:val="0"/>
          <w:sz w:val="32"/>
          <w:szCs w:val="32"/>
          <w:lang w:eastAsia="zh-CN"/>
        </w:rPr>
        <w:t>巩固拓展脱贫攻坚成果同乡村振兴有效衔接</w:t>
      </w:r>
      <w:r>
        <w:rPr>
          <w:rFonts w:hint="eastAsia" w:ascii="仿宋_GB2312" w:hAnsi="宋体" w:eastAsia="仿宋_GB2312" w:cs="宋体"/>
          <w:color w:val="333333"/>
          <w:kern w:val="0"/>
          <w:sz w:val="32"/>
          <w:szCs w:val="32"/>
        </w:rPr>
        <w:t>工作要求，专项安排衔接资金3400万元用于农村基础设施建设，雨露计划、光伏补助等其他</w:t>
      </w:r>
      <w:r>
        <w:rPr>
          <w:rFonts w:hint="eastAsia" w:ascii="仿宋_GB2312" w:hAnsi="宋体" w:eastAsia="仿宋_GB2312" w:cs="宋体"/>
          <w:color w:val="333333"/>
          <w:kern w:val="0"/>
          <w:sz w:val="32"/>
          <w:szCs w:val="32"/>
          <w:lang w:eastAsia="zh-CN"/>
        </w:rPr>
        <w:t>巩固拓展脱贫攻坚成果同乡村振兴有效衔接</w:t>
      </w:r>
      <w:r>
        <w:rPr>
          <w:rFonts w:hint="eastAsia" w:ascii="仿宋_GB2312" w:hAnsi="宋体" w:eastAsia="仿宋_GB2312" w:cs="宋体"/>
          <w:color w:val="333333"/>
          <w:kern w:val="0"/>
          <w:sz w:val="32"/>
          <w:szCs w:val="32"/>
        </w:rPr>
        <w:t>支出3656.95万元。其中：</w:t>
      </w:r>
    </w:p>
    <w:p w14:paraId="4587C908">
      <w:pPr>
        <w:widowControl/>
        <w:spacing w:before="225" w:after="225" w:line="560" w:lineRule="atLeast"/>
        <w:ind w:firstLine="643"/>
        <w:jc w:val="left"/>
        <w:rPr>
          <w:rFonts w:ascii="宋体" w:hAnsi="宋体" w:eastAsia="宋体" w:cs="宋体"/>
          <w:color w:val="333333"/>
          <w:kern w:val="0"/>
          <w:sz w:val="24"/>
          <w:szCs w:val="24"/>
        </w:rPr>
      </w:pPr>
      <w:r>
        <w:rPr>
          <w:rFonts w:hint="eastAsia" w:ascii="仿宋_GB2312" w:hAnsi="宋体" w:eastAsia="仿宋_GB2312" w:cs="宋体"/>
          <w:b/>
          <w:bCs/>
          <w:color w:val="333333"/>
          <w:kern w:val="0"/>
          <w:sz w:val="32"/>
          <w:szCs w:val="32"/>
        </w:rPr>
        <w:t>按支出资金性质分类：</w:t>
      </w:r>
      <w:r>
        <w:rPr>
          <w:rFonts w:hint="eastAsia" w:ascii="仿宋_GB2312" w:hAnsi="宋体" w:eastAsia="仿宋_GB2312" w:cs="宋体"/>
          <w:color w:val="333333"/>
          <w:kern w:val="0"/>
          <w:sz w:val="32"/>
          <w:szCs w:val="32"/>
        </w:rPr>
        <w:t>财政拨款支出</w:t>
      </w:r>
      <w:r>
        <w:rPr>
          <w:rFonts w:hint="eastAsia" w:ascii="宋体" w:hAnsi="宋体" w:eastAsia="宋体" w:cs="宋体"/>
          <w:color w:val="333333"/>
          <w:kern w:val="0"/>
          <w:sz w:val="32"/>
          <w:szCs w:val="32"/>
        </w:rPr>
        <w:t>4122.11</w:t>
      </w:r>
      <w:r>
        <w:rPr>
          <w:rFonts w:hint="eastAsia" w:ascii="仿宋_GB2312" w:hAnsi="宋体" w:eastAsia="仿宋_GB2312" w:cs="宋体"/>
          <w:color w:val="333333"/>
          <w:kern w:val="0"/>
          <w:sz w:val="32"/>
          <w:szCs w:val="32"/>
        </w:rPr>
        <w:t>万元。其中：一般公共预算支出4122.11万元，占支出预算总额的50.2%。上级补助支出10万元，占支出预算总额的0.1%。其他支出3656.95万元，占支出预算总额的44.5%。上年结转支出429.17万元，占支出预算总额的5.2%。</w:t>
      </w:r>
    </w:p>
    <w:p w14:paraId="4FC05EBF">
      <w:pPr>
        <w:widowControl/>
        <w:spacing w:before="225" w:after="225" w:line="560" w:lineRule="atLeast"/>
        <w:ind w:firstLine="643"/>
        <w:jc w:val="left"/>
        <w:rPr>
          <w:rFonts w:ascii="宋体" w:hAnsi="宋体" w:eastAsia="宋体" w:cs="宋体"/>
          <w:color w:val="333333"/>
          <w:kern w:val="0"/>
          <w:sz w:val="24"/>
          <w:szCs w:val="24"/>
        </w:rPr>
      </w:pPr>
      <w:r>
        <w:rPr>
          <w:rFonts w:hint="eastAsia" w:ascii="仿宋_GB2312" w:hAnsi="宋体" w:eastAsia="仿宋_GB2312" w:cs="宋体"/>
          <w:b/>
          <w:bCs/>
          <w:color w:val="333333"/>
          <w:kern w:val="0"/>
          <w:sz w:val="32"/>
          <w:szCs w:val="32"/>
        </w:rPr>
        <w:t>按支出功能分类：</w:t>
      </w:r>
      <w:r>
        <w:rPr>
          <w:rFonts w:hint="eastAsia" w:ascii="仿宋_GB2312" w:hAnsi="宋体" w:eastAsia="仿宋_GB2312" w:cs="宋体"/>
          <w:color w:val="333333"/>
          <w:kern w:val="0"/>
          <w:sz w:val="32"/>
          <w:szCs w:val="32"/>
        </w:rPr>
        <w:t>社会保障和就业支出79.56万元，占支出预算总额的0.96%；卫生健康支出34.64万元，占支出预算总额的0.41%；农林水支出4414.51万元，占支出预算总额的53.7%；住房保障支出32.57万元，占支出预算总额的0.4%；其他支出3656.95万元，占支出预算总额的44.5%。</w:t>
      </w:r>
    </w:p>
    <w:p w14:paraId="607C98D5">
      <w:pPr>
        <w:widowControl/>
        <w:spacing w:before="225" w:after="225" w:line="560" w:lineRule="atLeast"/>
        <w:ind w:firstLine="643"/>
        <w:jc w:val="left"/>
        <w:rPr>
          <w:rFonts w:ascii="宋体" w:hAnsi="宋体" w:eastAsia="宋体" w:cs="宋体"/>
          <w:color w:val="333333"/>
          <w:kern w:val="0"/>
          <w:sz w:val="24"/>
          <w:szCs w:val="24"/>
        </w:rPr>
      </w:pPr>
      <w:r>
        <w:rPr>
          <w:rFonts w:hint="eastAsia" w:ascii="仿宋_GB2312" w:hAnsi="宋体" w:eastAsia="仿宋_GB2312" w:cs="宋体"/>
          <w:b/>
          <w:bCs/>
          <w:color w:val="333333"/>
          <w:kern w:val="0"/>
          <w:sz w:val="32"/>
          <w:szCs w:val="32"/>
        </w:rPr>
        <w:t>按支出经济分类：</w:t>
      </w:r>
      <w:r>
        <w:rPr>
          <w:rFonts w:hint="eastAsia" w:ascii="仿宋_GB2312" w:hAnsi="宋体" w:eastAsia="仿宋_GB2312" w:cs="宋体"/>
          <w:color w:val="333333"/>
          <w:kern w:val="0"/>
          <w:sz w:val="32"/>
          <w:szCs w:val="32"/>
        </w:rPr>
        <w:t>一般公共基本支出</w:t>
      </w:r>
      <w:r>
        <w:rPr>
          <w:rFonts w:hint="eastAsia" w:ascii="宋体" w:hAnsi="宋体" w:eastAsia="宋体" w:cs="宋体"/>
          <w:color w:val="333333"/>
          <w:kern w:val="0"/>
          <w:sz w:val="32"/>
          <w:szCs w:val="32"/>
        </w:rPr>
        <w:t>315.11</w:t>
      </w:r>
      <w:r>
        <w:rPr>
          <w:rFonts w:hint="eastAsia" w:ascii="仿宋_GB2312" w:hAnsi="宋体" w:eastAsia="仿宋_GB2312" w:cs="宋体"/>
          <w:color w:val="333333"/>
          <w:kern w:val="0"/>
          <w:sz w:val="32"/>
          <w:szCs w:val="32"/>
        </w:rPr>
        <w:t>万元。其中：工资福利支出289.18万元，占支出预算总额的3.52%；商品和服务支出24.2万元，占支出预算总额的0.29%；对个人和家庭的补助支出1.73万元占支出预算总额的0.02%。</w:t>
      </w:r>
    </w:p>
    <w:p w14:paraId="440681FD">
      <w:pPr>
        <w:widowControl/>
        <w:spacing w:before="225" w:after="225" w:line="560" w:lineRule="atLeast"/>
        <w:ind w:firstLine="643"/>
        <w:jc w:val="left"/>
        <w:rPr>
          <w:rFonts w:ascii="宋体" w:hAnsi="宋体" w:eastAsia="宋体" w:cs="宋体"/>
          <w:color w:val="333333"/>
          <w:kern w:val="0"/>
          <w:sz w:val="24"/>
          <w:szCs w:val="24"/>
        </w:rPr>
      </w:pPr>
      <w:r>
        <w:rPr>
          <w:rFonts w:hint="eastAsia" w:ascii="楷体_GB2312" w:hAnsi="宋体" w:eastAsia="楷体_GB2312" w:cs="宋体"/>
          <w:b/>
          <w:bCs/>
          <w:color w:val="333333"/>
          <w:kern w:val="0"/>
          <w:sz w:val="32"/>
          <w:szCs w:val="32"/>
        </w:rPr>
        <w:t>（三）财政拨款支出情况</w:t>
      </w:r>
    </w:p>
    <w:p w14:paraId="228A3B82">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000000"/>
          <w:kern w:val="0"/>
          <w:sz w:val="32"/>
          <w:szCs w:val="32"/>
        </w:rPr>
        <w:t>2022年乡村振兴局财政拨款（补助）支出预算4122.11万元，占支出预算总额的50%，具体为：社会保障和就业支出29.17万元，占支出预算总额的0.7%；卫生健康支出33.56万元，占支出预算总额的0.81%；住房保障支出32.57万元，占支出预算总额的0.79%；农林水支出4026.81万元。占支出预算97.6%。</w:t>
      </w:r>
    </w:p>
    <w:p w14:paraId="675E6CB9">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财政拨款支出预算上年度3851.83万元，2022年预算4122.11万元，增加270.28万元，增加率为7%。主要原因是根据中央省市相关文件精神和落实上级决策部署，</w:t>
      </w:r>
      <w:r>
        <w:rPr>
          <w:rFonts w:hint="eastAsia" w:ascii="仿宋_GB2312" w:hAnsi="宋体" w:eastAsia="仿宋_GB2312" w:cs="宋体"/>
          <w:color w:val="333333"/>
          <w:kern w:val="0"/>
          <w:sz w:val="32"/>
          <w:szCs w:val="32"/>
          <w:lang w:eastAsia="zh-CN"/>
        </w:rPr>
        <w:t>巩固拓展脱贫攻坚成果同乡村振兴有效衔接</w:t>
      </w:r>
      <w:r>
        <w:rPr>
          <w:rFonts w:hint="eastAsia" w:ascii="仿宋_GB2312" w:hAnsi="宋体" w:eastAsia="仿宋_GB2312" w:cs="宋体"/>
          <w:color w:val="333333"/>
          <w:kern w:val="0"/>
          <w:sz w:val="32"/>
          <w:szCs w:val="32"/>
        </w:rPr>
        <w:t>工作要求，落实常态调研督导，工作增量，编印各类资料和常态化迎接省市检查督导，县有效衔接办增加部分工作经费，现阶段乡村建设部分基础设施老旧和不到位，县级配套基础建设经费增加部分经费。</w:t>
      </w:r>
    </w:p>
    <w:p w14:paraId="2834F8F2">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（四）政府性基金情况</w:t>
      </w:r>
    </w:p>
    <w:p w14:paraId="1744898B">
      <w:pPr>
        <w:widowControl/>
        <w:spacing w:before="225" w:after="225" w:line="560" w:lineRule="atLeast"/>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无政府性基金预算拨款安排的支出。</w:t>
      </w:r>
    </w:p>
    <w:p w14:paraId="0C077DEB">
      <w:pPr>
        <w:widowControl/>
        <w:spacing w:before="225" w:after="225" w:line="560" w:lineRule="atLeast"/>
        <w:ind w:firstLine="643"/>
        <w:jc w:val="left"/>
        <w:rPr>
          <w:rFonts w:hint="eastAsia" w:ascii="仿宋" w:hAnsi="仿宋" w:eastAsia="仿宋" w:cs="宋体"/>
          <w:b/>
          <w:bCs/>
          <w:color w:val="333333"/>
          <w:kern w:val="0"/>
          <w:sz w:val="32"/>
          <w:szCs w:val="32"/>
          <w:lang w:val="en-US" w:eastAsia="zh-CN"/>
        </w:rPr>
      </w:pPr>
      <w:r>
        <w:rPr>
          <w:rFonts w:hint="eastAsia" w:ascii="仿宋" w:hAnsi="仿宋" w:eastAsia="仿宋" w:cs="宋体"/>
          <w:b/>
          <w:bCs/>
          <w:color w:val="333333"/>
          <w:kern w:val="0"/>
          <w:sz w:val="32"/>
          <w:szCs w:val="32"/>
          <w:lang w:val="en-US" w:eastAsia="zh-CN"/>
        </w:rPr>
        <w:t>（五）国有资本经营情况</w:t>
      </w:r>
    </w:p>
    <w:p w14:paraId="6CE50208">
      <w:pPr>
        <w:widowControl/>
        <w:numPr>
          <w:ilvl w:val="0"/>
          <w:numId w:val="0"/>
        </w:numPr>
        <w:spacing w:before="225" w:after="225" w:line="560" w:lineRule="atLeast"/>
        <w:jc w:val="left"/>
        <w:rPr>
          <w:rFonts w:hint="default" w:ascii="仿宋" w:hAnsi="仿宋" w:eastAsia="仿宋" w:cs="宋体"/>
          <w:color w:val="333333"/>
          <w:kern w:val="0"/>
          <w:sz w:val="32"/>
          <w:szCs w:val="32"/>
          <w:lang w:val="en-US" w:eastAsia="zh-CN"/>
        </w:rPr>
      </w:pPr>
      <w:r>
        <w:rPr>
          <w:rFonts w:hint="eastAsia" w:ascii="仿宋" w:hAnsi="仿宋" w:eastAsia="仿宋" w:cs="宋体"/>
          <w:color w:val="333333"/>
          <w:kern w:val="0"/>
          <w:sz w:val="32"/>
          <w:szCs w:val="32"/>
          <w:lang w:val="en-US" w:eastAsia="zh-CN"/>
        </w:rPr>
        <w:t xml:space="preserve">    </w:t>
      </w:r>
      <w:r>
        <w:rPr>
          <w:rFonts w:hint="eastAsia" w:ascii="仿宋" w:hAnsi="仿宋" w:eastAsia="仿宋" w:cs="宋体"/>
          <w:color w:val="333333"/>
          <w:kern w:val="0"/>
          <w:sz w:val="32"/>
          <w:szCs w:val="32"/>
        </w:rPr>
        <w:t>无</w:t>
      </w:r>
      <w:r>
        <w:rPr>
          <w:rFonts w:hint="eastAsia" w:ascii="仿宋" w:hAnsi="仿宋" w:eastAsia="仿宋" w:cs="宋体"/>
          <w:color w:val="333333"/>
          <w:kern w:val="0"/>
          <w:sz w:val="32"/>
          <w:szCs w:val="32"/>
          <w:lang w:val="en-US" w:eastAsia="zh-CN"/>
        </w:rPr>
        <w:t>国有资本</w:t>
      </w:r>
      <w:r>
        <w:rPr>
          <w:rFonts w:hint="eastAsia" w:ascii="仿宋" w:hAnsi="仿宋" w:eastAsia="仿宋" w:cs="宋体"/>
          <w:color w:val="333333"/>
          <w:kern w:val="0"/>
          <w:sz w:val="32"/>
          <w:szCs w:val="32"/>
        </w:rPr>
        <w:t>预算拨款安排的支出。</w:t>
      </w:r>
    </w:p>
    <w:p w14:paraId="25F994B5">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w:t>
      </w:r>
      <w:r>
        <w:rPr>
          <w:rFonts w:hint="eastAsia" w:ascii="仿宋" w:hAnsi="仿宋" w:eastAsia="仿宋" w:cs="宋体"/>
          <w:b/>
          <w:bCs/>
          <w:color w:val="333333"/>
          <w:kern w:val="0"/>
          <w:sz w:val="32"/>
          <w:szCs w:val="32"/>
          <w:lang w:val="en-US" w:eastAsia="zh-CN"/>
        </w:rPr>
        <w:t>六</w:t>
      </w:r>
      <w:r>
        <w:rPr>
          <w:rFonts w:hint="eastAsia" w:ascii="仿宋" w:hAnsi="仿宋" w:eastAsia="仿宋" w:cs="宋体"/>
          <w:b/>
          <w:bCs/>
          <w:color w:val="333333"/>
          <w:kern w:val="0"/>
          <w:sz w:val="32"/>
          <w:szCs w:val="32"/>
        </w:rPr>
        <w:t>）机关运行经费等重要事项的说明</w:t>
      </w:r>
    </w:p>
    <w:p w14:paraId="50DB6B1A">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2022年部门机关运行费预算</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u w:val="single"/>
          <w:lang w:val="en-US" w:eastAsia="zh-CN"/>
        </w:rPr>
        <w:t>24.2</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rPr>
        <w:t>万元，比2021年预算减少</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u w:val="single"/>
          <w:lang w:val="en-US" w:eastAsia="zh-CN"/>
        </w:rPr>
        <w:t>418.97</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rPr>
        <w:t>万元，下降</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u w:val="single"/>
          <w:lang w:val="en-US" w:eastAsia="zh-CN"/>
        </w:rPr>
        <w:t>94.54</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rPr>
        <w:t>％。主要原因是原水库移民编制和人员划入水利局，减少了4人，降低了部分支出。</w:t>
      </w:r>
    </w:p>
    <w:p w14:paraId="6E4E32AC">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w:t>
      </w:r>
      <w:r>
        <w:rPr>
          <w:rFonts w:hint="eastAsia" w:ascii="仿宋" w:hAnsi="仿宋" w:eastAsia="仿宋" w:cs="宋体"/>
          <w:b/>
          <w:bCs/>
          <w:color w:val="333333"/>
          <w:kern w:val="0"/>
          <w:sz w:val="32"/>
          <w:szCs w:val="32"/>
          <w:lang w:val="en-US" w:eastAsia="zh-CN"/>
        </w:rPr>
        <w:t>七</w:t>
      </w:r>
      <w:r>
        <w:rPr>
          <w:rFonts w:hint="eastAsia" w:ascii="仿宋" w:hAnsi="仿宋" w:eastAsia="仿宋" w:cs="宋体"/>
          <w:b/>
          <w:bCs/>
          <w:color w:val="333333"/>
          <w:kern w:val="0"/>
          <w:sz w:val="32"/>
          <w:szCs w:val="32"/>
        </w:rPr>
        <w:t>）政府采购情况</w:t>
      </w:r>
    </w:p>
    <w:p w14:paraId="11E5E0BB">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2022年部门所属各单位政府采购总额</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u w:val="single"/>
        </w:rPr>
        <w:t>4.5</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rPr>
        <w:t>万元，其中：政府采购货物预算</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u w:val="single"/>
        </w:rPr>
        <w:t>4.5</w:t>
      </w:r>
      <w:r>
        <w:rPr>
          <w:rFonts w:hint="eastAsia" w:ascii="MS Mincho" w:hAnsi="MS Mincho" w:eastAsia="MS Mincho" w:cs="MS Mincho"/>
          <w:color w:val="333333"/>
          <w:kern w:val="0"/>
          <w:sz w:val="32"/>
          <w:szCs w:val="32"/>
          <w:u w:val="single"/>
        </w:rPr>
        <w:t> </w:t>
      </w:r>
      <w:r>
        <w:rPr>
          <w:rFonts w:hint="eastAsia" w:ascii="仿宋_GB2312" w:hAnsi="宋体" w:eastAsia="仿宋_GB2312" w:cs="宋体"/>
          <w:color w:val="333333"/>
          <w:kern w:val="0"/>
          <w:sz w:val="32"/>
          <w:szCs w:val="32"/>
        </w:rPr>
        <w:t>万元。主要原因:办公电脑、打印机等办公设备老旧，需更新，用于购置办公电脑、打印机等设备。</w:t>
      </w:r>
    </w:p>
    <w:p w14:paraId="47D51616">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w:t>
      </w:r>
      <w:r>
        <w:rPr>
          <w:rFonts w:hint="eastAsia" w:ascii="仿宋" w:hAnsi="仿宋" w:eastAsia="仿宋" w:cs="宋体"/>
          <w:b/>
          <w:bCs/>
          <w:color w:val="333333"/>
          <w:kern w:val="0"/>
          <w:sz w:val="32"/>
          <w:szCs w:val="32"/>
          <w:lang w:val="en-US" w:eastAsia="zh-CN"/>
        </w:rPr>
        <w:t>八</w:t>
      </w:r>
      <w:r>
        <w:rPr>
          <w:rFonts w:hint="eastAsia" w:ascii="仿宋" w:hAnsi="仿宋" w:eastAsia="仿宋" w:cs="宋体"/>
          <w:b/>
          <w:bCs/>
          <w:color w:val="333333"/>
          <w:kern w:val="0"/>
          <w:sz w:val="32"/>
          <w:szCs w:val="32"/>
        </w:rPr>
        <w:t>）国有资产占有使用情况</w:t>
      </w:r>
    </w:p>
    <w:p w14:paraId="5C000047">
      <w:pPr>
        <w:widowControl/>
        <w:spacing w:before="225" w:after="225" w:line="560" w:lineRule="atLeast"/>
        <w:ind w:firstLine="64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截至2022年12月31日、部门共有车辆</w:t>
      </w:r>
      <w:r>
        <w:rPr>
          <w:rFonts w:hint="eastAsia" w:ascii="MS Mincho" w:hAnsi="MS Mincho" w:eastAsia="MS Mincho" w:cs="MS Mincho"/>
          <w:color w:val="333333"/>
          <w:kern w:val="0"/>
          <w:sz w:val="32"/>
          <w:szCs w:val="32"/>
          <w:u w:val="single"/>
        </w:rPr>
        <w:t> </w:t>
      </w:r>
      <w:r>
        <w:rPr>
          <w:rFonts w:hint="eastAsia" w:ascii="仿宋" w:hAnsi="仿宋" w:eastAsia="仿宋" w:cs="宋体"/>
          <w:color w:val="333333"/>
          <w:kern w:val="0"/>
          <w:sz w:val="32"/>
          <w:szCs w:val="32"/>
          <w:u w:val="single"/>
        </w:rPr>
        <w:t>0</w:t>
      </w:r>
      <w:r>
        <w:rPr>
          <w:rFonts w:hint="eastAsia" w:ascii="MS Mincho" w:hAnsi="MS Mincho" w:eastAsia="MS Mincho" w:cs="MS Mincho"/>
          <w:color w:val="333333"/>
          <w:kern w:val="0"/>
          <w:sz w:val="32"/>
          <w:szCs w:val="32"/>
          <w:u w:val="single"/>
        </w:rPr>
        <w:t> </w:t>
      </w:r>
      <w:r>
        <w:rPr>
          <w:rFonts w:hint="eastAsia" w:ascii="仿宋" w:hAnsi="仿宋" w:eastAsia="仿宋" w:cs="宋体"/>
          <w:color w:val="333333"/>
          <w:kern w:val="0"/>
          <w:sz w:val="32"/>
          <w:szCs w:val="32"/>
        </w:rPr>
        <w:t>辆、其中、一般公务用车</w:t>
      </w:r>
      <w:r>
        <w:rPr>
          <w:rFonts w:hint="eastAsia" w:ascii="仿宋" w:hAnsi="仿宋" w:eastAsia="仿宋" w:cs="宋体"/>
          <w:color w:val="333333"/>
          <w:kern w:val="0"/>
          <w:sz w:val="32"/>
          <w:szCs w:val="32"/>
          <w:u w:val="single"/>
        </w:rPr>
        <w:t>0</w:t>
      </w:r>
      <w:r>
        <w:rPr>
          <w:rFonts w:hint="eastAsia" w:ascii="仿宋" w:hAnsi="仿宋" w:eastAsia="仿宋" w:cs="宋体"/>
          <w:color w:val="333333"/>
          <w:kern w:val="0"/>
          <w:sz w:val="32"/>
          <w:szCs w:val="32"/>
        </w:rPr>
        <w:t>辆、执法执勤用车</w:t>
      </w:r>
      <w:r>
        <w:rPr>
          <w:rFonts w:hint="eastAsia" w:ascii="仿宋" w:hAnsi="仿宋" w:eastAsia="仿宋" w:cs="宋体"/>
          <w:color w:val="333333"/>
          <w:kern w:val="0"/>
          <w:sz w:val="32"/>
          <w:szCs w:val="32"/>
          <w:u w:val="single"/>
        </w:rPr>
        <w:t>0</w:t>
      </w:r>
      <w:r>
        <w:rPr>
          <w:rFonts w:hint="eastAsia" w:ascii="仿宋" w:hAnsi="仿宋" w:eastAsia="仿宋" w:cs="宋体"/>
          <w:color w:val="333333"/>
          <w:kern w:val="0"/>
          <w:sz w:val="32"/>
          <w:szCs w:val="32"/>
        </w:rPr>
        <w:t>辆。</w:t>
      </w:r>
    </w:p>
    <w:p w14:paraId="55364303">
      <w:pPr>
        <w:widowControl/>
        <w:spacing w:before="225" w:after="225" w:line="560" w:lineRule="atLeast"/>
        <w:ind w:firstLine="64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2022年部门或单位预算安排购置车辆</w:t>
      </w:r>
      <w:r>
        <w:rPr>
          <w:rFonts w:hint="eastAsia" w:ascii="仿宋" w:hAnsi="仿宋" w:eastAsia="仿宋" w:cs="宋体"/>
          <w:color w:val="333333"/>
          <w:kern w:val="0"/>
          <w:sz w:val="32"/>
          <w:szCs w:val="32"/>
          <w:u w:val="single"/>
        </w:rPr>
        <w:t>0</w:t>
      </w:r>
      <w:r>
        <w:rPr>
          <w:rFonts w:hint="eastAsia" w:ascii="仿宋" w:hAnsi="仿宋" w:eastAsia="仿宋" w:cs="宋体"/>
          <w:color w:val="333333"/>
          <w:kern w:val="0"/>
          <w:sz w:val="32"/>
          <w:szCs w:val="32"/>
        </w:rPr>
        <w:t>辆，安排购置单位价值200万元以上大型设备具体为：</w:t>
      </w:r>
      <w:r>
        <w:rPr>
          <w:rFonts w:hint="eastAsia" w:ascii="仿宋" w:hAnsi="仿宋" w:eastAsia="仿宋" w:cs="宋体"/>
          <w:color w:val="333333"/>
          <w:kern w:val="0"/>
          <w:sz w:val="32"/>
          <w:szCs w:val="32"/>
          <w:u w:val="single"/>
        </w:rPr>
        <w:t>无</w:t>
      </w:r>
      <w:r>
        <w:rPr>
          <w:rFonts w:hint="eastAsia" w:ascii="仿宋" w:hAnsi="仿宋" w:eastAsia="仿宋" w:cs="宋体"/>
          <w:color w:val="333333"/>
          <w:kern w:val="0"/>
          <w:sz w:val="32"/>
          <w:szCs w:val="32"/>
        </w:rPr>
        <w:t>。</w:t>
      </w:r>
    </w:p>
    <w:p w14:paraId="1883BBF2">
      <w:pPr>
        <w:widowControl/>
        <w:spacing w:before="225" w:after="225" w:line="560" w:lineRule="atLeast"/>
        <w:ind w:firstLine="643"/>
        <w:jc w:val="left"/>
        <w:rPr>
          <w:rFonts w:ascii="宋体" w:hAnsi="宋体" w:eastAsia="宋体" w:cs="宋体"/>
          <w:color w:val="333333"/>
          <w:kern w:val="0"/>
          <w:sz w:val="24"/>
          <w:szCs w:val="24"/>
        </w:rPr>
      </w:pPr>
      <w:r>
        <w:rPr>
          <w:rFonts w:hint="eastAsia" w:ascii="仿宋" w:hAnsi="仿宋" w:eastAsia="仿宋" w:cs="宋体"/>
          <w:b/>
          <w:bCs/>
          <w:color w:val="333333"/>
          <w:kern w:val="0"/>
          <w:sz w:val="32"/>
          <w:szCs w:val="32"/>
        </w:rPr>
        <w:t>（</w:t>
      </w:r>
      <w:r>
        <w:rPr>
          <w:rFonts w:hint="eastAsia" w:ascii="仿宋" w:hAnsi="仿宋" w:eastAsia="仿宋" w:cs="宋体"/>
          <w:b/>
          <w:bCs/>
          <w:color w:val="333333"/>
          <w:kern w:val="0"/>
          <w:sz w:val="32"/>
          <w:szCs w:val="32"/>
          <w:lang w:val="en-US" w:eastAsia="zh-CN"/>
        </w:rPr>
        <w:t>九</w:t>
      </w:r>
      <w:r>
        <w:rPr>
          <w:rFonts w:hint="eastAsia" w:ascii="仿宋" w:hAnsi="仿宋" w:eastAsia="仿宋" w:cs="宋体"/>
          <w:b/>
          <w:bCs/>
          <w:color w:val="333333"/>
          <w:kern w:val="0"/>
          <w:sz w:val="32"/>
          <w:szCs w:val="32"/>
        </w:rPr>
        <w:t>）绩效目标设置情况</w:t>
      </w:r>
    </w:p>
    <w:p w14:paraId="40256B34">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2022年实行绩效目标管理的项目4个，涉及资金3807万元：</w:t>
      </w:r>
    </w:p>
    <w:p w14:paraId="7D699F0A">
      <w:pPr>
        <w:widowControl/>
        <w:spacing w:before="225" w:after="225" w:line="480" w:lineRule="auto"/>
        <w:ind w:left="638"/>
        <w:jc w:val="left"/>
        <w:rPr>
          <w:rFonts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项目名称：财政衔接推进乡村振兴补助资金县级配套</w:t>
      </w:r>
    </w:p>
    <w:p w14:paraId="5C0FD3EF">
      <w:pPr>
        <w:widowControl/>
        <w:spacing w:before="225" w:after="225" w:line="480" w:lineRule="auto"/>
        <w:ind w:left="638"/>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1.</w:t>
      </w:r>
      <w:r>
        <w:rPr>
          <w:rFonts w:hint="eastAsia" w:ascii="仿宋_GB2312" w:hAnsi="微软雅黑" w:eastAsia="仿宋_GB2312" w:cs="宋体"/>
          <w:color w:val="333333"/>
          <w:kern w:val="0"/>
          <w:sz w:val="32"/>
          <w:szCs w:val="32"/>
        </w:rPr>
        <w:t>项目概述：用于农村基础设施建设；</w:t>
      </w:r>
    </w:p>
    <w:p w14:paraId="051FDB41">
      <w:pPr>
        <w:widowControl/>
        <w:spacing w:before="225" w:after="225" w:line="480" w:lineRule="auto"/>
        <w:ind w:firstLine="640"/>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2.</w:t>
      </w:r>
      <w:r>
        <w:rPr>
          <w:rFonts w:hint="eastAsia" w:ascii="仿宋_GB2312" w:hAnsi="微软雅黑" w:eastAsia="仿宋_GB2312" w:cs="宋体"/>
          <w:color w:val="333333"/>
          <w:kern w:val="0"/>
          <w:sz w:val="32"/>
          <w:szCs w:val="32"/>
        </w:rPr>
        <w:t>立项依据：巩固拓展脱贫攻坚成果与乡村振兴有效衔工作要求；</w:t>
      </w:r>
    </w:p>
    <w:p w14:paraId="725110F0">
      <w:pPr>
        <w:widowControl/>
        <w:spacing w:before="225" w:after="225" w:line="480" w:lineRule="auto"/>
        <w:ind w:firstLine="640"/>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3.</w:t>
      </w:r>
      <w:r>
        <w:rPr>
          <w:rFonts w:hint="eastAsia" w:ascii="仿宋_GB2312" w:hAnsi="微软雅黑" w:eastAsia="仿宋_GB2312" w:cs="宋体"/>
          <w:color w:val="333333"/>
          <w:kern w:val="0"/>
          <w:sz w:val="32"/>
          <w:szCs w:val="32"/>
        </w:rPr>
        <w:t>实施主体：各行业部门、各乡镇人民政府；</w:t>
      </w:r>
    </w:p>
    <w:p w14:paraId="54F402BC">
      <w:pPr>
        <w:widowControl/>
        <w:spacing w:before="225" w:after="225" w:line="480" w:lineRule="auto"/>
        <w:ind w:firstLine="640"/>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4.</w:t>
      </w:r>
      <w:r>
        <w:rPr>
          <w:rFonts w:hint="eastAsia" w:ascii="仿宋_GB2312" w:hAnsi="微软雅黑" w:eastAsia="仿宋_GB2312" w:cs="宋体"/>
          <w:color w:val="333333"/>
          <w:kern w:val="0"/>
          <w:sz w:val="32"/>
          <w:szCs w:val="32"/>
        </w:rPr>
        <w:t>实施周期：一年；</w:t>
      </w:r>
    </w:p>
    <w:p w14:paraId="2BC62EDA">
      <w:pPr>
        <w:widowControl/>
        <w:spacing w:before="225" w:after="225" w:line="480" w:lineRule="auto"/>
        <w:ind w:firstLine="640"/>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5.</w:t>
      </w:r>
      <w:r>
        <w:rPr>
          <w:rFonts w:hint="eastAsia" w:ascii="仿宋_GB2312" w:hAnsi="微软雅黑" w:eastAsia="仿宋_GB2312" w:cs="宋体"/>
          <w:color w:val="333333"/>
          <w:kern w:val="0"/>
          <w:sz w:val="32"/>
          <w:szCs w:val="32"/>
        </w:rPr>
        <w:t>年度预算安排：</w:t>
      </w:r>
      <w:r>
        <w:rPr>
          <w:rFonts w:hint="eastAsia" w:ascii="宋体" w:hAnsi="宋体" w:eastAsia="宋体" w:cs="宋体"/>
          <w:color w:val="333333"/>
          <w:kern w:val="0"/>
          <w:sz w:val="32"/>
          <w:szCs w:val="32"/>
        </w:rPr>
        <w:t>3400</w:t>
      </w:r>
      <w:r>
        <w:rPr>
          <w:rFonts w:hint="eastAsia" w:ascii="仿宋_GB2312" w:hAnsi="微软雅黑" w:eastAsia="仿宋_GB2312" w:cs="宋体"/>
          <w:color w:val="333333"/>
          <w:kern w:val="0"/>
          <w:sz w:val="32"/>
          <w:szCs w:val="32"/>
        </w:rPr>
        <w:t>万元；</w:t>
      </w:r>
    </w:p>
    <w:p w14:paraId="5186E115">
      <w:pPr>
        <w:widowControl/>
        <w:spacing w:before="225" w:after="225" w:line="480" w:lineRule="auto"/>
        <w:ind w:firstLine="640"/>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6.</w:t>
      </w:r>
      <w:r>
        <w:rPr>
          <w:rFonts w:hint="eastAsia" w:ascii="仿宋_GB2312" w:hAnsi="微软雅黑" w:eastAsia="仿宋_GB2312" w:cs="宋体"/>
          <w:color w:val="333333"/>
          <w:kern w:val="0"/>
          <w:sz w:val="32"/>
          <w:szCs w:val="32"/>
        </w:rPr>
        <w:t>年度绩效目标：</w:t>
      </w:r>
      <w:r>
        <w:rPr>
          <w:rFonts w:hint="eastAsia" w:ascii="仿宋" w:hAnsi="仿宋" w:eastAsia="仿宋" w:cs="宋体"/>
          <w:color w:val="333333"/>
          <w:kern w:val="0"/>
          <w:sz w:val="32"/>
          <w:szCs w:val="32"/>
        </w:rPr>
        <w:t>达到上级巩固拓展脱贫攻坚成果与乡村振兴有效衔工作要求，顺利完成年度巩固拓展脱贫攻坚成果同乡村振兴工作有效衔接工作。（1）完成产业发展培训覆盖≥400人次，基础设施项目≥100处；（2）交通设施和水沟及护墙、护坡等基础设施符合工程质量验收相关要求，按时投入使用。</w:t>
      </w:r>
    </w:p>
    <w:p w14:paraId="53ED93FB">
      <w:pPr>
        <w:widowControl/>
        <w:spacing w:before="225" w:after="225" w:line="560" w:lineRule="atLeast"/>
        <w:ind w:left="10" w:firstLine="643"/>
        <w:jc w:val="left"/>
        <w:rPr>
          <w:rFonts w:hint="eastAsia" w:ascii="宋体" w:hAnsi="宋体" w:eastAsia="宋体" w:cs="宋体"/>
          <w:color w:val="333333"/>
          <w:kern w:val="0"/>
          <w:sz w:val="24"/>
          <w:szCs w:val="24"/>
        </w:rPr>
      </w:pPr>
      <w:r>
        <w:rPr>
          <w:rFonts w:hint="eastAsia" w:ascii="MS Mincho" w:hAnsi="MS Mincho" w:eastAsia="MS Mincho" w:cs="MS Mincho"/>
          <w:b/>
          <w:bCs/>
          <w:color w:val="333333"/>
          <w:kern w:val="0"/>
          <w:sz w:val="32"/>
          <w:szCs w:val="32"/>
        </w:rPr>
        <w:t> </w:t>
      </w:r>
    </w:p>
    <w:p w14:paraId="058D3ACE">
      <w:pPr>
        <w:widowControl/>
        <w:spacing w:before="225" w:after="225" w:line="560" w:lineRule="atLeast"/>
        <w:ind w:left="10" w:firstLine="643"/>
        <w:jc w:val="left"/>
        <w:rPr>
          <w:rFonts w:ascii="宋体" w:hAnsi="宋体" w:eastAsia="宋体" w:cs="宋体"/>
          <w:color w:val="333333"/>
          <w:kern w:val="0"/>
          <w:sz w:val="24"/>
          <w:szCs w:val="24"/>
        </w:rPr>
      </w:pPr>
      <w:r>
        <w:rPr>
          <w:rFonts w:hint="eastAsia" w:ascii="楷体" w:hAnsi="楷体" w:eastAsia="楷体" w:cs="宋体"/>
          <w:b/>
          <w:bCs/>
          <w:color w:val="333333"/>
          <w:kern w:val="0"/>
          <w:sz w:val="32"/>
          <w:szCs w:val="32"/>
        </w:rPr>
        <w:t>二、2022年“三公”经费预算情况说明</w:t>
      </w:r>
    </w:p>
    <w:p w14:paraId="2DA672FD">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2022年兴国县乡村振兴局部门“三公”经费一般公共预算安排36万元。其中：</w:t>
      </w:r>
    </w:p>
    <w:p w14:paraId="270377FD">
      <w:pPr>
        <w:widowControl/>
        <w:spacing w:before="225" w:after="225" w:line="560" w:lineRule="atLeast"/>
        <w:ind w:firstLine="64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因公出国（境）费0万元，比上年增（减）0万元，主</w:t>
      </w:r>
    </w:p>
    <w:p w14:paraId="0C740F45">
      <w:pPr>
        <w:widowControl/>
        <w:spacing w:before="225" w:after="225" w:line="560" w:lineRule="atLeast"/>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要原因是：无。</w:t>
      </w:r>
    </w:p>
    <w:p w14:paraId="091A7ABE">
      <w:pPr>
        <w:widowControl/>
        <w:spacing w:before="225" w:after="225" w:line="560" w:lineRule="atLeast"/>
        <w:ind w:firstLine="64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公务接待费36万元，比上年增3万元，主要原因</w:t>
      </w:r>
    </w:p>
    <w:p w14:paraId="52EB061B">
      <w:pPr>
        <w:widowControl/>
        <w:spacing w:before="225" w:after="225" w:line="560" w:lineRule="atLeast"/>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是：</w:t>
      </w:r>
      <w:r>
        <w:rPr>
          <w:rFonts w:hint="eastAsia" w:ascii="仿宋_GB2312" w:hAnsi="宋体" w:eastAsia="仿宋_GB2312" w:cs="宋体"/>
          <w:color w:val="333333"/>
          <w:kern w:val="0"/>
          <w:sz w:val="32"/>
          <w:szCs w:val="32"/>
        </w:rPr>
        <w:t>常态化迎接国家、省、市检查督导，考核调研</w:t>
      </w:r>
      <w:r>
        <w:rPr>
          <w:rFonts w:hint="eastAsia" w:ascii="仿宋" w:hAnsi="仿宋" w:eastAsia="仿宋" w:cs="宋体"/>
          <w:color w:val="333333"/>
          <w:kern w:val="0"/>
          <w:sz w:val="32"/>
          <w:szCs w:val="32"/>
        </w:rPr>
        <w:t>。</w:t>
      </w:r>
    </w:p>
    <w:p w14:paraId="02CFDCC0">
      <w:pPr>
        <w:widowControl/>
        <w:spacing w:before="225" w:after="225" w:line="560" w:lineRule="atLeast"/>
        <w:ind w:firstLine="64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公务用车运行维护费0万元，比上年增（减）0万元，</w:t>
      </w:r>
    </w:p>
    <w:p w14:paraId="12D513A3">
      <w:pPr>
        <w:widowControl/>
        <w:spacing w:before="225" w:after="225" w:line="560" w:lineRule="atLeast"/>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主要原因是：无。</w:t>
      </w:r>
    </w:p>
    <w:p w14:paraId="1418420A">
      <w:pPr>
        <w:widowControl/>
        <w:spacing w:before="225" w:after="225" w:line="560" w:lineRule="atLeast"/>
        <w:ind w:firstLine="64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公务用车购置费0万元，比上年增（减）0万元，主要</w:t>
      </w:r>
    </w:p>
    <w:p w14:paraId="0E284075">
      <w:pPr>
        <w:widowControl/>
        <w:spacing w:before="225" w:after="225" w:line="560" w:lineRule="atLeast"/>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rPr>
        <w:t>原因是：无。</w:t>
      </w:r>
    </w:p>
    <w:p w14:paraId="4341A3E1">
      <w:pPr>
        <w:widowControl/>
        <w:spacing w:before="225" w:after="225" w:line="560" w:lineRule="atLeast"/>
        <w:jc w:val="left"/>
        <w:rPr>
          <w:rFonts w:ascii="宋体" w:hAnsi="宋体" w:eastAsia="宋体" w:cs="宋体"/>
          <w:color w:val="333333"/>
          <w:kern w:val="0"/>
          <w:sz w:val="24"/>
          <w:szCs w:val="24"/>
        </w:rPr>
      </w:pPr>
      <w:r>
        <w:rPr>
          <w:rFonts w:hint="eastAsia" w:ascii="MS Mincho" w:hAnsi="MS Mincho" w:eastAsia="MS Mincho" w:cs="MS Mincho"/>
          <w:color w:val="333333"/>
          <w:kern w:val="0"/>
          <w:sz w:val="32"/>
          <w:szCs w:val="32"/>
        </w:rPr>
        <w:t> </w:t>
      </w:r>
    </w:p>
    <w:p w14:paraId="1ACE2CCF">
      <w:pPr>
        <w:widowControl/>
        <w:spacing w:before="225" w:after="225" w:line="560" w:lineRule="atLeast"/>
        <w:jc w:val="center"/>
        <w:rPr>
          <w:rFonts w:ascii="宋体" w:hAnsi="宋体" w:eastAsia="宋体" w:cs="宋体"/>
          <w:color w:val="333333"/>
          <w:kern w:val="0"/>
          <w:sz w:val="24"/>
          <w:szCs w:val="24"/>
        </w:rPr>
      </w:pPr>
      <w:r>
        <w:rPr>
          <w:rFonts w:hint="eastAsia" w:ascii="黑体" w:hAnsi="黑体" w:eastAsia="黑体" w:cs="宋体"/>
          <w:color w:val="333333"/>
          <w:kern w:val="0"/>
          <w:sz w:val="32"/>
          <w:szCs w:val="32"/>
        </w:rPr>
        <w:t>第三部分</w:t>
      </w:r>
      <w:r>
        <w:rPr>
          <w:rFonts w:hint="eastAsia" w:ascii="宋体" w:hAnsi="宋体" w:eastAsia="宋体" w:cs="宋体"/>
          <w:color w:val="333333"/>
          <w:kern w:val="0"/>
          <w:sz w:val="32"/>
          <w:szCs w:val="32"/>
        </w:rPr>
        <w:t> </w:t>
      </w:r>
      <w:r>
        <w:rPr>
          <w:rFonts w:hint="eastAsia" w:ascii="黑体" w:hAnsi="黑体" w:eastAsia="黑体" w:cs="宋体"/>
          <w:color w:val="333333"/>
          <w:kern w:val="0"/>
          <w:sz w:val="32"/>
          <w:szCs w:val="32"/>
        </w:rPr>
        <w:t>兴国县乡村振兴局部门预算表</w:t>
      </w:r>
    </w:p>
    <w:p w14:paraId="16890D84">
      <w:pPr>
        <w:widowControl/>
        <w:spacing w:before="225" w:after="225" w:line="560" w:lineRule="atLeast"/>
        <w:ind w:firstLine="604"/>
        <w:jc w:val="center"/>
        <w:rPr>
          <w:rFonts w:ascii="宋体" w:hAnsi="宋体" w:eastAsia="宋体" w:cs="宋体"/>
          <w:color w:val="333333"/>
          <w:kern w:val="0"/>
          <w:sz w:val="24"/>
          <w:szCs w:val="24"/>
        </w:rPr>
      </w:pPr>
      <w:r>
        <w:rPr>
          <w:rFonts w:hint="eastAsia" w:ascii="仿宋" w:hAnsi="仿宋" w:eastAsia="仿宋" w:cs="宋体"/>
          <w:color w:val="333333"/>
          <w:kern w:val="0"/>
          <w:sz w:val="32"/>
          <w:szCs w:val="32"/>
        </w:rPr>
        <w:t>（附表）</w:t>
      </w:r>
    </w:p>
    <w:p w14:paraId="299BA42E">
      <w:pPr>
        <w:widowControl/>
        <w:spacing w:before="225" w:after="225" w:line="560" w:lineRule="atLeast"/>
        <w:ind w:firstLine="604"/>
        <w:jc w:val="left"/>
        <w:rPr>
          <w:rFonts w:ascii="宋体" w:hAnsi="宋体" w:eastAsia="宋体" w:cs="宋体"/>
          <w:color w:val="333333"/>
          <w:kern w:val="0"/>
          <w:sz w:val="24"/>
          <w:szCs w:val="24"/>
        </w:rPr>
      </w:pPr>
      <w:r>
        <w:rPr>
          <w:rFonts w:hint="eastAsia" w:ascii="MS Mincho" w:hAnsi="MS Mincho" w:eastAsia="MS Mincho" w:cs="MS Mincho"/>
          <w:color w:val="333333"/>
          <w:kern w:val="0"/>
          <w:sz w:val="32"/>
          <w:szCs w:val="32"/>
        </w:rPr>
        <w:t> </w:t>
      </w:r>
    </w:p>
    <w:p w14:paraId="11FE7072">
      <w:pPr>
        <w:widowControl/>
        <w:spacing w:before="225" w:after="225" w:line="560" w:lineRule="atLeast"/>
        <w:jc w:val="center"/>
        <w:rPr>
          <w:rFonts w:ascii="宋体" w:hAnsi="宋体" w:eastAsia="宋体" w:cs="宋体"/>
          <w:color w:val="333333"/>
          <w:kern w:val="0"/>
          <w:sz w:val="24"/>
          <w:szCs w:val="24"/>
        </w:rPr>
      </w:pPr>
      <w:r>
        <w:rPr>
          <w:rFonts w:hint="eastAsia" w:ascii="黑体" w:hAnsi="黑体" w:eastAsia="黑体" w:cs="宋体"/>
          <w:color w:val="333333"/>
          <w:kern w:val="0"/>
          <w:sz w:val="32"/>
          <w:szCs w:val="32"/>
        </w:rPr>
        <w:t>第四部分</w:t>
      </w:r>
      <w:r>
        <w:rPr>
          <w:rFonts w:hint="eastAsia" w:ascii="MS Mincho" w:hAnsi="MS Mincho" w:eastAsia="MS Mincho" w:cs="MS Mincho"/>
          <w:color w:val="333333"/>
          <w:kern w:val="0"/>
          <w:sz w:val="32"/>
          <w:szCs w:val="32"/>
        </w:rPr>
        <w:t> </w:t>
      </w:r>
      <w:r>
        <w:rPr>
          <w:rFonts w:hint="eastAsia" w:ascii="黑体" w:hAnsi="黑体" w:eastAsia="黑体" w:cs="宋体"/>
          <w:color w:val="333333"/>
          <w:kern w:val="0"/>
          <w:sz w:val="32"/>
          <w:szCs w:val="32"/>
        </w:rPr>
        <w:t>名词解释</w:t>
      </w:r>
    </w:p>
    <w:p w14:paraId="464FEE76">
      <w:pPr>
        <w:widowControl/>
        <w:spacing w:before="225" w:after="225" w:line="560" w:lineRule="atLeast"/>
        <w:ind w:firstLine="604"/>
        <w:jc w:val="center"/>
        <w:rPr>
          <w:rFonts w:ascii="宋体" w:hAnsi="宋体" w:eastAsia="宋体" w:cs="宋体"/>
          <w:color w:val="333333"/>
          <w:kern w:val="0"/>
          <w:sz w:val="24"/>
          <w:szCs w:val="24"/>
        </w:rPr>
      </w:pPr>
      <w:r>
        <w:rPr>
          <w:rFonts w:hint="eastAsia" w:ascii="MS Mincho" w:hAnsi="MS Mincho" w:eastAsia="MS Mincho" w:cs="MS Mincho"/>
          <w:color w:val="333333"/>
          <w:kern w:val="0"/>
          <w:sz w:val="32"/>
          <w:szCs w:val="32"/>
        </w:rPr>
        <w:t> </w:t>
      </w:r>
    </w:p>
    <w:p w14:paraId="37BC3520">
      <w:pPr>
        <w:widowControl/>
        <w:spacing w:before="225" w:after="225" w:line="560" w:lineRule="atLeast"/>
        <w:ind w:firstLine="643"/>
        <w:jc w:val="left"/>
        <w:rPr>
          <w:rFonts w:ascii="宋体" w:hAnsi="宋体" w:eastAsia="宋体" w:cs="宋体"/>
          <w:color w:val="333333"/>
          <w:kern w:val="0"/>
          <w:sz w:val="24"/>
          <w:szCs w:val="24"/>
        </w:rPr>
      </w:pPr>
      <w:r>
        <w:rPr>
          <w:rFonts w:hint="eastAsia" w:ascii="楷体" w:hAnsi="楷体" w:eastAsia="楷体" w:cs="宋体"/>
          <w:b/>
          <w:bCs/>
          <w:color w:val="333333"/>
          <w:kern w:val="0"/>
          <w:sz w:val="32"/>
          <w:szCs w:val="32"/>
        </w:rPr>
        <w:t>一、收入科目</w:t>
      </w:r>
    </w:p>
    <w:p w14:paraId="0A2E31E7">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各部门结合实际进行解释。</w:t>
      </w:r>
    </w:p>
    <w:p w14:paraId="405270DE">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（一）财政拨款：指县本级财政当年拨付的资金。</w:t>
      </w:r>
    </w:p>
    <w:p w14:paraId="2177ECF1">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（二）事业收入：指事业单位开展专业业务活动及辅助活动取得的收入。</w:t>
      </w:r>
    </w:p>
    <w:p w14:paraId="77CC470C">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（三）事业单位经营收入：指事业单位在专业业务活动及辅助活动之外开展非独立核算经营活动取得的收入。</w:t>
      </w:r>
    </w:p>
    <w:p w14:paraId="79213650">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（四）其他收入：指除财政拨款、事业收入、事业单位经营收入等以外的各项收入。</w:t>
      </w:r>
    </w:p>
    <w:p w14:paraId="51E118B0">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（五）附属单位上缴收入：反映事业单位附属的独立核算单位按规定标准或比例缴纳的各项收入。包括附属的事业单位上缴的收入和附属的企业上缴的利润等。</w:t>
      </w:r>
    </w:p>
    <w:p w14:paraId="18ED2E78">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（六）上级补助收入：反映事业单位从主管部门和上级单位取得的非财政补助收入。</w:t>
      </w:r>
    </w:p>
    <w:p w14:paraId="35550B73">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（七）使用非财政拨款结余：填列历年滚存的非限定用途的非统计财政拨款结余弥补2021年收支差额的数额。</w:t>
      </w:r>
    </w:p>
    <w:p w14:paraId="4DBB16FF">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（八）上年结转和结余：填列2021年全部结转和结余的资金数，包括当年结转结余资金和历年滚存结转结余资金。</w:t>
      </w:r>
    </w:p>
    <w:p w14:paraId="6CA8D702">
      <w:pPr>
        <w:widowControl/>
        <w:spacing w:before="225" w:after="225" w:line="560" w:lineRule="atLeast"/>
        <w:ind w:firstLine="607"/>
        <w:jc w:val="left"/>
        <w:rPr>
          <w:rFonts w:ascii="宋体" w:hAnsi="宋体" w:eastAsia="宋体" w:cs="宋体"/>
          <w:color w:val="333333"/>
          <w:kern w:val="0"/>
          <w:sz w:val="24"/>
          <w:szCs w:val="24"/>
        </w:rPr>
      </w:pPr>
      <w:r>
        <w:rPr>
          <w:rFonts w:hint="eastAsia" w:ascii="楷体" w:hAnsi="楷体" w:eastAsia="楷体" w:cs="宋体"/>
          <w:b/>
          <w:bCs/>
          <w:color w:val="333333"/>
          <w:kern w:val="0"/>
          <w:sz w:val="32"/>
          <w:szCs w:val="32"/>
        </w:rPr>
        <w:t>二、支出科目</w:t>
      </w:r>
    </w:p>
    <w:p w14:paraId="555ADB78">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对部门或单位预算中涉及的支出功能分类科目（明细到项级），结合部门实际，参照《2021年政府收支分类科目》的规范说明行解释。</w:t>
      </w:r>
    </w:p>
    <w:p w14:paraId="6E2888F2">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（一）行政运行：反映行政单位（事业单位）的基本支出。</w:t>
      </w:r>
    </w:p>
    <w:p w14:paraId="12A8A4E5">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（二）一般行政管理事务：反映行政单位（包括事业单位）未单独设置项级科目的其他项目支出。</w:t>
      </w:r>
    </w:p>
    <w:p w14:paraId="424AF196">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（三）机关事业单位基本养老保险缴费支出：反映机关事业单位实施养老保险制度由单位缴纳的基本养老保险费的支出。</w:t>
      </w:r>
    </w:p>
    <w:p w14:paraId="67E444E8">
      <w:pPr>
        <w:widowControl/>
        <w:spacing w:before="225" w:after="225" w:line="560" w:lineRule="atLeast"/>
        <w:ind w:firstLine="681"/>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（四）行政单位医疗：反映行政事业单位基本医疗保险缴费经费。</w:t>
      </w:r>
    </w:p>
    <w:p w14:paraId="383BC79D">
      <w:pPr>
        <w:widowControl/>
        <w:spacing w:before="225" w:after="225" w:line="560" w:lineRule="atLeast"/>
        <w:ind w:firstLine="681"/>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（五）事业单位医疗：反映财政部门集中安排的事业单位基本医疗保险缴费经费。</w:t>
      </w:r>
    </w:p>
    <w:p w14:paraId="5C5F2913">
      <w:pPr>
        <w:widowControl/>
        <w:spacing w:before="225" w:after="225" w:line="560" w:lineRule="atLeast"/>
        <w:ind w:firstLine="640"/>
        <w:jc w:val="left"/>
        <w:rPr>
          <w:rFonts w:ascii="宋体" w:hAnsi="宋体" w:eastAsia="宋体" w:cs="宋体"/>
          <w:color w:val="333333"/>
          <w:kern w:val="0"/>
          <w:sz w:val="24"/>
          <w:szCs w:val="24"/>
        </w:rPr>
      </w:pPr>
      <w:r>
        <w:rPr>
          <w:rFonts w:hint="eastAsia" w:ascii="仿宋_GB2312" w:hAnsi="宋体" w:eastAsia="仿宋_GB2312" w:cs="宋体"/>
          <w:color w:val="333333"/>
          <w:kern w:val="0"/>
          <w:sz w:val="32"/>
          <w:szCs w:val="32"/>
        </w:rPr>
        <w:t>（六）死亡抚恤：反映单位遗属人员生活补助。</w:t>
      </w:r>
    </w:p>
    <w:p w14:paraId="42807E7C">
      <w:pPr>
        <w:widowControl/>
        <w:spacing w:before="225" w:after="225" w:line="560" w:lineRule="atLeast"/>
        <w:jc w:val="left"/>
        <w:rPr>
          <w:rFonts w:ascii="宋体" w:hAnsi="宋体" w:eastAsia="宋体" w:cs="宋体"/>
          <w:color w:val="333333"/>
          <w:kern w:val="0"/>
          <w:sz w:val="24"/>
          <w:szCs w:val="24"/>
        </w:rPr>
      </w:pPr>
      <w:r>
        <w:rPr>
          <w:rFonts w:hint="eastAsia" w:ascii="MS Mincho" w:hAnsi="MS Mincho" w:eastAsia="MS Mincho" w:cs="MS Mincho"/>
          <w:b/>
          <w:bCs/>
          <w:color w:val="000000"/>
          <w:kern w:val="0"/>
          <w:sz w:val="32"/>
          <w:szCs w:val="32"/>
        </w:rPr>
        <w:t> </w:t>
      </w:r>
    </w:p>
    <w:p w14:paraId="36CE4E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0A68AB"/>
    <w:rsid w:val="000A68AB"/>
    <w:rsid w:val="08CA2A7A"/>
    <w:rsid w:val="185B0414"/>
    <w:rsid w:val="1CB0097A"/>
    <w:rsid w:val="1DA33BCD"/>
    <w:rsid w:val="258B3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4">
    <w:name w:val="Balloon Text"/>
    <w:basedOn w:val="1"/>
    <w:link w:val="13"/>
    <w:semiHidden/>
    <w:unhideWhenUsed/>
    <w:qFormat/>
    <w:uiPriority w:val="99"/>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标题 1 Char"/>
    <w:basedOn w:val="7"/>
    <w:link w:val="2"/>
    <w:uiPriority w:val="9"/>
    <w:rPr>
      <w:rFonts w:ascii="宋体" w:hAnsi="宋体" w:eastAsia="宋体" w:cs="宋体"/>
      <w:b/>
      <w:bCs/>
      <w:kern w:val="36"/>
      <w:sz w:val="48"/>
      <w:szCs w:val="48"/>
    </w:rPr>
  </w:style>
  <w:style w:type="character" w:customStyle="1" w:styleId="10">
    <w:name w:val="llcs"/>
    <w:basedOn w:val="7"/>
    <w:qFormat/>
    <w:uiPriority w:val="0"/>
  </w:style>
  <w:style w:type="character" w:customStyle="1" w:styleId="11">
    <w:name w:val="article-icon"/>
    <w:basedOn w:val="7"/>
    <w:qFormat/>
    <w:uiPriority w:val="0"/>
  </w:style>
  <w:style w:type="character" w:customStyle="1" w:styleId="12">
    <w:name w:val="正文文本 Char"/>
    <w:basedOn w:val="7"/>
    <w:link w:val="3"/>
    <w:semiHidden/>
    <w:qFormat/>
    <w:uiPriority w:val="99"/>
    <w:rPr>
      <w:rFonts w:ascii="宋体" w:hAnsi="宋体" w:eastAsia="宋体" w:cs="宋体"/>
      <w:kern w:val="0"/>
      <w:sz w:val="24"/>
      <w:szCs w:val="24"/>
    </w:rPr>
  </w:style>
  <w:style w:type="character" w:customStyle="1" w:styleId="13">
    <w:name w:val="批注框文本 Char"/>
    <w:basedOn w:val="7"/>
    <w:link w:val="4"/>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2939</Words>
  <Characters>3287</Characters>
  <Lines>25</Lines>
  <Paragraphs>7</Paragraphs>
  <TotalTime>1</TotalTime>
  <ScaleCrop>false</ScaleCrop>
  <LinksUpToDate>false</LinksUpToDate>
  <CharactersWithSpaces>3296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2023-01-11T00:52:00Z</dcterms:created>
  <dc:creator>Administrator</dc:creator>
  <cp:lastModifiedBy>WPS_1670148425</cp:lastModifiedBy>
  <cp:lastPrinted>2023-06-20T07:42:00Z</cp:lastPrinted>
  <dcterms:modified xsi:type="dcterms:W3CDTF">2024-10-08T08:35:22Z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0D0DBAF0E3E5446D8F43B3BC2F6BB0EB_13</vt:lpwstr>
  </property>
</Properties>
</file>