
<file path=[Content_Types].xml><?xml version="1.0" encoding="utf-8"?>
<Types xmlns="http://schemas.openxmlformats.org/package/2006/content-types">
  <Default Extension="png" ContentType="image/png"/>
  <Default Extension="jpeg" ContentType="image/jpeg"/>
  <Default Extension="JPG" ContentType="image/.jp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600" w:lineRule="atLeast"/>
        <w:jc w:val="center"/>
        <w:rPr>
          <w:rFonts w:ascii="宋体" w:hAnsi="宋体" w:eastAsia="宋体" w:cs="宋体"/>
          <w:b/>
          <w:bCs/>
          <w:color w:val="333333"/>
          <w:sz w:val="44"/>
          <w:szCs w:val="44"/>
          <w:shd w:val="clear" w:color="auto" w:fill="FFFFFF"/>
        </w:rPr>
      </w:pPr>
      <w:r>
        <w:rPr>
          <w:rFonts w:hint="eastAsia" w:ascii="宋体" w:hAnsi="宋体" w:eastAsia="宋体" w:cs="宋体"/>
          <w:b/>
          <w:bCs/>
          <w:color w:val="333333"/>
          <w:sz w:val="44"/>
          <w:szCs w:val="44"/>
          <w:shd w:val="clear" w:color="auto" w:fill="FFFFFF"/>
        </w:rPr>
        <w:t>兴国县教育科技体育局</w:t>
      </w:r>
    </w:p>
    <w:p>
      <w:pPr>
        <w:pStyle w:val="3"/>
        <w:widowControl/>
        <w:shd w:val="clear" w:color="auto" w:fill="FFFFFF"/>
        <w:spacing w:beforeAutospacing="0" w:afterAutospacing="0" w:line="600" w:lineRule="atLeast"/>
        <w:jc w:val="center"/>
        <w:rPr>
          <w:rFonts w:ascii="宋体" w:hAnsi="宋体" w:eastAsia="宋体" w:cs="宋体"/>
          <w:b/>
          <w:bCs/>
          <w:color w:val="333333"/>
          <w:sz w:val="44"/>
          <w:szCs w:val="44"/>
        </w:rPr>
      </w:pPr>
      <w:r>
        <w:rPr>
          <w:rFonts w:hint="eastAsia" w:ascii="宋体" w:hAnsi="宋体" w:eastAsia="宋体" w:cs="宋体"/>
          <w:b/>
          <w:bCs/>
          <w:color w:val="333333"/>
          <w:sz w:val="44"/>
          <w:szCs w:val="44"/>
          <w:shd w:val="clear" w:color="auto" w:fill="FFFFFF"/>
        </w:rPr>
        <w:t>2022年部门预算说明</w:t>
      </w:r>
    </w:p>
    <w:p>
      <w:pPr>
        <w:pStyle w:val="3"/>
        <w:widowControl/>
        <w:shd w:val="clear" w:color="auto" w:fill="FFFFFF"/>
        <w:spacing w:beforeAutospacing="0" w:afterAutospacing="0" w:line="600" w:lineRule="atLeast"/>
        <w:jc w:val="center"/>
        <w:rPr>
          <w:rFonts w:ascii="宋体" w:hAnsi="宋体" w:eastAsia="宋体" w:cs="宋体"/>
          <w:b/>
          <w:bCs/>
          <w:color w:val="333333"/>
          <w:sz w:val="32"/>
          <w:szCs w:val="32"/>
          <w:shd w:val="clear" w:color="auto" w:fill="FFFFFF"/>
        </w:rPr>
      </w:pPr>
    </w:p>
    <w:p>
      <w:pPr>
        <w:pStyle w:val="3"/>
        <w:widowControl/>
        <w:shd w:val="clear" w:color="auto" w:fill="FFFFFF"/>
        <w:spacing w:beforeAutospacing="0" w:afterAutospacing="0" w:line="600" w:lineRule="atLeast"/>
        <w:jc w:val="center"/>
        <w:rPr>
          <w:rFonts w:ascii="宋体" w:hAnsi="宋体" w:eastAsia="宋体" w:cs="宋体"/>
          <w:b/>
          <w:bCs/>
          <w:color w:val="333333"/>
          <w:sz w:val="21"/>
          <w:szCs w:val="21"/>
        </w:rPr>
      </w:pPr>
      <w:r>
        <w:rPr>
          <w:rFonts w:hint="eastAsia" w:ascii="宋体" w:hAnsi="宋体" w:eastAsia="宋体" w:cs="宋体"/>
          <w:b/>
          <w:bCs/>
          <w:color w:val="333333"/>
          <w:sz w:val="32"/>
          <w:szCs w:val="32"/>
          <w:shd w:val="clear" w:color="auto" w:fill="FFFFFF"/>
        </w:rPr>
        <w:t>目  录</w:t>
      </w:r>
    </w:p>
    <w:p>
      <w:pPr>
        <w:pStyle w:val="3"/>
        <w:widowControl/>
        <w:shd w:val="clear" w:color="auto" w:fill="FFFFFF"/>
        <w:spacing w:beforeAutospacing="0" w:afterAutospacing="0" w:line="600" w:lineRule="atLeast"/>
        <w:ind w:left="641" w:hanging="641"/>
        <w:jc w:val="both"/>
        <w:rPr>
          <w:rFonts w:ascii="宋体" w:hAnsi="宋体" w:eastAsia="宋体" w:cs="宋体"/>
          <w:color w:val="333333"/>
          <w:sz w:val="21"/>
          <w:szCs w:val="21"/>
        </w:rPr>
      </w:pPr>
      <w:r>
        <w:rPr>
          <w:rFonts w:hint="eastAsia" w:ascii="宋体" w:hAnsi="宋体" w:eastAsia="宋体" w:cs="宋体"/>
          <w:b/>
          <w:bCs/>
          <w:color w:val="333333"/>
          <w:sz w:val="30"/>
          <w:szCs w:val="30"/>
          <w:shd w:val="clear" w:color="auto" w:fill="FFFFFF"/>
        </w:rPr>
        <w:t>第一部分 兴国县教育科技体育局单位概况</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一、部门主要职责</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二、部门基本情况</w:t>
      </w:r>
    </w:p>
    <w:p>
      <w:pPr>
        <w:pStyle w:val="3"/>
        <w:widowControl/>
        <w:shd w:val="clear" w:color="auto" w:fill="FFFFFF"/>
        <w:spacing w:beforeAutospacing="0" w:afterAutospacing="0" w:line="600" w:lineRule="atLeast"/>
        <w:ind w:left="641" w:hanging="641"/>
        <w:jc w:val="both"/>
        <w:rPr>
          <w:rFonts w:ascii="宋体" w:hAnsi="宋体" w:eastAsia="宋体" w:cs="宋体"/>
          <w:color w:val="333333"/>
          <w:sz w:val="21"/>
          <w:szCs w:val="21"/>
        </w:rPr>
      </w:pPr>
      <w:r>
        <w:rPr>
          <w:rFonts w:hint="eastAsia" w:ascii="宋体" w:hAnsi="宋体" w:eastAsia="宋体" w:cs="宋体"/>
          <w:b/>
          <w:bCs/>
          <w:color w:val="333333"/>
          <w:sz w:val="30"/>
          <w:szCs w:val="30"/>
          <w:shd w:val="clear" w:color="auto" w:fill="FFFFFF"/>
        </w:rPr>
        <w:t>第二部分兴国县教育科技体育局2022年单位预算情况说明</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一、2022年部门预算收支情况说明</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二、2022年“三公”经费预算情况说明</w:t>
      </w:r>
    </w:p>
    <w:p>
      <w:pPr>
        <w:pStyle w:val="3"/>
        <w:widowControl/>
        <w:shd w:val="clear" w:color="auto" w:fill="FFFFFF"/>
        <w:spacing w:beforeAutospacing="0" w:afterAutospacing="0" w:line="600" w:lineRule="atLeast"/>
        <w:ind w:left="641" w:hanging="641"/>
        <w:jc w:val="both"/>
        <w:rPr>
          <w:rFonts w:ascii="宋体" w:hAnsi="宋体" w:eastAsia="宋体" w:cs="宋体"/>
          <w:b/>
          <w:bCs/>
          <w:color w:val="333333"/>
          <w:sz w:val="21"/>
          <w:szCs w:val="21"/>
        </w:rPr>
      </w:pPr>
      <w:r>
        <w:rPr>
          <w:rFonts w:hint="eastAsia" w:ascii="宋体" w:hAnsi="宋体" w:eastAsia="宋体" w:cs="宋体"/>
          <w:b/>
          <w:bCs/>
          <w:color w:val="333333"/>
          <w:sz w:val="30"/>
          <w:szCs w:val="30"/>
          <w:shd w:val="clear" w:color="auto" w:fill="FFFFFF"/>
        </w:rPr>
        <w:t>第三部分兴国县教育科技体育局2022年单位预算表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一、《收支预算总表》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二、《部门收入总表》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三、《部门支出总表》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四、《财政拨款收支总表》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五、《一般公共预算支出表》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六、《一般公共预算基本支出表》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七、《一般公共预算“三公”经费支出表》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八、《政府性基金预算支出表》</w:t>
      </w:r>
    </w:p>
    <w:p>
      <w:pPr>
        <w:pStyle w:val="3"/>
        <w:widowControl/>
        <w:shd w:val="clear" w:color="auto" w:fill="FFFFFF"/>
        <w:spacing w:beforeAutospacing="0" w:afterAutospacing="0" w:line="600" w:lineRule="atLeast"/>
        <w:ind w:left="632" w:hanging="36"/>
        <w:jc w:val="both"/>
        <w:rPr>
          <w:rFonts w:ascii="宋体" w:hAnsi="宋体" w:eastAsia="宋体" w:cs="宋体"/>
          <w:color w:val="333333"/>
          <w:sz w:val="21"/>
          <w:szCs w:val="21"/>
        </w:rPr>
      </w:pPr>
      <w:r>
        <w:rPr>
          <w:rFonts w:hint="eastAsia" w:ascii="宋体" w:hAnsi="宋体" w:eastAsia="宋体" w:cs="宋体"/>
          <w:color w:val="333333"/>
          <w:sz w:val="30"/>
          <w:szCs w:val="30"/>
          <w:shd w:val="clear" w:color="auto" w:fill="FFFFFF"/>
        </w:rPr>
        <w:t>九、《部门整体支出绩效目标表》</w:t>
      </w:r>
    </w:p>
    <w:p>
      <w:pPr>
        <w:pStyle w:val="3"/>
        <w:widowControl/>
        <w:shd w:val="clear" w:color="auto" w:fill="FFFFFF"/>
        <w:spacing w:beforeAutospacing="0" w:afterAutospacing="0" w:line="600" w:lineRule="atLeast"/>
        <w:ind w:left="10" w:firstLine="582"/>
        <w:jc w:val="both"/>
        <w:rPr>
          <w:rFonts w:ascii="宋体" w:hAnsi="宋体" w:eastAsia="宋体" w:cs="宋体"/>
          <w:color w:val="333333"/>
          <w:sz w:val="30"/>
          <w:szCs w:val="30"/>
          <w:shd w:val="clear" w:color="auto" w:fill="FFFFFF"/>
        </w:rPr>
      </w:pPr>
      <w:r>
        <w:rPr>
          <w:rFonts w:hint="eastAsia" w:ascii="宋体" w:hAnsi="宋体" w:eastAsia="宋体" w:cs="宋体"/>
          <w:color w:val="333333"/>
          <w:sz w:val="30"/>
          <w:szCs w:val="30"/>
          <w:shd w:val="clear" w:color="auto" w:fill="FFFFFF"/>
        </w:rPr>
        <w:t>十、《项目支出绩效目标表》</w:t>
      </w:r>
    </w:p>
    <w:p>
      <w:pPr>
        <w:pStyle w:val="3"/>
        <w:widowControl/>
        <w:shd w:val="clear" w:color="auto" w:fill="FFFFFF"/>
        <w:spacing w:beforeAutospacing="0" w:afterAutospacing="0" w:line="600" w:lineRule="atLeast"/>
        <w:ind w:firstLine="301" w:firstLineChars="100"/>
        <w:jc w:val="both"/>
        <w:rPr>
          <w:rFonts w:ascii="黑体" w:hAnsi="黑体" w:eastAsia="黑体" w:cs="黑体"/>
          <w:b/>
          <w:bCs/>
          <w:sz w:val="44"/>
          <w:szCs w:val="44"/>
          <w:shd w:val="clear" w:color="auto" w:fill="FFFFFF"/>
        </w:rPr>
      </w:pPr>
      <w:r>
        <w:rPr>
          <w:rFonts w:hint="eastAsia" w:ascii="宋体" w:hAnsi="宋体" w:eastAsia="宋体" w:cs="宋体"/>
          <w:b/>
          <w:bCs/>
          <w:color w:val="333333"/>
          <w:sz w:val="30"/>
          <w:szCs w:val="30"/>
          <w:shd w:val="clear" w:color="auto" w:fill="FFFFFF"/>
        </w:rPr>
        <w:t>第四部分 名词解释</w:t>
      </w:r>
    </w:p>
    <w:p>
      <w:pPr>
        <w:pStyle w:val="3"/>
        <w:widowControl/>
        <w:shd w:val="clear" w:color="auto" w:fill="FFFFFF"/>
        <w:spacing w:beforeAutospacing="0" w:afterAutospacing="0" w:line="600" w:lineRule="atLeast"/>
        <w:jc w:val="center"/>
        <w:rPr>
          <w:rFonts w:ascii="黑体" w:hAnsi="黑体" w:eastAsia="黑体" w:cs="黑体"/>
          <w:sz w:val="36"/>
          <w:szCs w:val="36"/>
        </w:rPr>
      </w:pPr>
      <w:r>
        <w:rPr>
          <w:rFonts w:hint="eastAsia" w:ascii="黑体" w:hAnsi="黑体" w:eastAsia="黑体" w:cs="黑体"/>
          <w:sz w:val="36"/>
          <w:szCs w:val="36"/>
          <w:shd w:val="clear" w:color="auto" w:fill="FFFFFF"/>
        </w:rPr>
        <w:t>第一部分  兴国县教育科技体育局部门概况</w:t>
      </w:r>
    </w:p>
    <w:p>
      <w:pPr>
        <w:pStyle w:val="3"/>
        <w:widowControl/>
        <w:shd w:val="clear" w:color="auto" w:fill="FFFFFF"/>
        <w:spacing w:beforeAutospacing="0" w:afterAutospacing="0" w:line="600" w:lineRule="atLeast"/>
        <w:ind w:firstLine="602"/>
        <w:jc w:val="center"/>
        <w:rPr>
          <w:rFonts w:ascii="宋体" w:hAnsi="宋体" w:eastAsia="宋体" w:cs="宋体"/>
          <w:b/>
          <w:bCs/>
          <w:sz w:val="30"/>
          <w:szCs w:val="30"/>
          <w:shd w:val="clear" w:color="auto" w:fill="FFFFFF"/>
        </w:rPr>
      </w:pPr>
    </w:p>
    <w:p>
      <w:pPr>
        <w:pStyle w:val="3"/>
        <w:widowControl/>
        <w:numPr>
          <w:ilvl w:val="0"/>
          <w:numId w:val="1"/>
        </w:numPr>
        <w:shd w:val="clear" w:color="auto" w:fill="FFFFFF"/>
        <w:spacing w:beforeAutospacing="0" w:afterAutospacing="0" w:line="600" w:lineRule="atLeast"/>
        <w:ind w:firstLine="602"/>
        <w:jc w:val="both"/>
        <w:rPr>
          <w:rFonts w:ascii="宋体" w:hAnsi="宋体" w:eastAsia="宋体" w:cs="宋体"/>
          <w:b/>
          <w:bCs/>
          <w:sz w:val="32"/>
          <w:szCs w:val="32"/>
          <w:shd w:val="clear" w:color="auto" w:fill="FFFFFF"/>
        </w:rPr>
      </w:pPr>
      <w:r>
        <w:rPr>
          <w:rFonts w:hint="eastAsia" w:ascii="宋体" w:hAnsi="宋体" w:eastAsia="宋体" w:cs="宋体"/>
          <w:b/>
          <w:bCs/>
          <w:sz w:val="32"/>
          <w:szCs w:val="32"/>
          <w:shd w:val="clear" w:color="auto" w:fill="FFFFFF"/>
        </w:rPr>
        <w:t>部门主要职责</w:t>
      </w:r>
    </w:p>
    <w:p>
      <w:pPr>
        <w:ind w:firstLine="600" w:firstLineChars="200"/>
        <w:rPr>
          <w:rFonts w:ascii="仿宋" w:hAnsi="仿宋" w:eastAsia="仿宋"/>
          <w:sz w:val="32"/>
          <w:szCs w:val="32"/>
        </w:rPr>
      </w:pPr>
      <w:r>
        <w:rPr>
          <w:rFonts w:hint="eastAsia" w:ascii="黑体" w:hAnsi="黑体" w:eastAsia="黑体"/>
          <w:sz w:val="30"/>
          <w:szCs w:val="30"/>
        </w:rPr>
        <w:t xml:space="preserve"> </w:t>
      </w:r>
      <w:r>
        <w:rPr>
          <w:rFonts w:hint="eastAsia" w:ascii="仿宋" w:hAnsi="仿宋" w:eastAsia="仿宋"/>
          <w:sz w:val="32"/>
          <w:szCs w:val="32"/>
        </w:rPr>
        <w:t>（一）贯彻执行党和国家有关教育、科技、体育的方针政策和法律法规，研究全县教育科技体育改革与发展的重大问题，综合指导和协调全县教育科技体育管理工作。</w:t>
      </w:r>
    </w:p>
    <w:p>
      <w:pPr>
        <w:ind w:firstLine="640" w:firstLineChars="200"/>
        <w:rPr>
          <w:rFonts w:ascii="仿宋" w:hAnsi="仿宋" w:eastAsia="仿宋"/>
          <w:sz w:val="32"/>
          <w:szCs w:val="32"/>
        </w:rPr>
      </w:pPr>
      <w:r>
        <w:rPr>
          <w:rFonts w:hint="eastAsia" w:ascii="仿宋" w:hAnsi="仿宋" w:eastAsia="仿宋"/>
          <w:sz w:val="32"/>
          <w:szCs w:val="32"/>
        </w:rPr>
        <w:t>（二）承担县委教育工作领导小组具体工作，组织研究、拟订全县教育系统党的建设和思想政治建设重大政策、教育发展规划、重大改革方案，协调督促落实县委教育工作领导小组决定事项、工作部署和要求等。</w:t>
      </w:r>
    </w:p>
    <w:p>
      <w:pPr>
        <w:ind w:firstLine="640" w:firstLineChars="200"/>
        <w:rPr>
          <w:rFonts w:ascii="仿宋" w:hAnsi="仿宋" w:eastAsia="仿宋"/>
          <w:sz w:val="32"/>
          <w:szCs w:val="32"/>
        </w:rPr>
      </w:pPr>
      <w:r>
        <w:rPr>
          <w:rFonts w:hint="eastAsia" w:ascii="仿宋" w:hAnsi="仿宋" w:eastAsia="仿宋"/>
          <w:sz w:val="32"/>
          <w:szCs w:val="32"/>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pPr>
        <w:ind w:firstLine="640" w:firstLineChars="200"/>
        <w:rPr>
          <w:rFonts w:ascii="仿宋" w:hAnsi="仿宋" w:eastAsia="仿宋"/>
          <w:sz w:val="32"/>
          <w:szCs w:val="32"/>
        </w:rPr>
      </w:pPr>
      <w:r>
        <w:rPr>
          <w:rFonts w:hint="eastAsia" w:ascii="仿宋" w:hAnsi="仿宋" w:eastAsia="仿宋"/>
          <w:sz w:val="32"/>
          <w:szCs w:val="32"/>
        </w:rPr>
        <w:t>（四）统筹管理教育科技体育经费，会同有关部门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pPr>
        <w:ind w:firstLine="640" w:firstLineChars="200"/>
        <w:rPr>
          <w:rFonts w:ascii="仿宋" w:hAnsi="仿宋" w:eastAsia="仿宋"/>
          <w:sz w:val="32"/>
          <w:szCs w:val="32"/>
        </w:rPr>
      </w:pPr>
      <w:r>
        <w:rPr>
          <w:rFonts w:hint="eastAsia" w:ascii="仿宋" w:hAnsi="仿宋" w:eastAsia="仿宋"/>
          <w:sz w:val="32"/>
          <w:szCs w:val="32"/>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小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pPr>
        <w:ind w:firstLine="640" w:firstLineChars="200"/>
        <w:rPr>
          <w:rFonts w:ascii="仿宋" w:hAnsi="仿宋" w:eastAsia="仿宋"/>
          <w:sz w:val="32"/>
          <w:szCs w:val="32"/>
        </w:rPr>
      </w:pPr>
      <w:r>
        <w:rPr>
          <w:rFonts w:hint="eastAsia" w:ascii="仿宋" w:hAnsi="仿宋" w:eastAsia="仿宋"/>
          <w:sz w:val="32"/>
          <w:szCs w:val="32"/>
        </w:rPr>
        <w:t>（六）指导教育督导工作。受县政府委托，负责对同级人民政府有关部门、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pPr>
        <w:ind w:firstLine="640" w:firstLineChars="200"/>
        <w:rPr>
          <w:rFonts w:ascii="仿宋" w:hAnsi="仿宋" w:eastAsia="仿宋"/>
          <w:sz w:val="32"/>
          <w:szCs w:val="32"/>
        </w:rPr>
      </w:pPr>
      <w:r>
        <w:rPr>
          <w:rFonts w:hint="eastAsia" w:ascii="仿宋" w:hAnsi="仿宋" w:eastAsia="仿宋"/>
          <w:sz w:val="32"/>
          <w:szCs w:val="32"/>
        </w:rPr>
        <w:t>（七）统筹规划、协调管理全县社会力量办学工作。审核或审批社会力量举办的普通中学、职业中学、初中、小学和幼儿园，对全县社会力量办学进行指导、管理、监督和评估检查。</w:t>
      </w:r>
    </w:p>
    <w:p>
      <w:pPr>
        <w:ind w:firstLine="640" w:firstLineChars="200"/>
        <w:rPr>
          <w:rFonts w:ascii="仿宋" w:hAnsi="仿宋" w:eastAsia="仿宋"/>
          <w:sz w:val="32"/>
          <w:szCs w:val="32"/>
        </w:rPr>
      </w:pPr>
      <w:r>
        <w:rPr>
          <w:rFonts w:hint="eastAsia" w:ascii="仿宋" w:hAnsi="仿宋" w:eastAsia="仿宋"/>
          <w:sz w:val="32"/>
          <w:szCs w:val="32"/>
        </w:rPr>
        <w:t>（八）主管全县各级各类学校教师工作。负责全县教师资格的认定和管理、专业技术职务评审以及表彰奖励的有关工作。负责基础教育师资的培养及教师和教育管理人员的继续教育工作。会同有关部门研究落实全县学校教职工编制。指导并协调全县各级各类学校人事和分配制度改革。</w:t>
      </w:r>
    </w:p>
    <w:p>
      <w:pPr>
        <w:ind w:firstLine="640" w:firstLineChars="200"/>
        <w:rPr>
          <w:rFonts w:ascii="仿宋" w:hAnsi="仿宋" w:eastAsia="仿宋"/>
          <w:sz w:val="32"/>
          <w:szCs w:val="32"/>
        </w:rPr>
      </w:pPr>
      <w:r>
        <w:rPr>
          <w:rFonts w:hint="eastAsia" w:ascii="仿宋" w:hAnsi="仿宋" w:eastAsia="仿宋"/>
          <w:sz w:val="32"/>
          <w:szCs w:val="32"/>
        </w:rPr>
        <w:t>（九）管理全县普通高等学校和中等专业学校招生考试、成人高等教育招生考试、高等教育自学教育、普通高中毕业会考等工作。</w:t>
      </w:r>
    </w:p>
    <w:p>
      <w:pPr>
        <w:ind w:firstLine="640" w:firstLineChars="200"/>
        <w:rPr>
          <w:rFonts w:ascii="仿宋" w:hAnsi="仿宋" w:eastAsia="仿宋"/>
          <w:sz w:val="32"/>
          <w:szCs w:val="32"/>
        </w:rPr>
      </w:pPr>
      <w:r>
        <w:rPr>
          <w:rFonts w:hint="eastAsia" w:ascii="仿宋" w:hAnsi="仿宋" w:eastAsia="仿宋"/>
          <w:sz w:val="32"/>
          <w:szCs w:val="32"/>
        </w:rPr>
        <w:t>（十）统筹规划、管理全县各级各类学校的思想政治、品德教育、体育卫生与艺术教育、国防教育、科技教育、生态环境保护教育与安全教育管理等工作。</w:t>
      </w:r>
    </w:p>
    <w:p>
      <w:pPr>
        <w:ind w:firstLine="640" w:firstLineChars="200"/>
        <w:rPr>
          <w:rFonts w:ascii="仿宋" w:hAnsi="仿宋" w:eastAsia="仿宋"/>
          <w:sz w:val="32"/>
          <w:szCs w:val="32"/>
        </w:rPr>
      </w:pPr>
      <w:r>
        <w:rPr>
          <w:rFonts w:hint="eastAsia" w:ascii="仿宋" w:hAnsi="仿宋" w:eastAsia="仿宋"/>
          <w:sz w:val="32"/>
          <w:szCs w:val="32"/>
        </w:rPr>
        <w:t>（十一）会同有关部门做好全县普通院校毕业研究生、大中专毕业生就业指导服务和大中专毕业生就业制度改革工作。负责引进国外智力工作，拟订引进国外智力管理办法，并监督实施。</w:t>
      </w:r>
    </w:p>
    <w:p>
      <w:pPr>
        <w:ind w:firstLine="640" w:firstLineChars="200"/>
        <w:rPr>
          <w:rFonts w:ascii="仿宋" w:hAnsi="仿宋" w:eastAsia="仿宋"/>
          <w:sz w:val="32"/>
          <w:szCs w:val="32"/>
        </w:rPr>
      </w:pPr>
      <w:r>
        <w:rPr>
          <w:rFonts w:hint="eastAsia" w:ascii="仿宋" w:hAnsi="仿宋" w:eastAsia="仿宋"/>
          <w:sz w:val="32"/>
          <w:szCs w:val="32"/>
        </w:rPr>
        <w:t>（十二）规划并指导全县各级各类学校的教育科学研究、教学研究和调查研究工作。</w:t>
      </w:r>
    </w:p>
    <w:p>
      <w:pPr>
        <w:ind w:firstLine="640" w:firstLineChars="200"/>
        <w:rPr>
          <w:rFonts w:ascii="仿宋" w:hAnsi="仿宋" w:eastAsia="仿宋"/>
          <w:sz w:val="32"/>
          <w:szCs w:val="32"/>
        </w:rPr>
      </w:pPr>
      <w:r>
        <w:rPr>
          <w:rFonts w:hint="eastAsia" w:ascii="仿宋" w:hAnsi="仿宋" w:eastAsia="仿宋"/>
          <w:sz w:val="32"/>
          <w:szCs w:val="32"/>
        </w:rPr>
        <w:t>（十三）贯彻执行国家语言文字工作的法律法规和方针政策、统筹管理全县语言文字工作，编制全县语言文字工作的中长期规划。指导推广普通话和书写规范字工作。负责普通话和书写规范字测试工作。</w:t>
      </w:r>
    </w:p>
    <w:p>
      <w:pPr>
        <w:ind w:firstLine="640" w:firstLineChars="200"/>
        <w:rPr>
          <w:rFonts w:ascii="仿宋" w:hAnsi="仿宋" w:eastAsia="仿宋"/>
          <w:sz w:val="32"/>
          <w:szCs w:val="32"/>
        </w:rPr>
      </w:pPr>
      <w:r>
        <w:rPr>
          <w:rFonts w:hint="eastAsia" w:ascii="仿宋" w:hAnsi="仿宋" w:eastAsia="仿宋"/>
          <w:sz w:val="32"/>
          <w:szCs w:val="32"/>
        </w:rPr>
        <w:t>（十四）负责全县教育系统的信息化建设工作，指导全县中小学现代化信息技术教育、电化教育、教育技术装备工作；统筹管理全县现代化远程教育工作。</w:t>
      </w:r>
    </w:p>
    <w:p>
      <w:pPr>
        <w:ind w:firstLine="640" w:firstLineChars="200"/>
        <w:rPr>
          <w:rFonts w:ascii="仿宋" w:hAnsi="仿宋" w:eastAsia="仿宋"/>
          <w:sz w:val="32"/>
          <w:szCs w:val="32"/>
        </w:rPr>
      </w:pPr>
      <w:r>
        <w:rPr>
          <w:rFonts w:hint="eastAsia" w:ascii="仿宋" w:hAnsi="仿宋" w:eastAsia="仿宋"/>
          <w:sz w:val="32"/>
          <w:szCs w:val="32"/>
        </w:rPr>
        <w:t>（十五）统筹规划、指导全县中小学勤工俭学、校办产业和风险管理工作。</w:t>
      </w:r>
    </w:p>
    <w:p>
      <w:pPr>
        <w:ind w:firstLine="640" w:firstLineChars="200"/>
        <w:rPr>
          <w:rFonts w:ascii="仿宋" w:hAnsi="仿宋" w:eastAsia="仿宋"/>
          <w:sz w:val="32"/>
          <w:szCs w:val="32"/>
        </w:rPr>
      </w:pPr>
      <w:r>
        <w:rPr>
          <w:rFonts w:hint="eastAsia" w:ascii="仿宋" w:hAnsi="仿宋" w:eastAsia="仿宋"/>
          <w:sz w:val="32"/>
          <w:szCs w:val="32"/>
        </w:rPr>
        <w:t>（十六）负责全县教育科技体育系统对外交流工作。统筹管理全县教育系统对外交流和国际合作工作。贯彻执行国家对外科技合作与交流的方针、政策，组织拟订对外科技合作与交流的措施，组织协调全县科技合作与交流工作。承办上级体育部门交办的国际、国内竞赛活动，做好对外体育合作与交流。</w:t>
      </w:r>
    </w:p>
    <w:p>
      <w:pPr>
        <w:ind w:firstLine="640" w:firstLineChars="200"/>
        <w:rPr>
          <w:rFonts w:ascii="仿宋" w:hAnsi="仿宋" w:eastAsia="仿宋"/>
          <w:sz w:val="32"/>
          <w:szCs w:val="32"/>
        </w:rPr>
      </w:pPr>
      <w:r>
        <w:rPr>
          <w:rFonts w:hint="eastAsia" w:ascii="仿宋" w:hAnsi="仿宋" w:eastAsia="仿宋"/>
          <w:sz w:val="32"/>
          <w:szCs w:val="32"/>
        </w:rPr>
        <w:t>（十七）负责组织制定实施全县各类科技计划和重大科技专项工程，负责统筹协调基础研究、应用技术研究和社会公益性技术研究以及国民经济与社会发展重大关键技术攻关。会同有关部门组织科技重大专项实施中的方案论证、综合平衡、评估验收和指导相关配套措施，对科技重大专项实施中的重大调整提出意见；负责编制并组织实施全县科技促进社会发展计划，制订相关重要措施和办法，协调农村科技体系建设，组织科技促进社会发展的关键技术研究和成果示范，促进以改善民生为重点的社会事业发展。</w:t>
      </w:r>
    </w:p>
    <w:p>
      <w:pPr>
        <w:ind w:firstLine="640" w:firstLineChars="200"/>
        <w:rPr>
          <w:rFonts w:ascii="仿宋" w:hAnsi="仿宋" w:eastAsia="仿宋"/>
          <w:sz w:val="32"/>
          <w:szCs w:val="32"/>
        </w:rPr>
      </w:pPr>
      <w:r>
        <w:rPr>
          <w:rFonts w:hint="eastAsia" w:ascii="仿宋" w:hAnsi="仿宋" w:eastAsia="仿宋"/>
          <w:sz w:val="32"/>
          <w:szCs w:val="32"/>
        </w:rPr>
        <w:t>（十八）负责科技奖励评审的组织工作。指导科技成果转化工作，组织相关重大科技成果应用示范，推动企业自主创新能力。引导高新技术发展及产业化工作，指导和协调全县中小型企业技术创新工作，培育科技型中小企业。负责相关科技评审管理和科技统计管理，负责引导全县专利创造和城管转化工作，组织开展全县国防科技动员工作。</w:t>
      </w:r>
    </w:p>
    <w:p>
      <w:pPr>
        <w:ind w:firstLine="640" w:firstLineChars="200"/>
        <w:rPr>
          <w:rFonts w:ascii="仿宋" w:hAnsi="仿宋" w:eastAsia="仿宋"/>
          <w:sz w:val="32"/>
          <w:szCs w:val="32"/>
        </w:rPr>
      </w:pPr>
      <w:r>
        <w:rPr>
          <w:rFonts w:hint="eastAsia" w:ascii="仿宋" w:hAnsi="仿宋" w:eastAsia="仿宋"/>
          <w:sz w:val="32"/>
          <w:szCs w:val="32"/>
        </w:rPr>
        <w:t>（十九）拟订全县体育工作的政策措施和体育事业发展规划，并组织实施；负责推动多元化体育服务体系建设，推进体育公共服务和体育体制改革。规范体育服务管理，推动体育标准化建设。负责体育彩票发行管理工作。</w:t>
      </w:r>
    </w:p>
    <w:p>
      <w:pPr>
        <w:ind w:firstLine="640" w:firstLineChars="200"/>
        <w:rPr>
          <w:rFonts w:ascii="仿宋" w:hAnsi="仿宋" w:eastAsia="仿宋"/>
          <w:sz w:val="32"/>
          <w:szCs w:val="32"/>
        </w:rPr>
      </w:pPr>
      <w:r>
        <w:rPr>
          <w:rFonts w:hint="eastAsia" w:ascii="仿宋" w:hAnsi="仿宋" w:eastAsia="仿宋"/>
          <w:sz w:val="32"/>
          <w:szCs w:val="32"/>
        </w:rPr>
        <w:t>（二十）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pPr>
        <w:ind w:firstLine="640" w:firstLineChars="200"/>
        <w:rPr>
          <w:rFonts w:ascii="仿宋" w:hAnsi="仿宋" w:eastAsia="仿宋"/>
          <w:sz w:val="32"/>
          <w:szCs w:val="32"/>
        </w:rPr>
      </w:pPr>
      <w:r>
        <w:rPr>
          <w:rFonts w:hint="eastAsia" w:ascii="仿宋" w:hAnsi="仿宋" w:eastAsia="仿宋"/>
          <w:sz w:val="32"/>
          <w:szCs w:val="32"/>
        </w:rPr>
        <w:t>（二十一）负责对各类体育社团、各类体育学校、体育项目俱乐部的资格审查、业务指导工作。负责对高危体育项目的审批工作。</w:t>
      </w:r>
    </w:p>
    <w:p>
      <w:pPr>
        <w:ind w:firstLine="640" w:firstLineChars="200"/>
        <w:rPr>
          <w:rFonts w:ascii="仿宋" w:hAnsi="仿宋" w:eastAsia="仿宋"/>
          <w:sz w:val="32"/>
          <w:szCs w:val="32"/>
        </w:rPr>
      </w:pPr>
      <w:r>
        <w:rPr>
          <w:rFonts w:hint="eastAsia" w:ascii="仿宋" w:hAnsi="仿宋" w:eastAsia="仿宋"/>
          <w:sz w:val="32"/>
          <w:szCs w:val="32"/>
        </w:rPr>
        <w:t>（二十二）指导全县教育科技体育系统干部人事制度改革、统战工作、人才工作和干部培训工作。指导全县教育科技体育系统党建、廉政建设工作。负责教育科技体育系统审计工作。负责教育科技体育系统信访和群众工作。</w:t>
      </w:r>
    </w:p>
    <w:p>
      <w:pPr>
        <w:ind w:firstLine="640" w:firstLineChars="200"/>
        <w:rPr>
          <w:rFonts w:ascii="仿宋" w:hAnsi="仿宋" w:eastAsia="仿宋"/>
          <w:sz w:val="32"/>
          <w:szCs w:val="32"/>
        </w:rPr>
      </w:pPr>
      <w:r>
        <w:rPr>
          <w:rFonts w:hint="eastAsia" w:ascii="仿宋" w:hAnsi="仿宋" w:eastAsia="仿宋"/>
          <w:sz w:val="32"/>
          <w:szCs w:val="32"/>
        </w:rPr>
        <w:t>（二十三）负责全县教育科技体育系统安全生产监督管理工作。</w:t>
      </w:r>
    </w:p>
    <w:p>
      <w:pPr>
        <w:ind w:firstLine="640" w:firstLineChars="200"/>
        <w:rPr>
          <w:rFonts w:ascii="仿宋" w:hAnsi="仿宋" w:eastAsia="仿宋"/>
          <w:sz w:val="32"/>
          <w:szCs w:val="32"/>
        </w:rPr>
      </w:pPr>
      <w:r>
        <w:rPr>
          <w:rFonts w:hint="eastAsia" w:ascii="仿宋" w:hAnsi="仿宋" w:eastAsia="仿宋"/>
          <w:sz w:val="32"/>
          <w:szCs w:val="32"/>
        </w:rPr>
        <w:t>（二十四）完成县委、县政府和县委教育工作领导小组交办的其它工作任务。</w:t>
      </w:r>
    </w:p>
    <w:p>
      <w:pPr>
        <w:ind w:firstLine="630"/>
        <w:jc w:val="left"/>
        <w:rPr>
          <w:rFonts w:ascii="黑体" w:hAnsi="黑体" w:eastAsia="黑体"/>
          <w:sz w:val="30"/>
          <w:szCs w:val="30"/>
        </w:rPr>
      </w:pPr>
    </w:p>
    <w:p>
      <w:pPr>
        <w:ind w:firstLine="630"/>
        <w:jc w:val="left"/>
        <w:rPr>
          <w:rFonts w:ascii="黑体" w:hAnsi="黑体" w:eastAsia="黑体"/>
          <w:sz w:val="30"/>
          <w:szCs w:val="30"/>
        </w:rPr>
      </w:pPr>
      <w:r>
        <w:rPr>
          <w:rFonts w:hint="eastAsia" w:ascii="黑体" w:hAnsi="黑体" w:eastAsia="黑体"/>
          <w:sz w:val="30"/>
          <w:szCs w:val="30"/>
        </w:rPr>
        <w:t>二、部门基本情况</w:t>
      </w:r>
    </w:p>
    <w:p>
      <w:pPr>
        <w:ind w:firstLine="630"/>
        <w:jc w:val="left"/>
        <w:rPr>
          <w:rFonts w:ascii="仿宋" w:hAnsi="仿宋" w:eastAsia="仿宋"/>
          <w:sz w:val="32"/>
          <w:szCs w:val="32"/>
        </w:rPr>
      </w:pPr>
      <w:r>
        <w:rPr>
          <w:rFonts w:hint="eastAsia" w:ascii="仿宋" w:hAnsi="仿宋" w:eastAsia="仿宋"/>
          <w:sz w:val="32"/>
          <w:szCs w:val="32"/>
        </w:rPr>
        <w:t>纳入本套部门预算汇编范围的单位共74个，包括：1个机关行政单位和73个下属事业单位。详见下表：</w:t>
      </w:r>
    </w:p>
    <w:p>
      <w:pPr>
        <w:ind w:firstLine="630"/>
        <w:jc w:val="left"/>
        <w:rPr>
          <w:rFonts w:ascii="仿宋" w:hAnsi="仿宋" w:eastAsia="仿宋"/>
          <w:sz w:val="32"/>
          <w:szCs w:val="32"/>
        </w:rPr>
      </w:pPr>
      <w:r>
        <w:drawing>
          <wp:inline distT="0" distB="0" distL="114300" distR="114300">
            <wp:extent cx="5476240" cy="6068060"/>
            <wp:effectExtent l="0" t="0" r="10160" b="889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4"/>
                    <a:stretch>
                      <a:fillRect/>
                    </a:stretch>
                  </pic:blipFill>
                  <pic:spPr>
                    <a:xfrm>
                      <a:off x="0" y="0"/>
                      <a:ext cx="5476240" cy="6068060"/>
                    </a:xfrm>
                    <a:prstGeom prst="rect">
                      <a:avLst/>
                    </a:prstGeom>
                    <a:noFill/>
                    <a:ln>
                      <a:noFill/>
                    </a:ln>
                  </pic:spPr>
                </pic:pic>
              </a:graphicData>
            </a:graphic>
          </wp:inline>
        </w:drawing>
      </w:r>
    </w:p>
    <w:p>
      <w:pPr>
        <w:ind w:firstLine="640" w:firstLineChars="200"/>
        <w:jc w:val="left"/>
        <w:rPr>
          <w:rFonts w:ascii="仿宋_GB2312" w:hAnsi="仿宋" w:eastAsia="仿宋_GB2312"/>
          <w:sz w:val="32"/>
          <w:szCs w:val="32"/>
        </w:rPr>
      </w:pPr>
      <w:r>
        <w:rPr>
          <w:rFonts w:hint="eastAsia" w:ascii="仿宋" w:hAnsi="仿宋" w:eastAsia="仿宋"/>
          <w:sz w:val="32"/>
          <w:szCs w:val="32"/>
        </w:rPr>
        <w:t>本部门2022年年初实有10872人，其中在职人员8422人，离休人员 7人，退休人员 2443人,年末其他人员 0人；年末学生人数173627人。</w:t>
      </w:r>
    </w:p>
    <w:p>
      <w:pPr>
        <w:pStyle w:val="3"/>
        <w:widowControl/>
        <w:shd w:val="clear" w:color="auto" w:fill="FFFFFF"/>
        <w:spacing w:beforeAutospacing="0" w:afterAutospacing="0"/>
        <w:jc w:val="center"/>
        <w:rPr>
          <w:rFonts w:ascii="黑体" w:hAnsi="黑体" w:eastAsia="黑体" w:cs="黑体"/>
          <w:b/>
          <w:bCs/>
          <w:sz w:val="32"/>
          <w:szCs w:val="32"/>
          <w:shd w:val="clear" w:color="auto" w:fill="FFFFFF"/>
        </w:rPr>
      </w:pPr>
    </w:p>
    <w:p>
      <w:pPr>
        <w:pStyle w:val="3"/>
        <w:widowControl/>
        <w:shd w:val="clear" w:color="auto" w:fill="FFFFFF"/>
        <w:spacing w:beforeAutospacing="0" w:afterAutospacing="0"/>
        <w:jc w:val="center"/>
        <w:rPr>
          <w:rFonts w:ascii="黑体" w:hAnsi="黑体" w:eastAsia="黑体" w:cs="黑体"/>
          <w:sz w:val="36"/>
          <w:szCs w:val="36"/>
          <w:shd w:val="clear" w:color="auto" w:fill="FFFFFF"/>
        </w:rPr>
      </w:pPr>
      <w:r>
        <w:rPr>
          <w:rFonts w:hint="eastAsia" w:ascii="黑体" w:hAnsi="黑体" w:eastAsia="黑体" w:cs="黑体"/>
          <w:sz w:val="36"/>
          <w:szCs w:val="36"/>
          <w:shd w:val="clear" w:color="auto" w:fill="FFFFFF"/>
        </w:rPr>
        <w:t>第二部分 2022年部门预算情况说明</w:t>
      </w:r>
    </w:p>
    <w:p>
      <w:pPr>
        <w:pStyle w:val="3"/>
        <w:widowControl/>
        <w:shd w:val="clear" w:color="auto" w:fill="FFFFFF"/>
        <w:spacing w:beforeAutospacing="0" w:afterAutospacing="0"/>
        <w:jc w:val="center"/>
        <w:rPr>
          <w:rFonts w:ascii="宋体" w:hAnsi="宋体" w:eastAsia="宋体" w:cs="宋体"/>
          <w:b/>
          <w:bCs/>
          <w:sz w:val="36"/>
          <w:szCs w:val="36"/>
          <w:shd w:val="clear" w:color="auto" w:fill="FFFFFF"/>
        </w:rPr>
      </w:pPr>
    </w:p>
    <w:p>
      <w:pPr>
        <w:pStyle w:val="3"/>
        <w:widowControl/>
        <w:shd w:val="clear" w:color="auto" w:fill="FFFFFF"/>
        <w:spacing w:beforeAutospacing="0" w:afterAutospacing="0"/>
        <w:ind w:firstLine="643"/>
        <w:jc w:val="both"/>
        <w:rPr>
          <w:rFonts w:ascii="黑体" w:hAnsi="黑体" w:eastAsia="黑体" w:cs="黑体"/>
          <w:sz w:val="32"/>
          <w:szCs w:val="32"/>
        </w:rPr>
      </w:pPr>
      <w:r>
        <w:rPr>
          <w:rFonts w:hint="eastAsia" w:ascii="黑体" w:hAnsi="黑体" w:eastAsia="黑体" w:cs="黑体"/>
          <w:b/>
          <w:bCs/>
          <w:sz w:val="32"/>
          <w:szCs w:val="32"/>
          <w:shd w:val="clear" w:color="auto" w:fill="FFFFFF"/>
        </w:rPr>
        <w:t> </w:t>
      </w:r>
      <w:r>
        <w:rPr>
          <w:rFonts w:hint="eastAsia" w:ascii="黑体" w:hAnsi="黑体" w:eastAsia="黑体" w:cs="黑体"/>
          <w:sz w:val="32"/>
          <w:szCs w:val="32"/>
          <w:shd w:val="clear" w:color="auto" w:fill="FFFFFF"/>
        </w:rPr>
        <w:t>一、2022年部门预算收支情况说明</w:t>
      </w:r>
    </w:p>
    <w:p>
      <w:pPr>
        <w:pStyle w:val="3"/>
        <w:widowControl/>
        <w:shd w:val="clear" w:color="auto" w:fill="FFFFFF"/>
        <w:spacing w:beforeAutospacing="0" w:afterAutospacing="0"/>
        <w:ind w:firstLine="602"/>
        <w:jc w:val="both"/>
        <w:rPr>
          <w:rFonts w:ascii="宋体" w:hAnsi="宋体" w:eastAsia="宋体" w:cs="宋体"/>
          <w:sz w:val="32"/>
          <w:szCs w:val="32"/>
        </w:rPr>
      </w:pPr>
      <w:r>
        <w:rPr>
          <w:rFonts w:hint="eastAsia" w:ascii="宋体" w:hAnsi="宋体" w:eastAsia="宋体" w:cs="宋体"/>
          <w:b/>
          <w:bCs/>
          <w:sz w:val="32"/>
          <w:szCs w:val="32"/>
          <w:shd w:val="clear" w:color="auto" w:fill="FFFFFF"/>
        </w:rPr>
        <w:t>（一）收入预算情况</w:t>
      </w:r>
    </w:p>
    <w:p>
      <w:pPr>
        <w:pStyle w:val="3"/>
        <w:widowControl/>
        <w:shd w:val="clear" w:color="auto" w:fill="FFFFFF"/>
        <w:spacing w:beforeAutospacing="0" w:afterAutospacing="0"/>
        <w:ind w:firstLine="600"/>
        <w:jc w:val="both"/>
        <w:rPr>
          <w:rFonts w:ascii="Calibri" w:hAnsi="Calibri" w:cs="Calibri"/>
          <w:color w:val="FF0000"/>
          <w:sz w:val="21"/>
          <w:szCs w:val="21"/>
        </w:rPr>
      </w:pPr>
      <w:r>
        <w:rPr>
          <w:rFonts w:hint="eastAsia" w:ascii="仿宋" w:hAnsi="仿宋" w:eastAsia="仿宋" w:cs="仿宋"/>
          <w:sz w:val="30"/>
          <w:szCs w:val="30"/>
          <w:shd w:val="clear" w:color="auto" w:fill="FFFFFF"/>
        </w:rPr>
        <w:t>2022年兴国县教科技体系统收入预算总额为250,806.58 万元，</w:t>
      </w:r>
      <w:r>
        <w:rPr>
          <w:rFonts w:hint="eastAsia" w:ascii="仿宋" w:hAnsi="仿宋" w:eastAsia="仿宋" w:cs="仿宋"/>
          <w:sz w:val="30"/>
          <w:szCs w:val="30"/>
        </w:rPr>
        <w:t>较上年预算安排增加143547.38万元，增长133.83%</w:t>
      </w:r>
      <w:r>
        <w:rPr>
          <w:rFonts w:hint="eastAsia" w:ascii="仿宋" w:hAnsi="仿宋" w:eastAsia="仿宋" w:cs="仿宋"/>
          <w:sz w:val="30"/>
          <w:szCs w:val="30"/>
          <w:shd w:val="clear" w:color="auto" w:fill="FFFFFF"/>
        </w:rPr>
        <w:t>。其中：财政拨款收入114314.92 万元（其中：政府性基金收入300万元），教育收费资金收入50854.54 万元，事业收入6465.90 万元，事业单位经营收入8390.61 万元，其他收入26746.35 万元，附属单位上缴收入30万元，上级补助收入7219.39万元，上年结转（结余）36784.88万元。较上年预算 107259.2万元，增长133%。</w:t>
      </w:r>
    </w:p>
    <w:p>
      <w:pPr>
        <w:pStyle w:val="3"/>
        <w:widowControl/>
        <w:shd w:val="clear" w:color="auto" w:fill="FFFFFF"/>
        <w:spacing w:beforeAutospacing="0" w:afterAutospacing="0"/>
        <w:ind w:firstLine="602"/>
        <w:jc w:val="both"/>
        <w:rPr>
          <w:rFonts w:ascii="宋体" w:hAnsi="宋体" w:eastAsia="宋体" w:cs="宋体"/>
          <w:sz w:val="32"/>
          <w:szCs w:val="32"/>
        </w:rPr>
      </w:pPr>
      <w:r>
        <w:rPr>
          <w:rFonts w:hint="eastAsia" w:ascii="宋体" w:hAnsi="宋体" w:eastAsia="宋体" w:cs="宋体"/>
          <w:b/>
          <w:bCs/>
          <w:sz w:val="32"/>
          <w:szCs w:val="32"/>
          <w:shd w:val="clear" w:color="auto" w:fill="FFFFFF"/>
        </w:rPr>
        <w:t>（二）支出预算情况</w:t>
      </w:r>
    </w:p>
    <w:p>
      <w:pPr>
        <w:pStyle w:val="3"/>
        <w:widowControl/>
        <w:shd w:val="clear" w:color="auto" w:fill="FFFFFF"/>
        <w:spacing w:beforeAutospacing="0" w:afterAutospacing="0"/>
        <w:ind w:firstLine="600"/>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2022年兴国县教科技体系统支出预算总额为250,806.58万元，</w:t>
      </w:r>
      <w:r>
        <w:rPr>
          <w:rFonts w:hint="eastAsia" w:ascii="仿宋" w:hAnsi="仿宋" w:eastAsia="仿宋" w:cs="仿宋"/>
          <w:sz w:val="30"/>
          <w:szCs w:val="30"/>
        </w:rPr>
        <w:t>较上年预算安排增加</w:t>
      </w:r>
      <w:r>
        <w:rPr>
          <w:rFonts w:hint="eastAsia" w:ascii="仿宋" w:hAnsi="仿宋" w:eastAsia="仿宋" w:cs="仿宋"/>
          <w:sz w:val="30"/>
          <w:szCs w:val="30"/>
          <w:shd w:val="clear" w:color="auto" w:fill="FFFFFF"/>
        </w:rPr>
        <w:t xml:space="preserve"> 143547.38万元，增长133.83%。其中：</w:t>
      </w:r>
    </w:p>
    <w:p>
      <w:pPr>
        <w:pStyle w:val="3"/>
        <w:widowControl/>
        <w:shd w:val="clear" w:color="auto" w:fill="FFFFFF"/>
        <w:spacing w:beforeAutospacing="0" w:afterAutospacing="0"/>
        <w:ind w:firstLine="600"/>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按资金性质划分：2022年财政拨款支出114314.92万元，占比45.6%，；教育收费支出50854.54万元，占比20.2%；事业支出6465.90万元，占比2.6%；经营支出8390.61万元，占比3.3%；上级补助支出7219.39万元，占比2.9%；上年结转财政拨款36784.88万元，占比14.7%；其他支出26776.35万元，占比10.7%。</w:t>
      </w:r>
    </w:p>
    <w:p>
      <w:pPr>
        <w:pStyle w:val="3"/>
        <w:widowControl/>
        <w:shd w:val="clear" w:color="auto" w:fill="FFFFFF"/>
        <w:spacing w:beforeAutospacing="0" w:afterAutospacing="0"/>
        <w:ind w:firstLine="600"/>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按支出功能科目划分：教育支出167267.57万元，占比66.7%；科学技术支出219万元，占比0.1%；社会保障与就业12326.71元，占比4.9%；文化旅游体育与传媒支出68.97万元，占比0%；卫生健康支出7756.67万元，占比3.1%；节能环保支出1.74万元，占比0%；城乡社区支出4938.84万元，占比2.0%；农林水支出81.26万元，占比0%，援助其他地区支出129.26万元，占比0.1%；住房保障支出9275.39万元，占比3.7%； 一般公共服务支出1.61万元，占比0%；其它支出48739.57万元，占比19.4%。</w:t>
      </w:r>
    </w:p>
    <w:p>
      <w:pPr>
        <w:pStyle w:val="3"/>
        <w:widowControl/>
        <w:shd w:val="clear" w:color="auto" w:fill="FFFFFF"/>
        <w:spacing w:beforeAutospacing="0" w:afterAutospacing="0"/>
        <w:ind w:firstLine="600" w:firstLineChars="200"/>
        <w:jc w:val="both"/>
        <w:rPr>
          <w:rFonts w:ascii="Calibri" w:hAnsi="Calibri" w:eastAsia="仿宋" w:cs="Calibri"/>
          <w:sz w:val="21"/>
          <w:szCs w:val="21"/>
        </w:rPr>
      </w:pPr>
      <w:r>
        <w:rPr>
          <w:rFonts w:hint="eastAsia" w:ascii="仿宋" w:hAnsi="仿宋" w:eastAsia="仿宋" w:cs="仿宋"/>
          <w:sz w:val="30"/>
          <w:szCs w:val="30"/>
          <w:shd w:val="clear" w:color="auto" w:fill="FFFFFF"/>
        </w:rPr>
        <w:t>按支出项目经济分类划分：基本支出99891.46万元，其中：其中：工资福利支出84121.88万元，占比84.21%；商品和服务支出14681.65万元，占比14.70%；对个人和家庭的补助支出799.81万元，占比0.8%；资本性支出288.13万元，占比0.29%。</w:t>
      </w:r>
    </w:p>
    <w:p>
      <w:pPr>
        <w:pStyle w:val="3"/>
        <w:widowControl/>
        <w:shd w:val="clear" w:color="auto" w:fill="FFFFFF"/>
        <w:spacing w:beforeAutospacing="0" w:afterAutospacing="0"/>
        <w:jc w:val="both"/>
        <w:rPr>
          <w:rFonts w:ascii="仿宋" w:hAnsi="仿宋" w:eastAsia="仿宋" w:cs="仿宋"/>
          <w:color w:val="FF0000"/>
          <w:sz w:val="30"/>
          <w:szCs w:val="30"/>
          <w:shd w:val="clear" w:color="auto" w:fill="FFFFFF"/>
        </w:rPr>
      </w:pPr>
      <w:r>
        <w:rPr>
          <w:rFonts w:hint="eastAsia" w:ascii="仿宋" w:hAnsi="仿宋" w:eastAsia="仿宋" w:cs="仿宋"/>
          <w:sz w:val="30"/>
          <w:szCs w:val="30"/>
          <w:shd w:val="clear" w:color="auto" w:fill="FFFFFF"/>
        </w:rPr>
        <w:t>项目支出14123.46万元，占比15.79%</w:t>
      </w:r>
    </w:p>
    <w:p>
      <w:pPr>
        <w:pStyle w:val="3"/>
        <w:widowControl/>
        <w:shd w:val="clear" w:color="auto" w:fill="FFFFFF"/>
        <w:spacing w:beforeAutospacing="0" w:afterAutospacing="0"/>
        <w:ind w:firstLine="602"/>
        <w:jc w:val="both"/>
        <w:rPr>
          <w:rFonts w:ascii="宋体" w:hAnsi="宋体" w:eastAsia="宋体" w:cs="宋体"/>
          <w:sz w:val="32"/>
          <w:szCs w:val="32"/>
        </w:rPr>
      </w:pPr>
      <w:r>
        <w:rPr>
          <w:rFonts w:hint="eastAsia" w:ascii="宋体" w:hAnsi="宋体" w:eastAsia="宋体" w:cs="宋体"/>
          <w:b/>
          <w:bCs/>
          <w:sz w:val="32"/>
          <w:szCs w:val="32"/>
          <w:shd w:val="clear" w:color="auto" w:fill="FFFFFF"/>
        </w:rPr>
        <w:t>（三）财政拨款支出情况</w:t>
      </w:r>
    </w:p>
    <w:p>
      <w:pPr>
        <w:pStyle w:val="3"/>
        <w:widowControl/>
        <w:shd w:val="clear" w:color="auto" w:fill="FFFFFF"/>
        <w:spacing w:beforeAutospacing="0" w:afterAutospacing="0"/>
        <w:ind w:firstLine="600"/>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2022年预算兴国县教科技体系统财政拨款支出为114014.92万元，其中：基本支出99891.46万元，项目支出14123.46万元。较上年预算安排的97188.68万元增长17.6 %。</w:t>
      </w:r>
    </w:p>
    <w:p>
      <w:pPr>
        <w:pStyle w:val="3"/>
        <w:widowControl/>
        <w:shd w:val="clear" w:color="auto" w:fill="FFFFFF"/>
        <w:spacing w:beforeAutospacing="0" w:afterAutospacing="0"/>
        <w:ind w:firstLine="600"/>
        <w:jc w:val="both"/>
        <w:rPr>
          <w:rFonts w:ascii="Calibri" w:hAnsi="Calibri" w:eastAsia="仿宋" w:cs="Calibri"/>
          <w:sz w:val="21"/>
          <w:szCs w:val="21"/>
        </w:rPr>
      </w:pPr>
      <w:r>
        <w:rPr>
          <w:rFonts w:hint="eastAsia" w:ascii="仿宋" w:hAnsi="仿宋" w:eastAsia="仿宋" w:cs="仿宋"/>
          <w:sz w:val="30"/>
          <w:szCs w:val="30"/>
          <w:shd w:val="clear" w:color="auto" w:fill="FFFFFF"/>
        </w:rPr>
        <w:t>按支出功能科目划分：教育支出85744.62 万元，占比75%；科学技术支出 130万元，占比0.1%；文化旅游体育与传媒支出52万元，占比0%；社会保障与就业11539.09万元，占比10.1%；卫生健康支出7271.83万元，占比6.4%；住房保障支出9275.39万元，占比8.1%；其它支出302万元，占比0.3%。</w:t>
      </w:r>
    </w:p>
    <w:p>
      <w:pPr>
        <w:pStyle w:val="3"/>
        <w:widowControl/>
        <w:shd w:val="clear" w:color="auto" w:fill="FFFFFF"/>
        <w:spacing w:beforeAutospacing="0" w:afterAutospacing="0"/>
        <w:ind w:firstLine="600" w:firstLineChars="200"/>
        <w:jc w:val="both"/>
        <w:rPr>
          <w:rFonts w:ascii="Calibri" w:hAnsi="Calibri" w:eastAsia="仿宋" w:cs="Calibri"/>
          <w:sz w:val="21"/>
          <w:szCs w:val="21"/>
        </w:rPr>
      </w:pPr>
      <w:r>
        <w:rPr>
          <w:rFonts w:hint="eastAsia" w:ascii="仿宋" w:hAnsi="仿宋" w:eastAsia="仿宋" w:cs="仿宋"/>
          <w:sz w:val="30"/>
          <w:szCs w:val="30"/>
          <w:shd w:val="clear" w:color="auto" w:fill="FFFFFF"/>
        </w:rPr>
        <w:t>基本支出按支出经济分类划分：其中：工资福利支出84121.87万元，占比84.2%；商品和服务支出14681.65万元，占比14.7%；对个人和家庭的补助支出799.81万元，占比0.8%；资本性支出288.13万元，占比0.3%。</w:t>
      </w:r>
    </w:p>
    <w:p>
      <w:pPr>
        <w:pStyle w:val="3"/>
        <w:widowControl/>
        <w:shd w:val="clear" w:color="auto" w:fill="FFFFFF"/>
        <w:spacing w:beforeAutospacing="0" w:afterAutospacing="0"/>
        <w:ind w:firstLine="643" w:firstLineChars="200"/>
        <w:jc w:val="both"/>
        <w:rPr>
          <w:rFonts w:ascii="宋体" w:hAnsi="宋体" w:eastAsia="宋体" w:cs="宋体"/>
          <w:sz w:val="32"/>
          <w:szCs w:val="32"/>
        </w:rPr>
      </w:pPr>
      <w:r>
        <w:rPr>
          <w:rFonts w:hint="eastAsia" w:ascii="宋体" w:hAnsi="宋体" w:eastAsia="宋体" w:cs="宋体"/>
          <w:b/>
          <w:bCs/>
          <w:sz w:val="32"/>
          <w:szCs w:val="32"/>
          <w:shd w:val="clear" w:color="auto" w:fill="FFFFFF"/>
        </w:rPr>
        <w:t>（四）政府性基金情况</w:t>
      </w:r>
    </w:p>
    <w:p>
      <w:pPr>
        <w:pStyle w:val="3"/>
        <w:widowControl/>
        <w:shd w:val="clear" w:color="auto" w:fill="FFFFFF"/>
        <w:spacing w:beforeAutospacing="0" w:afterAutospacing="0"/>
        <w:ind w:firstLine="600" w:firstLineChars="200"/>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2022年预算安排体育彩票公益金专项300万元，与上年相比无增减。</w:t>
      </w:r>
    </w:p>
    <w:p>
      <w:pPr>
        <w:pStyle w:val="3"/>
        <w:widowControl/>
        <w:shd w:val="clear" w:color="auto" w:fill="FFFFFF"/>
        <w:spacing w:beforeAutospacing="0" w:afterAutospacing="0"/>
        <w:ind w:firstLine="643" w:firstLineChars="200"/>
        <w:jc w:val="both"/>
        <w:rPr>
          <w:rFonts w:ascii="宋体" w:hAnsi="宋体" w:eastAsia="宋体" w:cs="宋体"/>
          <w:sz w:val="32"/>
          <w:szCs w:val="32"/>
        </w:rPr>
      </w:pPr>
      <w:r>
        <w:rPr>
          <w:rFonts w:hint="eastAsia" w:ascii="宋体" w:hAnsi="宋体" w:eastAsia="宋体" w:cs="宋体"/>
          <w:b/>
          <w:bCs/>
          <w:sz w:val="32"/>
          <w:szCs w:val="32"/>
          <w:shd w:val="clear" w:color="auto" w:fill="FFFFFF"/>
        </w:rPr>
        <w:t>（五）机关运行经费等重要事项的说明</w:t>
      </w:r>
    </w:p>
    <w:p>
      <w:pPr>
        <w:pStyle w:val="3"/>
        <w:widowControl/>
        <w:shd w:val="clear" w:color="auto" w:fill="FFFFFF"/>
        <w:spacing w:beforeAutospacing="0" w:afterAutospacing="0"/>
        <w:ind w:firstLine="600" w:firstLineChars="200"/>
        <w:jc w:val="both"/>
        <w:rPr>
          <w:rFonts w:ascii="仿宋" w:hAnsi="仿宋" w:eastAsia="仿宋" w:cs="仿宋"/>
          <w:sz w:val="30"/>
          <w:szCs w:val="30"/>
        </w:rPr>
      </w:pPr>
      <w:r>
        <w:rPr>
          <w:rFonts w:hint="eastAsia" w:ascii="仿宋" w:hAnsi="仿宋" w:eastAsia="仿宋" w:cs="仿宋"/>
          <w:sz w:val="30"/>
          <w:szCs w:val="30"/>
          <w:shd w:val="clear" w:color="auto" w:fill="FFFFFF"/>
        </w:rPr>
        <w:t>本部门2022年预算机关运行费预算14681.65万元，比2021年预算增加12111.79万元，增加</w:t>
      </w:r>
      <w:r>
        <w:rPr>
          <w:rFonts w:hint="eastAsia" w:ascii="仿宋" w:hAnsi="仿宋" w:eastAsia="仿宋" w:cs="仿宋"/>
          <w:sz w:val="30"/>
          <w:szCs w:val="30"/>
        </w:rPr>
        <w:t>21%，主要原因是：增加了1个预算单位，2022年预算包含上级专项资金支出。</w:t>
      </w:r>
    </w:p>
    <w:p>
      <w:pPr>
        <w:pStyle w:val="3"/>
        <w:widowControl/>
        <w:shd w:val="clear" w:color="auto" w:fill="FFFFFF"/>
        <w:spacing w:beforeAutospacing="0" w:afterAutospacing="0"/>
        <w:ind w:firstLine="567"/>
        <w:jc w:val="both"/>
        <w:rPr>
          <w:rFonts w:ascii="Calibri" w:hAnsi="Calibri" w:cs="Calibri"/>
          <w:sz w:val="21"/>
          <w:szCs w:val="21"/>
        </w:rPr>
      </w:pPr>
      <w:r>
        <w:rPr>
          <w:rFonts w:hint="eastAsia" w:ascii="仿宋" w:hAnsi="仿宋" w:eastAsia="仿宋" w:cs="仿宋"/>
          <w:sz w:val="30"/>
          <w:szCs w:val="30"/>
          <w:shd w:val="clear" w:color="auto" w:fill="FFFFFF"/>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pStyle w:val="3"/>
        <w:widowControl/>
        <w:shd w:val="clear" w:color="auto" w:fill="FFFFFF"/>
        <w:spacing w:beforeAutospacing="0" w:afterAutospacing="0"/>
        <w:jc w:val="both"/>
        <w:rPr>
          <w:rFonts w:ascii="Calibri" w:hAnsi="Calibri" w:cs="Calibri"/>
          <w:sz w:val="21"/>
          <w:szCs w:val="21"/>
        </w:rPr>
      </w:pPr>
      <w:r>
        <w:rPr>
          <w:rFonts w:hint="eastAsia" w:ascii="仿宋" w:hAnsi="仿宋" w:eastAsia="仿宋" w:cs="仿宋"/>
          <w:sz w:val="30"/>
          <w:szCs w:val="30"/>
          <w:shd w:val="clear" w:color="auto" w:fill="FFFFFF"/>
        </w:rPr>
        <w:t>运行维护费以及其他费用。</w:t>
      </w:r>
    </w:p>
    <w:p>
      <w:pPr>
        <w:pStyle w:val="3"/>
        <w:widowControl/>
        <w:shd w:val="clear" w:color="auto" w:fill="FFFFFF"/>
        <w:spacing w:beforeAutospacing="0" w:afterAutospacing="0"/>
        <w:ind w:firstLine="569"/>
        <w:jc w:val="both"/>
        <w:rPr>
          <w:rFonts w:ascii="宋体" w:hAnsi="宋体" w:eastAsia="宋体" w:cs="宋体"/>
          <w:color w:val="333333"/>
          <w:sz w:val="32"/>
          <w:szCs w:val="32"/>
        </w:rPr>
      </w:pPr>
      <w:r>
        <w:rPr>
          <w:rFonts w:hint="eastAsia" w:ascii="宋体" w:hAnsi="宋体" w:eastAsia="宋体" w:cs="宋体"/>
          <w:b/>
          <w:bCs/>
          <w:color w:val="333333"/>
          <w:sz w:val="32"/>
          <w:szCs w:val="32"/>
          <w:shd w:val="clear" w:color="auto" w:fill="FFFFFF"/>
        </w:rPr>
        <w:t>（六）政府采购情况</w:t>
      </w:r>
    </w:p>
    <w:p>
      <w:pPr>
        <w:pStyle w:val="3"/>
        <w:widowControl/>
        <w:shd w:val="clear" w:color="auto" w:fill="FFFFFF"/>
        <w:spacing w:beforeAutospacing="0" w:afterAutospacing="0"/>
        <w:ind w:firstLine="600"/>
        <w:jc w:val="both"/>
        <w:rPr>
          <w:rFonts w:ascii="Calibri" w:hAnsi="Calibri" w:cs="Calibri"/>
          <w:sz w:val="21"/>
          <w:szCs w:val="21"/>
        </w:rPr>
      </w:pPr>
      <w:r>
        <w:rPr>
          <w:rFonts w:hint="eastAsia" w:ascii="仿宋" w:hAnsi="仿宋" w:eastAsia="仿宋" w:cs="仿宋"/>
          <w:sz w:val="30"/>
          <w:szCs w:val="30"/>
          <w:shd w:val="clear" w:color="auto" w:fill="FFFFFF"/>
        </w:rPr>
        <w:t>2022年本系统政府采购预算安排9700万元，其中：财政拨款收入预算安排的政府采购9700万元。</w:t>
      </w:r>
      <w:r>
        <w:rPr>
          <w:rFonts w:hint="eastAsia" w:ascii="仿宋" w:hAnsi="仿宋" w:eastAsia="仿宋"/>
          <w:sz w:val="30"/>
          <w:szCs w:val="30"/>
        </w:rPr>
        <w:t>政府采购货物支出3500万元、政府采购工程支出50万元、政府采购服务支出6150万元。</w:t>
      </w:r>
    </w:p>
    <w:p>
      <w:pPr>
        <w:pStyle w:val="3"/>
        <w:widowControl/>
        <w:shd w:val="clear" w:color="auto" w:fill="FFFFFF"/>
        <w:spacing w:beforeAutospacing="0" w:afterAutospacing="0"/>
        <w:ind w:firstLine="569"/>
        <w:jc w:val="both"/>
        <w:rPr>
          <w:rFonts w:ascii="宋体" w:hAnsi="宋体" w:eastAsia="宋体" w:cs="宋体"/>
          <w:b/>
          <w:bCs/>
          <w:color w:val="333333"/>
          <w:sz w:val="32"/>
          <w:szCs w:val="32"/>
          <w:shd w:val="clear" w:color="auto" w:fill="FFFFFF"/>
        </w:rPr>
      </w:pPr>
      <w:r>
        <w:rPr>
          <w:rFonts w:hint="eastAsia" w:ascii="宋体" w:hAnsi="宋体" w:eastAsia="宋体" w:cs="宋体"/>
          <w:b/>
          <w:bCs/>
          <w:color w:val="333333"/>
          <w:sz w:val="32"/>
          <w:szCs w:val="32"/>
          <w:shd w:val="clear" w:color="auto" w:fill="FFFFFF"/>
        </w:rPr>
        <w:t>（七）国有资产占有使用情况</w:t>
      </w:r>
    </w:p>
    <w:p>
      <w:pPr>
        <w:pStyle w:val="3"/>
        <w:widowControl/>
        <w:shd w:val="clear" w:color="auto" w:fill="FFFFFF"/>
        <w:spacing w:beforeAutospacing="0" w:afterAutospacing="0"/>
        <w:ind w:firstLine="569"/>
        <w:jc w:val="both"/>
        <w:rPr>
          <w:rFonts w:ascii="Calibri" w:hAnsi="Calibri" w:cs="Calibri"/>
          <w:sz w:val="21"/>
          <w:szCs w:val="21"/>
        </w:rPr>
      </w:pPr>
      <w:r>
        <w:rPr>
          <w:rFonts w:hint="eastAsia" w:ascii="仿宋" w:hAnsi="仿宋" w:eastAsia="仿宋" w:cs="仿宋"/>
          <w:sz w:val="30"/>
          <w:szCs w:val="30"/>
          <w:shd w:val="clear" w:color="auto" w:fill="FFFFFF"/>
        </w:rPr>
        <w:t>截至2021年12月31日部门共有车辆</w:t>
      </w:r>
      <w:r>
        <w:rPr>
          <w:rFonts w:hint="eastAsia" w:ascii="仿宋" w:hAnsi="仿宋" w:eastAsia="仿宋" w:cs="仿宋"/>
          <w:sz w:val="30"/>
          <w:szCs w:val="30"/>
          <w:u w:val="single"/>
          <w:shd w:val="clear" w:color="auto" w:fill="FFFFFF"/>
        </w:rPr>
        <w:t>   0 </w:t>
      </w:r>
      <w:r>
        <w:rPr>
          <w:rFonts w:hint="eastAsia" w:ascii="仿宋" w:hAnsi="仿宋" w:eastAsia="仿宋" w:cs="仿宋"/>
          <w:sz w:val="30"/>
          <w:szCs w:val="30"/>
          <w:shd w:val="clear" w:color="auto" w:fill="FFFFFF"/>
        </w:rPr>
        <w:t>辆、其中一般公务用车</w:t>
      </w:r>
      <w:r>
        <w:rPr>
          <w:rFonts w:hint="eastAsia" w:ascii="仿宋" w:hAnsi="仿宋" w:eastAsia="仿宋" w:cs="仿宋"/>
          <w:sz w:val="30"/>
          <w:szCs w:val="30"/>
          <w:u w:val="single"/>
          <w:shd w:val="clear" w:color="auto" w:fill="FFFFFF"/>
        </w:rPr>
        <w:t>   0  </w:t>
      </w:r>
      <w:r>
        <w:rPr>
          <w:rFonts w:hint="eastAsia" w:ascii="仿宋" w:hAnsi="仿宋" w:eastAsia="仿宋" w:cs="仿宋"/>
          <w:sz w:val="30"/>
          <w:szCs w:val="30"/>
          <w:shd w:val="clear" w:color="auto" w:fill="FFFFFF"/>
        </w:rPr>
        <w:t>辆、执法执勤用车</w:t>
      </w:r>
      <w:r>
        <w:rPr>
          <w:rFonts w:hint="eastAsia" w:ascii="仿宋" w:hAnsi="仿宋" w:eastAsia="仿宋" w:cs="仿宋"/>
          <w:sz w:val="30"/>
          <w:szCs w:val="30"/>
          <w:u w:val="single"/>
          <w:shd w:val="clear" w:color="auto" w:fill="FFFFFF"/>
        </w:rPr>
        <w:t>   0  </w:t>
      </w:r>
      <w:r>
        <w:rPr>
          <w:rFonts w:hint="eastAsia" w:ascii="仿宋" w:hAnsi="仿宋" w:eastAsia="仿宋" w:cs="仿宋"/>
          <w:sz w:val="30"/>
          <w:szCs w:val="30"/>
          <w:shd w:val="clear" w:color="auto" w:fill="FFFFFF"/>
        </w:rPr>
        <w:t>辆。2022年单位预算安排购置车辆</w:t>
      </w:r>
      <w:r>
        <w:rPr>
          <w:rFonts w:hint="eastAsia" w:ascii="仿宋" w:hAnsi="仿宋" w:eastAsia="仿宋" w:cs="仿宋"/>
          <w:sz w:val="30"/>
          <w:szCs w:val="30"/>
          <w:u w:val="single"/>
          <w:shd w:val="clear" w:color="auto" w:fill="FFFFFF"/>
        </w:rPr>
        <w:t>   0   </w:t>
      </w:r>
      <w:r>
        <w:rPr>
          <w:rFonts w:hint="eastAsia" w:ascii="仿宋" w:hAnsi="仿宋" w:eastAsia="仿宋" w:cs="仿宋"/>
          <w:sz w:val="30"/>
          <w:szCs w:val="30"/>
          <w:shd w:val="clear" w:color="auto" w:fill="FFFFFF"/>
        </w:rPr>
        <w:t>辆，安排购置单位价值200万元以上大型设备具体为：</w:t>
      </w:r>
      <w:r>
        <w:rPr>
          <w:rFonts w:hint="eastAsia" w:ascii="仿宋" w:hAnsi="仿宋" w:eastAsia="仿宋" w:cs="仿宋"/>
          <w:sz w:val="30"/>
          <w:szCs w:val="30"/>
          <w:u w:val="single"/>
          <w:shd w:val="clear" w:color="auto" w:fill="FFFFFF"/>
        </w:rPr>
        <w:t>    无      </w:t>
      </w:r>
      <w:r>
        <w:rPr>
          <w:rFonts w:hint="eastAsia" w:ascii="仿宋" w:hAnsi="仿宋" w:eastAsia="仿宋" w:cs="仿宋"/>
          <w:sz w:val="30"/>
          <w:szCs w:val="30"/>
          <w:shd w:val="clear" w:color="auto" w:fill="FFFFFF"/>
        </w:rPr>
        <w:t>。</w:t>
      </w:r>
    </w:p>
    <w:p>
      <w:pPr>
        <w:pStyle w:val="3"/>
        <w:widowControl/>
        <w:shd w:val="clear" w:color="auto" w:fill="FFFFFF"/>
        <w:spacing w:beforeAutospacing="0" w:afterAutospacing="0" w:line="600" w:lineRule="atLeast"/>
        <w:ind w:firstLine="569"/>
        <w:jc w:val="both"/>
        <w:rPr>
          <w:rFonts w:ascii="宋体" w:hAnsi="宋体" w:eastAsia="宋体" w:cs="宋体"/>
          <w:sz w:val="21"/>
          <w:szCs w:val="21"/>
        </w:rPr>
      </w:pPr>
      <w:r>
        <w:rPr>
          <w:rFonts w:hint="eastAsia" w:ascii="宋体" w:hAnsi="宋体" w:eastAsia="宋体" w:cs="宋体"/>
          <w:b/>
          <w:bCs/>
          <w:sz w:val="30"/>
          <w:szCs w:val="30"/>
          <w:shd w:val="clear" w:color="auto" w:fill="FFFFFF"/>
        </w:rPr>
        <w:t>（八）绩效目标设置情况</w:t>
      </w:r>
    </w:p>
    <w:p>
      <w:pPr>
        <w:pStyle w:val="3"/>
        <w:widowControl/>
        <w:shd w:val="clear" w:color="auto" w:fill="FFFFFF"/>
        <w:spacing w:beforeAutospacing="0" w:afterAutospacing="0" w:line="560" w:lineRule="atLeast"/>
        <w:ind w:firstLine="567"/>
        <w:jc w:val="both"/>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2022年实行绩效目标管理的项目47个，涉及资金47588.75万元，如下：</w:t>
      </w:r>
    </w:p>
    <w:p>
      <w:pPr>
        <w:pStyle w:val="3"/>
        <w:widowControl/>
        <w:shd w:val="clear" w:color="auto" w:fill="FFFFFF"/>
        <w:spacing w:beforeAutospacing="0" w:afterAutospacing="0"/>
        <w:jc w:val="both"/>
        <w:rPr>
          <w:rFonts w:ascii="Calibri" w:hAnsi="Calibri" w:cs="Calibri"/>
          <w:color w:val="333333"/>
          <w:sz w:val="21"/>
          <w:szCs w:val="21"/>
          <w:shd w:val="clear" w:color="auto" w:fill="FFFFFF"/>
        </w:rPr>
      </w:pPr>
      <w:r>
        <w:rPr>
          <w:rFonts w:ascii="Calibri" w:hAnsi="Calibri" w:cs="Calibri"/>
          <w:color w:val="333333"/>
          <w:sz w:val="21"/>
          <w:szCs w:val="21"/>
          <w:shd w:val="clear" w:color="auto" w:fill="FFFFFF"/>
        </w:rPr>
        <w:t> </w:t>
      </w:r>
    </w:p>
    <w:tbl>
      <w:tblPr>
        <w:tblStyle w:val="4"/>
        <w:tblW w:w="9971" w:type="dxa"/>
        <w:tblInd w:w="93" w:type="dxa"/>
        <w:tblLayout w:type="autofit"/>
        <w:tblCellMar>
          <w:top w:w="0" w:type="dxa"/>
          <w:left w:w="108" w:type="dxa"/>
          <w:bottom w:w="0" w:type="dxa"/>
          <w:right w:w="108" w:type="dxa"/>
        </w:tblCellMar>
      </w:tblPr>
      <w:tblGrid>
        <w:gridCol w:w="735"/>
        <w:gridCol w:w="660"/>
        <w:gridCol w:w="1635"/>
        <w:gridCol w:w="1224"/>
        <w:gridCol w:w="1224"/>
        <w:gridCol w:w="1224"/>
        <w:gridCol w:w="922"/>
        <w:gridCol w:w="1224"/>
        <w:gridCol w:w="1123"/>
      </w:tblGrid>
      <w:tr>
        <w:tblPrEx>
          <w:tblCellMar>
            <w:top w:w="0" w:type="dxa"/>
            <w:left w:w="108" w:type="dxa"/>
            <w:bottom w:w="0" w:type="dxa"/>
            <w:right w:w="108" w:type="dxa"/>
          </w:tblCellMar>
        </w:tblPrEx>
        <w:trPr>
          <w:trHeight w:val="40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项目单位 </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序号</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项目名称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2022年单位申报项目拟安排资金 </w:t>
            </w:r>
          </w:p>
        </w:tc>
      </w:tr>
      <w:tr>
        <w:tblPrEx>
          <w:tblCellMar>
            <w:top w:w="0" w:type="dxa"/>
            <w:left w:w="108" w:type="dxa"/>
            <w:bottom w:w="0" w:type="dxa"/>
            <w:right w:w="108" w:type="dxa"/>
          </w:tblCellMar>
        </w:tblPrEx>
        <w:trPr>
          <w:trHeight w:val="2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总计 </w:t>
            </w:r>
          </w:p>
        </w:tc>
        <w:tc>
          <w:tcPr>
            <w:tcW w:w="45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财政拨款 </w:t>
            </w:r>
          </w:p>
        </w:tc>
        <w:tc>
          <w:tcPr>
            <w:tcW w:w="11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其他资金（非本级预算内） </w:t>
            </w:r>
          </w:p>
        </w:tc>
      </w:tr>
      <w:tr>
        <w:tblPrEx>
          <w:tblCellMar>
            <w:top w:w="0" w:type="dxa"/>
            <w:left w:w="108" w:type="dxa"/>
            <w:bottom w:w="0" w:type="dxa"/>
            <w:right w:w="108" w:type="dxa"/>
          </w:tblCellMar>
        </w:tblPrEx>
        <w:trPr>
          <w:trHeight w:val="96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合计 </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一般公共预算 </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 xml:space="preserve"> 政府性</w:t>
            </w: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基金 </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收到提前下达上级专项 </w:t>
            </w:r>
          </w:p>
        </w:tc>
        <w:tc>
          <w:tcPr>
            <w:tcW w:w="11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r>
      <w:tr>
        <w:tblPrEx>
          <w:tblCellMar>
            <w:top w:w="0" w:type="dxa"/>
            <w:left w:w="108" w:type="dxa"/>
            <w:bottom w:w="0" w:type="dxa"/>
            <w:right w:w="108" w:type="dxa"/>
          </w:tblCellMar>
        </w:tblPrEx>
        <w:trPr>
          <w:trHeight w:val="72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 xml:space="preserve"> </w:t>
            </w:r>
          </w:p>
          <w:p>
            <w:pPr>
              <w:widowControl/>
              <w:jc w:val="center"/>
              <w:textAlignment w:val="center"/>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t>教科体局</w:t>
            </w:r>
          </w:p>
          <w:p>
            <w:pPr>
              <w:pStyle w:val="2"/>
              <w:rPr>
                <w:lang w:val="en-US"/>
              </w:rPr>
            </w:pPr>
          </w:p>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316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科技三项经费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9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317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科技奖励基金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9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318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“苏区贫困学子关爱工程”贫困学子生活补助等资金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280.00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280.00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280.00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9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319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学生营养餐食堂从业人员工资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677.60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677.60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677.60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7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特岗教师工资福利经费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3,354.40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3,354.40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1,895.00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1,459.40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0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见习大中专毕业生临时教师经费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2,362.80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2,362.80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2,362.80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45"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教科体局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兴国班奖励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教师节庆祝表彰费用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高考绩效考核奖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中等职业学校国家助学金资助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珠心算专项经费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原画矿退休人员工资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121.46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121.46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121.46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师资培训发展经费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650.00 </w:t>
            </w: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329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督导工作经费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 </w:t>
            </w: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特殊学校困难寄宿生补助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学前教育资助县配套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贫困家庭高考入学政府资助县配套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教科体局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普通高中助学金县配套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义务教育寄宿生补助县配套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490.00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490.00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490.00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义务教育公用经费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11,388.10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11,388.10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668.40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10,719.70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普通公办高中生均公用经费县配套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公办幼儿园生均公用经费县配套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555.00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555.00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555.00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普通高中免学费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339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家庭经济困难学生生活补助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1,137.00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1,137.00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1,137.00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校舍安全保障资金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2,013.00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2,013.00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2,013.00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农村学生营养膳食补助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9,358.00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9,358.00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9,358.00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普惠性幼儿园补助资金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11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用于特教的残疾人就业保障金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99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教科体局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备案制幼儿教师工资经费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1,435.00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1,435.00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1,435.00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2022年新招聘教师养老保险、医保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352.00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352.00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352.00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2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体育工作业务费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2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体育彩票公益金专项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兴国县城区公办幼儿园建设项目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5,467.00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5,467.00 </w:t>
            </w:r>
          </w:p>
        </w:tc>
      </w:tr>
      <w:tr>
        <w:tblPrEx>
          <w:tblCellMar>
            <w:top w:w="0" w:type="dxa"/>
            <w:left w:w="108" w:type="dxa"/>
            <w:bottom w:w="0" w:type="dxa"/>
            <w:right w:w="108" w:type="dxa"/>
          </w:tblCellMar>
        </w:tblPrEx>
        <w:trPr>
          <w:trHeight w:val="71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349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标准化考场升级改造项目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267.00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350</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教育信息化建设及运行维护经费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200.00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312"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教科体局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标准化考点作作弊防控系统安装5G信用屏蔽模块项目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初中学业水平考试体育测试设备采购项目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45.00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10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兴国县中学拔尖创新人才培养项目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217.00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815"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2022年学生资助补助经费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2,307.60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2,307.60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2,307.60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2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2022年现代职业教育质量提升计划资金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540.00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82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改善普通高中学习办学条件中央补助资金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698.40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698.40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698.40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6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2022年“三区”人才支持计划教师专项计划补助经费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83.52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83.52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83.52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6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2022年省级公共文化（体育领域）专项资金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27.90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27.90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27.90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6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359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公共体育场馆向社会免费或低收费开发补助资金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38.47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38.47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38.47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6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科技创新赋能行动领导小组工作经费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73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小计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47,544.75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41,397.75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12,714.76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300.00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28,382.99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6,147.00 </w:t>
            </w:r>
          </w:p>
        </w:tc>
      </w:tr>
      <w:tr>
        <w:tblPrEx>
          <w:tblCellMar>
            <w:top w:w="0" w:type="dxa"/>
            <w:left w:w="108" w:type="dxa"/>
            <w:bottom w:w="0" w:type="dxa"/>
            <w:right w:w="108" w:type="dxa"/>
          </w:tblCellMar>
        </w:tblPrEx>
        <w:trPr>
          <w:trHeight w:val="48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老年体协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业务费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小计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32.00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r>
      <w:tr>
        <w:tblPrEx>
          <w:tblCellMar>
            <w:top w:w="0" w:type="dxa"/>
            <w:left w:w="108" w:type="dxa"/>
            <w:bottom w:w="0" w:type="dxa"/>
            <w:right w:w="108" w:type="dxa"/>
          </w:tblCellMar>
        </w:tblPrEx>
        <w:trPr>
          <w:trHeight w:val="480" w:hRule="atLeast"/>
        </w:trPr>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门球协会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业务费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bCs/>
                <w:color w:val="000000"/>
                <w:sz w:val="20"/>
                <w:szCs w:val="20"/>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365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小计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 xml:space="preserve"> -   </w:t>
            </w:r>
          </w:p>
        </w:tc>
      </w:tr>
    </w:tbl>
    <w:p>
      <w:pPr>
        <w:pStyle w:val="3"/>
        <w:widowControl/>
        <w:shd w:val="clear" w:color="auto" w:fill="FFFFFF"/>
        <w:spacing w:beforeAutospacing="0" w:afterAutospacing="0" w:line="600" w:lineRule="atLeast"/>
        <w:ind w:firstLine="602"/>
        <w:jc w:val="both"/>
        <w:rPr>
          <w:rFonts w:ascii="仿宋" w:hAnsi="仿宋" w:eastAsia="仿宋" w:cs="仿宋"/>
          <w:b/>
          <w:bCs/>
          <w:sz w:val="30"/>
          <w:szCs w:val="30"/>
          <w:shd w:val="clear" w:color="auto" w:fill="FFFFFF"/>
        </w:rPr>
      </w:pPr>
    </w:p>
    <w:p>
      <w:pPr>
        <w:pStyle w:val="3"/>
        <w:widowControl/>
        <w:shd w:val="clear" w:color="auto" w:fill="FFFFFF"/>
        <w:spacing w:beforeAutospacing="0" w:afterAutospacing="0" w:line="600" w:lineRule="atLeast"/>
        <w:ind w:firstLine="602"/>
        <w:jc w:val="both"/>
        <w:rPr>
          <w:rFonts w:ascii="仿宋" w:hAnsi="仿宋" w:eastAsia="仿宋" w:cs="仿宋"/>
          <w:b/>
          <w:bCs/>
          <w:sz w:val="32"/>
          <w:szCs w:val="32"/>
        </w:rPr>
      </w:pPr>
      <w:r>
        <w:rPr>
          <w:rFonts w:hint="eastAsia" w:ascii="仿宋" w:hAnsi="仿宋" w:eastAsia="仿宋" w:cs="仿宋"/>
          <w:b/>
          <w:bCs/>
          <w:sz w:val="30"/>
          <w:szCs w:val="30"/>
          <w:shd w:val="clear" w:color="auto" w:fill="FFFFFF"/>
        </w:rPr>
        <w:t>其中：</w:t>
      </w:r>
      <w:r>
        <w:rPr>
          <w:rFonts w:hint="eastAsia" w:ascii="仿宋" w:hAnsi="仿宋" w:eastAsia="仿宋" w:cs="仿宋"/>
          <w:b/>
          <w:bCs/>
          <w:sz w:val="32"/>
          <w:szCs w:val="32"/>
        </w:rPr>
        <w:t>城乡义务教育公用经费县配套项目</w:t>
      </w:r>
    </w:p>
    <w:p>
      <w:pPr>
        <w:ind w:firstLine="643" w:firstLineChars="200"/>
        <w:rPr>
          <w:rFonts w:ascii="仿宋" w:hAnsi="仿宋" w:eastAsia="仿宋" w:cs="仿宋"/>
          <w:sz w:val="32"/>
          <w:szCs w:val="32"/>
        </w:rPr>
      </w:pPr>
      <w:r>
        <w:rPr>
          <w:rFonts w:hint="eastAsia" w:ascii="仿宋" w:hAnsi="仿宋" w:eastAsia="仿宋" w:cs="仿宋"/>
          <w:b/>
          <w:bCs/>
          <w:sz w:val="32"/>
          <w:szCs w:val="32"/>
        </w:rPr>
        <w:t>1.项目概述:</w:t>
      </w:r>
      <w:r>
        <w:rPr>
          <w:rFonts w:hint="eastAsia" w:ascii="仿宋" w:hAnsi="仿宋" w:eastAsia="仿宋" w:cs="仿宋"/>
          <w:sz w:val="32"/>
          <w:szCs w:val="32"/>
        </w:rPr>
        <w:t>保障全县义务教育阶段学校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学校勤工俭学购买生产设备和工具、校园绿化美化、校园文化建设、学生健康体检、校方责任保险、初中学历水平考试报名、公务接待费，非财政供养人员经费等。</w:t>
      </w:r>
    </w:p>
    <w:p>
      <w:pPr>
        <w:ind w:firstLine="643" w:firstLineChars="200"/>
        <w:rPr>
          <w:rFonts w:ascii="仿宋" w:hAnsi="仿宋" w:eastAsia="仿宋" w:cs="仿宋"/>
          <w:sz w:val="32"/>
          <w:szCs w:val="32"/>
        </w:rPr>
      </w:pPr>
      <w:r>
        <w:rPr>
          <w:rFonts w:hint="eastAsia" w:ascii="仿宋" w:hAnsi="仿宋" w:eastAsia="仿宋" w:cs="仿宋"/>
          <w:b/>
          <w:bCs/>
          <w:sz w:val="32"/>
          <w:szCs w:val="32"/>
        </w:rPr>
        <w:t>2.立项依据:</w:t>
      </w:r>
      <w:r>
        <w:rPr>
          <w:rFonts w:hint="eastAsia" w:ascii="仿宋" w:hAnsi="仿宋" w:eastAsia="仿宋" w:cs="仿宋"/>
          <w:sz w:val="32"/>
          <w:szCs w:val="32"/>
        </w:rPr>
        <w:t>《江西省人民政府关于进一步完善城乡义务教育经费保障机制的实施意见》和《关于印发江西省教育领域省与市县财政事权和支出责任划分改革实施方案的通知》（赣财教【2020】2号）文件要求，设立该项目。</w:t>
      </w:r>
    </w:p>
    <w:p>
      <w:pPr>
        <w:ind w:firstLine="643" w:firstLineChars="200"/>
        <w:rPr>
          <w:rFonts w:ascii="仿宋" w:hAnsi="仿宋" w:eastAsia="仿宋" w:cs="仿宋"/>
          <w:sz w:val="32"/>
          <w:szCs w:val="32"/>
        </w:rPr>
      </w:pPr>
      <w:r>
        <w:rPr>
          <w:rFonts w:hint="eastAsia" w:ascii="仿宋" w:hAnsi="仿宋" w:eastAsia="仿宋" w:cs="仿宋"/>
          <w:b/>
          <w:bCs/>
          <w:sz w:val="32"/>
          <w:szCs w:val="32"/>
        </w:rPr>
        <w:t>3.实施主体</w:t>
      </w:r>
      <w:r>
        <w:rPr>
          <w:rFonts w:hint="eastAsia" w:ascii="仿宋" w:hAnsi="仿宋" w:eastAsia="仿宋" w:cs="仿宋"/>
          <w:sz w:val="32"/>
          <w:szCs w:val="32"/>
        </w:rPr>
        <w:t>:全县440所义务教育学校。</w:t>
      </w:r>
    </w:p>
    <w:p>
      <w:pPr>
        <w:ind w:firstLine="643" w:firstLineChars="200"/>
        <w:rPr>
          <w:rFonts w:ascii="仿宋" w:hAnsi="仿宋" w:eastAsia="仿宋" w:cs="仿宋"/>
          <w:sz w:val="32"/>
          <w:szCs w:val="32"/>
        </w:rPr>
      </w:pPr>
      <w:r>
        <w:rPr>
          <w:rFonts w:hint="eastAsia" w:ascii="仿宋" w:hAnsi="仿宋" w:eastAsia="仿宋" w:cs="仿宋"/>
          <w:b/>
          <w:bCs/>
          <w:sz w:val="32"/>
          <w:szCs w:val="32"/>
        </w:rPr>
        <w:t>4.实施周期</w:t>
      </w:r>
      <w:r>
        <w:rPr>
          <w:rFonts w:hint="eastAsia" w:ascii="仿宋" w:hAnsi="仿宋" w:eastAsia="仿宋" w:cs="仿宋"/>
          <w:sz w:val="32"/>
          <w:szCs w:val="32"/>
        </w:rPr>
        <w:t>：2022年1月1日至2022年12月31日。</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5.年度预算安排：460万元。</w:t>
      </w:r>
    </w:p>
    <w:p>
      <w:pPr>
        <w:ind w:firstLine="643" w:firstLineChars="200"/>
        <w:rPr>
          <w:rFonts w:ascii="仿宋" w:hAnsi="仿宋" w:eastAsia="仿宋" w:cs="仿宋"/>
          <w:b/>
          <w:bCs/>
          <w:color w:val="FF0000"/>
          <w:sz w:val="32"/>
          <w:szCs w:val="32"/>
        </w:rPr>
      </w:pPr>
      <w:r>
        <w:rPr>
          <w:rFonts w:hint="eastAsia" w:ascii="仿宋" w:hAnsi="仿宋" w:eastAsia="仿宋" w:cs="仿宋"/>
          <w:b/>
          <w:bCs/>
          <w:sz w:val="32"/>
          <w:szCs w:val="32"/>
        </w:rPr>
        <w:t>6.年度绩效目标：</w:t>
      </w:r>
      <w:r>
        <w:rPr>
          <w:rFonts w:hint="eastAsia" w:ascii="仿宋" w:hAnsi="仿宋" w:eastAsia="仿宋" w:cs="仿宋"/>
          <w:sz w:val="32"/>
          <w:szCs w:val="32"/>
        </w:rPr>
        <w:t>配套保障全县义务教育阶段学校正常运转、完成教育教学活动和其他日常工作任务等方面的支出。</w:t>
      </w:r>
    </w:p>
    <w:p>
      <w:pPr>
        <w:pStyle w:val="3"/>
        <w:widowControl/>
        <w:shd w:val="clear" w:color="auto" w:fill="FFFFFF"/>
        <w:spacing w:beforeAutospacing="0" w:afterAutospacing="0" w:line="600" w:lineRule="atLeast"/>
        <w:ind w:firstLine="602"/>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二、2022年“三公”经费预算情况说明</w:t>
      </w:r>
    </w:p>
    <w:p>
      <w:pPr>
        <w:pStyle w:val="3"/>
        <w:widowControl/>
        <w:shd w:val="clear" w:color="auto" w:fill="FFFFFF"/>
        <w:spacing w:beforeAutospacing="0" w:afterAutospacing="0"/>
        <w:ind w:firstLine="567"/>
        <w:rPr>
          <w:rFonts w:ascii="Calibri" w:hAnsi="Calibri" w:cs="Calibri"/>
          <w:sz w:val="21"/>
          <w:szCs w:val="21"/>
        </w:rPr>
      </w:pPr>
      <w:r>
        <w:rPr>
          <w:rFonts w:hint="eastAsia" w:ascii="仿宋" w:hAnsi="仿宋" w:eastAsia="仿宋" w:cs="仿宋"/>
          <w:sz w:val="30"/>
          <w:szCs w:val="30"/>
          <w:shd w:val="clear" w:color="auto" w:fill="FFFFFF"/>
        </w:rPr>
        <w:t>2022年教科技体系统“三公”经费一般公共预算安排223.78万元。其中：</w:t>
      </w:r>
    </w:p>
    <w:p>
      <w:pPr>
        <w:pStyle w:val="3"/>
        <w:widowControl/>
        <w:shd w:val="clear" w:color="auto" w:fill="FFFFFF"/>
        <w:spacing w:beforeAutospacing="0" w:afterAutospacing="0"/>
        <w:ind w:firstLine="567"/>
        <w:rPr>
          <w:rFonts w:ascii="Calibri" w:hAnsi="Calibri" w:cs="Calibri"/>
          <w:sz w:val="21"/>
          <w:szCs w:val="21"/>
        </w:rPr>
      </w:pPr>
      <w:r>
        <w:rPr>
          <w:rFonts w:hint="eastAsia" w:ascii="仿宋" w:hAnsi="仿宋" w:eastAsia="仿宋" w:cs="仿宋"/>
          <w:sz w:val="30"/>
          <w:szCs w:val="30"/>
          <w:shd w:val="clear" w:color="auto" w:fill="FFFFFF"/>
        </w:rPr>
        <w:t>因公出国（境）费0万元，比上年减少20万元，主要原因是：无出国情况。</w:t>
      </w:r>
    </w:p>
    <w:p>
      <w:pPr>
        <w:pStyle w:val="3"/>
        <w:widowControl/>
        <w:shd w:val="clear" w:color="auto" w:fill="FFFFFF"/>
        <w:spacing w:beforeAutospacing="0" w:afterAutospacing="0"/>
        <w:ind w:firstLine="600" w:firstLineChars="200"/>
        <w:rPr>
          <w:rFonts w:ascii="Calibri" w:hAnsi="Calibri" w:cs="Calibri"/>
          <w:sz w:val="21"/>
          <w:szCs w:val="21"/>
        </w:rPr>
      </w:pPr>
      <w:r>
        <w:rPr>
          <w:rFonts w:hint="eastAsia" w:ascii="仿宋" w:hAnsi="仿宋" w:eastAsia="仿宋" w:cs="仿宋"/>
          <w:sz w:val="30"/>
          <w:szCs w:val="30"/>
          <w:shd w:val="clear" w:color="auto" w:fill="FFFFFF"/>
        </w:rPr>
        <w:t>公务接待费213.78万元，比上年减少110.32万元。</w:t>
      </w:r>
    </w:p>
    <w:p>
      <w:pPr>
        <w:pStyle w:val="3"/>
        <w:widowControl/>
        <w:shd w:val="clear" w:color="auto" w:fill="FFFFFF"/>
        <w:spacing w:beforeAutospacing="0" w:afterAutospacing="0"/>
        <w:ind w:firstLine="567"/>
        <w:rPr>
          <w:rFonts w:ascii="Calibri" w:hAnsi="Calibri" w:cs="Calibri"/>
          <w:sz w:val="21"/>
          <w:szCs w:val="21"/>
        </w:rPr>
      </w:pPr>
      <w:r>
        <w:rPr>
          <w:rFonts w:hint="eastAsia" w:ascii="仿宋" w:hAnsi="仿宋" w:eastAsia="仿宋" w:cs="仿宋"/>
          <w:sz w:val="30"/>
          <w:szCs w:val="30"/>
          <w:shd w:val="clear" w:color="auto" w:fill="FFFFFF"/>
        </w:rPr>
        <w:t>公务用车运行维护费10万元，比上年增加0万元，</w:t>
      </w:r>
    </w:p>
    <w:p>
      <w:pPr>
        <w:pStyle w:val="3"/>
        <w:widowControl/>
        <w:shd w:val="clear" w:color="auto" w:fill="FFFFFF"/>
        <w:spacing w:beforeAutospacing="0" w:afterAutospacing="0"/>
        <w:rPr>
          <w:rFonts w:ascii="Calibri" w:hAnsi="Calibri" w:cs="Calibri"/>
          <w:sz w:val="21"/>
          <w:szCs w:val="21"/>
        </w:rPr>
      </w:pPr>
      <w:bookmarkStart w:id="0" w:name="_GoBack"/>
      <w:bookmarkEnd w:id="0"/>
      <w:r>
        <w:rPr>
          <w:rFonts w:hint="eastAsia" w:ascii="仿宋" w:hAnsi="仿宋" w:eastAsia="仿宋" w:cs="仿宋"/>
          <w:sz w:val="30"/>
          <w:szCs w:val="30"/>
          <w:shd w:val="clear" w:color="auto" w:fill="FFFFFF"/>
        </w:rPr>
        <w:t>主要原因是：实行了公车改革，无公务车。</w:t>
      </w:r>
    </w:p>
    <w:p>
      <w:pPr>
        <w:pStyle w:val="3"/>
        <w:widowControl/>
        <w:shd w:val="clear" w:color="auto" w:fill="FFFFFF"/>
        <w:spacing w:beforeAutospacing="0" w:afterAutospacing="0"/>
        <w:ind w:firstLine="567"/>
        <w:rPr>
          <w:rFonts w:ascii="Calibri" w:hAnsi="Calibri" w:cs="Calibri"/>
          <w:sz w:val="21"/>
          <w:szCs w:val="21"/>
        </w:rPr>
      </w:pPr>
      <w:r>
        <w:rPr>
          <w:rFonts w:hint="eastAsia" w:ascii="仿宋" w:hAnsi="仿宋" w:eastAsia="仿宋" w:cs="仿宋"/>
          <w:sz w:val="30"/>
          <w:szCs w:val="30"/>
          <w:shd w:val="clear" w:color="auto" w:fill="FFFFFF"/>
        </w:rPr>
        <w:t>公务用车购置费0万元，比上年增（减）0万元，主要</w:t>
      </w:r>
    </w:p>
    <w:p>
      <w:pPr>
        <w:pStyle w:val="3"/>
        <w:widowControl/>
        <w:shd w:val="clear" w:color="auto" w:fill="FFFFFF"/>
        <w:spacing w:beforeAutospacing="0" w:afterAutospacing="0"/>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原因是：实行了公车改革，无公务车。</w:t>
      </w:r>
    </w:p>
    <w:p>
      <w:pPr>
        <w:numPr>
          <w:ilvl w:val="0"/>
          <w:numId w:val="2"/>
        </w:numPr>
        <w:spacing w:line="560" w:lineRule="exact"/>
        <w:jc w:val="center"/>
        <w:rPr>
          <w:rFonts w:ascii="黑体" w:hAnsi="黑体" w:eastAsia="黑体" w:cs="黑体"/>
          <w:sz w:val="32"/>
          <w:szCs w:val="32"/>
        </w:rPr>
      </w:pPr>
      <w:r>
        <w:rPr>
          <w:rFonts w:hint="eastAsia" w:ascii="黑体" w:hAnsi="黑体" w:eastAsia="黑体" w:cs="黑体"/>
          <w:sz w:val="32"/>
          <w:szCs w:val="32"/>
        </w:rPr>
        <w:t>兴国县教育科技体育局2022年单位预算表</w:t>
      </w:r>
    </w:p>
    <w:p>
      <w:pPr>
        <w:pStyle w:val="2"/>
        <w:rPr>
          <w:lang w:val="en-US"/>
        </w:rPr>
      </w:pPr>
      <w:r>
        <w:rPr>
          <w:rFonts w:hint="eastAsia"/>
          <w:lang w:val="en-US"/>
        </w:rPr>
        <w:t xml:space="preserve">                 （详见附表）</w:t>
      </w:r>
    </w:p>
    <w:p>
      <w:pPr>
        <w:pStyle w:val="2"/>
        <w:rPr>
          <w:lang w:val="en-US"/>
        </w:rPr>
      </w:pPr>
    </w:p>
    <w:p>
      <w:pPr>
        <w:pStyle w:val="2"/>
      </w:pPr>
      <w:r>
        <w:rPr>
          <w:lang w:val="en-US" w:bidi="ar-SA"/>
        </w:rPr>
        <w:drawing>
          <wp:inline distT="0" distB="0" distL="114300" distR="114300">
            <wp:extent cx="5270500" cy="6107430"/>
            <wp:effectExtent l="0" t="0" r="6350" b="762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5"/>
                    <a:stretch>
                      <a:fillRect/>
                    </a:stretch>
                  </pic:blipFill>
                  <pic:spPr>
                    <a:xfrm>
                      <a:off x="0" y="0"/>
                      <a:ext cx="5270500" cy="6107430"/>
                    </a:xfrm>
                    <a:prstGeom prst="rect">
                      <a:avLst/>
                    </a:prstGeom>
                    <a:noFill/>
                    <a:ln>
                      <a:noFill/>
                    </a:ln>
                  </pic:spPr>
                </pic:pic>
              </a:graphicData>
            </a:graphic>
          </wp:inline>
        </w:drawing>
      </w:r>
    </w:p>
    <w:p>
      <w:pPr>
        <w:pStyle w:val="2"/>
        <w:ind w:left="602"/>
      </w:pPr>
      <w:r>
        <w:rPr>
          <w:lang w:val="en-US" w:bidi="ar-SA"/>
        </w:rPr>
        <w:drawing>
          <wp:inline distT="0" distB="0" distL="114300" distR="114300">
            <wp:extent cx="5281930" cy="9167495"/>
            <wp:effectExtent l="0" t="0" r="13970" b="146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81930" cy="9167495"/>
                    </a:xfrm>
                    <a:prstGeom prst="rect">
                      <a:avLst/>
                    </a:prstGeom>
                    <a:noFill/>
                    <a:ln>
                      <a:noFill/>
                    </a:ln>
                  </pic:spPr>
                </pic:pic>
              </a:graphicData>
            </a:graphic>
          </wp:inline>
        </w:drawing>
      </w:r>
    </w:p>
    <w:p>
      <w:pPr>
        <w:pStyle w:val="2"/>
        <w:ind w:left="602"/>
      </w:pPr>
      <w:r>
        <w:rPr>
          <w:lang w:val="en-US" w:bidi="ar-SA"/>
        </w:rPr>
        <w:drawing>
          <wp:inline distT="0" distB="0" distL="114300" distR="114300">
            <wp:extent cx="5427980" cy="8609965"/>
            <wp:effectExtent l="0" t="0" r="127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427980" cy="8609965"/>
                    </a:xfrm>
                    <a:prstGeom prst="rect">
                      <a:avLst/>
                    </a:prstGeom>
                    <a:noFill/>
                    <a:ln>
                      <a:noFill/>
                    </a:ln>
                  </pic:spPr>
                </pic:pic>
              </a:graphicData>
            </a:graphic>
          </wp:inline>
        </w:drawing>
      </w:r>
    </w:p>
    <w:p>
      <w:pPr>
        <w:spacing w:line="560" w:lineRule="exact"/>
        <w:ind w:left="602"/>
        <w:rPr>
          <w:rFonts w:ascii="宋体" w:hAnsi="宋体" w:cs="仿宋"/>
          <w:sz w:val="28"/>
          <w:szCs w:val="28"/>
        </w:rPr>
      </w:pPr>
      <w:r>
        <w:rPr>
          <w:rFonts w:hint="eastAsia" w:ascii="宋体" w:hAnsi="宋体" w:cs="仿宋"/>
          <w:sz w:val="28"/>
          <w:szCs w:val="28"/>
        </w:rPr>
        <w:t>四、《财政拨款收支总表》</w:t>
      </w:r>
    </w:p>
    <w:p>
      <w:pPr>
        <w:pStyle w:val="2"/>
        <w:ind w:left="602"/>
      </w:pPr>
      <w:r>
        <w:rPr>
          <w:lang w:val="en-US" w:bidi="ar-SA"/>
        </w:rPr>
        <w:drawing>
          <wp:inline distT="0" distB="0" distL="114300" distR="114300">
            <wp:extent cx="5271135" cy="8138160"/>
            <wp:effectExtent l="0" t="0" r="5715"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1135" cy="8138160"/>
                    </a:xfrm>
                    <a:prstGeom prst="rect">
                      <a:avLst/>
                    </a:prstGeom>
                    <a:noFill/>
                    <a:ln>
                      <a:noFill/>
                    </a:ln>
                  </pic:spPr>
                </pic:pic>
              </a:graphicData>
            </a:graphic>
          </wp:inline>
        </w:drawing>
      </w:r>
    </w:p>
    <w:p>
      <w:pPr>
        <w:pStyle w:val="2"/>
        <w:ind w:left="602"/>
      </w:pPr>
      <w:r>
        <w:rPr>
          <w:lang w:val="en-US" w:bidi="ar-SA"/>
        </w:rPr>
        <w:drawing>
          <wp:inline distT="0" distB="0" distL="114300" distR="114300">
            <wp:extent cx="5265420" cy="9275445"/>
            <wp:effectExtent l="0" t="0" r="1143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5420" cy="9275445"/>
                    </a:xfrm>
                    <a:prstGeom prst="rect">
                      <a:avLst/>
                    </a:prstGeom>
                    <a:noFill/>
                    <a:ln>
                      <a:noFill/>
                    </a:ln>
                  </pic:spPr>
                </pic:pic>
              </a:graphicData>
            </a:graphic>
          </wp:inline>
        </w:drawing>
      </w:r>
    </w:p>
    <w:p>
      <w:pPr>
        <w:pStyle w:val="2"/>
        <w:ind w:left="602"/>
      </w:pPr>
      <w:r>
        <w:rPr>
          <w:lang w:val="en-US" w:bidi="ar-SA"/>
        </w:rPr>
        <w:drawing>
          <wp:inline distT="0" distB="0" distL="114300" distR="114300">
            <wp:extent cx="5270500" cy="8535035"/>
            <wp:effectExtent l="0" t="0" r="6350" b="184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0500" cy="8535035"/>
                    </a:xfrm>
                    <a:prstGeom prst="rect">
                      <a:avLst/>
                    </a:prstGeom>
                    <a:noFill/>
                    <a:ln>
                      <a:noFill/>
                    </a:ln>
                  </pic:spPr>
                </pic:pic>
              </a:graphicData>
            </a:graphic>
          </wp:inline>
        </w:drawing>
      </w:r>
    </w:p>
    <w:p>
      <w:pPr>
        <w:spacing w:line="560" w:lineRule="exact"/>
        <w:ind w:firstLine="560" w:firstLineChars="200"/>
        <w:rPr>
          <w:rFonts w:ascii="宋体" w:hAnsi="宋体" w:cs="仿宋"/>
          <w:sz w:val="28"/>
          <w:szCs w:val="28"/>
        </w:rPr>
      </w:pPr>
      <w:r>
        <w:rPr>
          <w:rFonts w:hint="eastAsia" w:ascii="宋体" w:hAnsi="宋体" w:cs="仿宋"/>
          <w:sz w:val="28"/>
          <w:szCs w:val="28"/>
        </w:rPr>
        <w:t>七、《一般公共预算“三公”经费支出表》</w:t>
      </w:r>
    </w:p>
    <w:p>
      <w:pPr>
        <w:pStyle w:val="2"/>
        <w:ind w:left="602"/>
      </w:pPr>
      <w:r>
        <w:rPr>
          <w:lang w:val="en-US" w:bidi="ar-SA"/>
        </w:rPr>
        <w:drawing>
          <wp:inline distT="0" distB="0" distL="114300" distR="114300">
            <wp:extent cx="5273675" cy="2924175"/>
            <wp:effectExtent l="0" t="0" r="3175"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3675" cy="2924175"/>
                    </a:xfrm>
                    <a:prstGeom prst="rect">
                      <a:avLst/>
                    </a:prstGeom>
                    <a:noFill/>
                    <a:ln>
                      <a:noFill/>
                    </a:ln>
                  </pic:spPr>
                </pic:pic>
              </a:graphicData>
            </a:graphic>
          </wp:inline>
        </w:drawing>
      </w:r>
    </w:p>
    <w:p>
      <w:pPr>
        <w:spacing w:line="560" w:lineRule="exact"/>
        <w:ind w:left="602"/>
        <w:rPr>
          <w:rFonts w:ascii="宋体" w:hAnsi="宋体" w:cs="仿宋"/>
          <w:sz w:val="28"/>
          <w:szCs w:val="28"/>
        </w:rPr>
      </w:pPr>
      <w:r>
        <w:rPr>
          <w:rFonts w:hint="eastAsia" w:ascii="宋体" w:hAnsi="宋体" w:cs="仿宋"/>
          <w:sz w:val="28"/>
          <w:szCs w:val="28"/>
        </w:rPr>
        <w:t>八、《政府性基金预算支出表》</w:t>
      </w:r>
    </w:p>
    <w:p>
      <w:pPr>
        <w:pStyle w:val="2"/>
        <w:ind w:left="602"/>
      </w:pPr>
      <w:r>
        <w:rPr>
          <w:lang w:val="en-US" w:bidi="ar-SA"/>
        </w:rPr>
        <w:drawing>
          <wp:inline distT="0" distB="0" distL="114300" distR="114300">
            <wp:extent cx="5272405" cy="3863340"/>
            <wp:effectExtent l="0" t="0" r="4445"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72405" cy="3863340"/>
                    </a:xfrm>
                    <a:prstGeom prst="rect">
                      <a:avLst/>
                    </a:prstGeom>
                    <a:noFill/>
                    <a:ln>
                      <a:noFill/>
                    </a:ln>
                  </pic:spPr>
                </pic:pic>
              </a:graphicData>
            </a:graphic>
          </wp:inline>
        </w:drawing>
      </w:r>
    </w:p>
    <w:p>
      <w:pPr>
        <w:spacing w:line="560" w:lineRule="exact"/>
        <w:ind w:left="602"/>
        <w:rPr>
          <w:rFonts w:ascii="宋体" w:hAnsi="宋体" w:cs="仿宋"/>
          <w:sz w:val="28"/>
          <w:szCs w:val="28"/>
        </w:rPr>
      </w:pPr>
    </w:p>
    <w:p>
      <w:pPr>
        <w:spacing w:line="560" w:lineRule="exact"/>
        <w:ind w:left="602"/>
        <w:rPr>
          <w:rFonts w:ascii="宋体" w:hAnsi="宋体" w:cs="仿宋"/>
          <w:sz w:val="28"/>
          <w:szCs w:val="28"/>
        </w:rPr>
      </w:pPr>
    </w:p>
    <w:p>
      <w:pPr>
        <w:spacing w:line="560" w:lineRule="exact"/>
        <w:ind w:left="602"/>
        <w:rPr>
          <w:rFonts w:ascii="宋体" w:hAnsi="宋体" w:cs="仿宋"/>
          <w:sz w:val="28"/>
          <w:szCs w:val="28"/>
        </w:rPr>
      </w:pPr>
    </w:p>
    <w:p>
      <w:pPr>
        <w:spacing w:line="560" w:lineRule="exact"/>
        <w:ind w:left="602"/>
        <w:rPr>
          <w:rFonts w:ascii="宋体" w:hAnsi="宋体" w:cs="仿宋"/>
          <w:sz w:val="28"/>
          <w:szCs w:val="28"/>
        </w:rPr>
      </w:pPr>
      <w:r>
        <w:rPr>
          <w:rFonts w:hint="eastAsia" w:ascii="宋体" w:hAnsi="宋体" w:cs="仿宋"/>
          <w:sz w:val="28"/>
          <w:szCs w:val="28"/>
        </w:rPr>
        <w:t>九、《部门整体支出绩效目标表》</w:t>
      </w:r>
    </w:p>
    <w:tbl>
      <w:tblPr>
        <w:tblStyle w:val="4"/>
        <w:tblW w:w="9165" w:type="dxa"/>
        <w:tblInd w:w="93" w:type="dxa"/>
        <w:tblLayout w:type="autofit"/>
        <w:tblCellMar>
          <w:top w:w="0" w:type="dxa"/>
          <w:left w:w="108" w:type="dxa"/>
          <w:bottom w:w="0" w:type="dxa"/>
          <w:right w:w="108" w:type="dxa"/>
        </w:tblCellMar>
      </w:tblPr>
      <w:tblGrid>
        <w:gridCol w:w="1350"/>
        <w:gridCol w:w="930"/>
        <w:gridCol w:w="2310"/>
        <w:gridCol w:w="30"/>
        <w:gridCol w:w="1245"/>
        <w:gridCol w:w="1350"/>
        <w:gridCol w:w="1950"/>
      </w:tblGrid>
      <w:tr>
        <w:tblPrEx>
          <w:tblCellMar>
            <w:top w:w="0" w:type="dxa"/>
            <w:left w:w="108" w:type="dxa"/>
            <w:bottom w:w="0" w:type="dxa"/>
            <w:right w:w="108" w:type="dxa"/>
          </w:tblCellMar>
        </w:tblPrEx>
        <w:trPr>
          <w:trHeight w:val="570" w:hRule="atLeast"/>
        </w:trPr>
        <w:tc>
          <w:tcPr>
            <w:tcW w:w="9165" w:type="dxa"/>
            <w:gridSpan w:val="7"/>
            <w:tcBorders>
              <w:top w:val="nil"/>
              <w:left w:val="nil"/>
              <w:bottom w:val="single" w:color="000000" w:sz="4" w:space="0"/>
              <w:right w:val="nil"/>
            </w:tcBorders>
            <w:shd w:val="clear" w:color="auto" w:fill="auto"/>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2022年部门整体支出绩效目标表</w:t>
            </w:r>
          </w:p>
        </w:tc>
      </w:tr>
      <w:tr>
        <w:tblPrEx>
          <w:tblCellMar>
            <w:top w:w="0" w:type="dxa"/>
            <w:left w:w="108" w:type="dxa"/>
            <w:bottom w:w="0" w:type="dxa"/>
            <w:right w:w="108" w:type="dxa"/>
          </w:tblCellMar>
        </w:tblPrEx>
        <w:trPr>
          <w:trHeight w:val="36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部门名称</w:t>
            </w:r>
          </w:p>
        </w:tc>
        <w:tc>
          <w:tcPr>
            <w:tcW w:w="781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兴国县教育科技体育局</w:t>
            </w:r>
          </w:p>
        </w:tc>
      </w:tr>
      <w:tr>
        <w:tblPrEx>
          <w:tblCellMar>
            <w:top w:w="0" w:type="dxa"/>
            <w:left w:w="108" w:type="dxa"/>
            <w:bottom w:w="0" w:type="dxa"/>
            <w:right w:w="108" w:type="dxa"/>
          </w:tblCellMar>
        </w:tblPrEx>
        <w:trPr>
          <w:trHeight w:val="510" w:hRule="atLeast"/>
        </w:trPr>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联系人</w:t>
            </w:r>
          </w:p>
        </w:tc>
        <w:tc>
          <w:tcPr>
            <w:tcW w:w="32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周光波</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联系电话</w:t>
            </w:r>
          </w:p>
        </w:tc>
        <w:tc>
          <w:tcPr>
            <w:tcW w:w="33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13766301676</w:t>
            </w:r>
          </w:p>
        </w:tc>
      </w:tr>
      <w:tr>
        <w:tblPrEx>
          <w:tblCellMar>
            <w:top w:w="0" w:type="dxa"/>
            <w:left w:w="108" w:type="dxa"/>
            <w:bottom w:w="0" w:type="dxa"/>
            <w:right w:w="108" w:type="dxa"/>
          </w:tblCellMar>
        </w:tblPrEx>
        <w:trPr>
          <w:trHeight w:val="469"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部门基本信息</w:t>
            </w:r>
          </w:p>
        </w:tc>
      </w:tr>
      <w:tr>
        <w:tblPrEx>
          <w:tblCellMar>
            <w:top w:w="0" w:type="dxa"/>
            <w:left w:w="108" w:type="dxa"/>
            <w:bottom w:w="0" w:type="dxa"/>
            <w:right w:w="108" w:type="dxa"/>
          </w:tblCellMar>
        </w:tblPrEx>
        <w:trPr>
          <w:trHeight w:val="469"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部门所属领域</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教育</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直属单位包括</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39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内设职能部门</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编制控制数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135</w:t>
            </w:r>
          </w:p>
        </w:tc>
      </w:tr>
      <w:tr>
        <w:tblPrEx>
          <w:tblCellMar>
            <w:top w:w="0" w:type="dxa"/>
            <w:left w:w="108" w:type="dxa"/>
            <w:bottom w:w="0" w:type="dxa"/>
            <w:right w:w="108" w:type="dxa"/>
          </w:tblCellMar>
        </w:tblPrEx>
        <w:trPr>
          <w:trHeight w:val="345"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在职人员总数</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122</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其中：行政编制人数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w:t>
            </w:r>
          </w:p>
        </w:tc>
      </w:tr>
      <w:tr>
        <w:tblPrEx>
          <w:tblCellMar>
            <w:top w:w="0" w:type="dxa"/>
            <w:left w:w="108" w:type="dxa"/>
            <w:bottom w:w="0" w:type="dxa"/>
            <w:right w:w="108" w:type="dxa"/>
          </w:tblCellMar>
        </w:tblPrEx>
        <w:trPr>
          <w:trHeight w:val="36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事业编制人数</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102</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编外人数</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8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当年预算情况（万元）</w:t>
            </w:r>
          </w:p>
        </w:tc>
      </w:tr>
      <w:tr>
        <w:tblPrEx>
          <w:tblCellMar>
            <w:top w:w="0" w:type="dxa"/>
            <w:left w:w="108" w:type="dxa"/>
            <w:bottom w:w="0" w:type="dxa"/>
            <w:right w:w="108" w:type="dxa"/>
          </w:tblCellMar>
        </w:tblPrEx>
        <w:trPr>
          <w:trHeight w:val="30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收入预算合计</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250806.58</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其中：上级财政拨款</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73145.11</w:t>
            </w:r>
          </w:p>
        </w:tc>
      </w:tr>
      <w:tr>
        <w:trPr>
          <w:trHeight w:val="30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本级财政安排</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150915.12</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其他资金</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26746.35</w:t>
            </w:r>
          </w:p>
        </w:tc>
      </w:tr>
      <w:tr>
        <w:tblPrEx>
          <w:tblCellMar>
            <w:top w:w="0" w:type="dxa"/>
            <w:left w:w="108" w:type="dxa"/>
            <w:bottom w:w="0" w:type="dxa"/>
            <w:right w:w="108" w:type="dxa"/>
          </w:tblCellMar>
        </w:tblPrEx>
        <w:trPr>
          <w:trHeight w:val="30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支出预算合计</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250806.58</w:t>
            </w:r>
          </w:p>
        </w:tc>
        <w:tc>
          <w:tcPr>
            <w:tcW w:w="259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其中：人员经费</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84921.69</w:t>
            </w:r>
          </w:p>
        </w:tc>
      </w:tr>
      <w:tr>
        <w:tblPrEx>
          <w:tblCellMar>
            <w:top w:w="0" w:type="dxa"/>
            <w:left w:w="108" w:type="dxa"/>
            <w:bottom w:w="0" w:type="dxa"/>
            <w:right w:w="108" w:type="dxa"/>
          </w:tblCellMar>
        </w:tblPrEx>
        <w:trPr>
          <w:trHeight w:val="30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公用经费</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14969.78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项目经费</w:t>
            </w:r>
          </w:p>
        </w:tc>
        <w:tc>
          <w:tcPr>
            <w:tcW w:w="19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150,915.11</w:t>
            </w:r>
          </w:p>
        </w:tc>
      </w:tr>
      <w:tr>
        <w:tblPrEx>
          <w:tblCellMar>
            <w:top w:w="0" w:type="dxa"/>
            <w:left w:w="108" w:type="dxa"/>
            <w:bottom w:w="0" w:type="dxa"/>
            <w:right w:w="108" w:type="dxa"/>
          </w:tblCellMar>
        </w:tblPrEx>
        <w:trPr>
          <w:trHeight w:val="465" w:hRule="atLeast"/>
        </w:trPr>
        <w:tc>
          <w:tcPr>
            <w:tcW w:w="9165" w:type="dxa"/>
            <w:gridSpan w:val="7"/>
            <w:tcBorders>
              <w:top w:val="single" w:color="000000" w:sz="4" w:space="0"/>
              <w:left w:val="single" w:color="000000" w:sz="4" w:space="0"/>
              <w:bottom w:val="nil"/>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年度绩效指标</w:t>
            </w:r>
          </w:p>
        </w:tc>
      </w:tr>
      <w:tr>
        <w:tblPrEx>
          <w:tblCellMar>
            <w:top w:w="0" w:type="dxa"/>
            <w:left w:w="108" w:type="dxa"/>
            <w:bottom w:w="0" w:type="dxa"/>
            <w:right w:w="108" w:type="dxa"/>
          </w:tblCellMar>
        </w:tblPrEx>
        <w:trPr>
          <w:trHeight w:val="285"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一级指标</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二级指标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三级指标</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目标值</w:t>
            </w:r>
          </w:p>
        </w:tc>
      </w:tr>
      <w:tr>
        <w:tblPrEx>
          <w:tblCellMar>
            <w:top w:w="0" w:type="dxa"/>
            <w:left w:w="108" w:type="dxa"/>
            <w:bottom w:w="0" w:type="dxa"/>
            <w:right w:w="108" w:type="dxa"/>
          </w:tblCellMar>
        </w:tblPrEx>
        <w:trPr>
          <w:trHeight w:val="285" w:hRule="atLeast"/>
        </w:trPr>
        <w:tc>
          <w:tcPr>
            <w:tcW w:w="22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产出指标</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数量指标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全县学校所数</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844</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全县学生数</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173627人</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全县教职工数</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12175人</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质量指标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校建项目质量合格率</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100%</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贫困学生资助率</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100</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义务教育学生入学率</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100</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完成上级重点工作考核目标任务</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全部完成</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时效指标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教育专项经费项目实施时间</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2022年1月至12月</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教师工资福利及时保障</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按月及时发放工资</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成本指标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950" w:type="dxa"/>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285" w:hRule="atLeast"/>
        </w:trPr>
        <w:tc>
          <w:tcPr>
            <w:tcW w:w="22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效益指标</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经济效益指标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950" w:type="dxa"/>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社会效益指标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提升教师教育教学水平</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有效提升</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保障学校正常运转</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有效保障</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生态效益指标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950" w:type="dxa"/>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可持续影响指标</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950" w:type="dxa"/>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285" w:hRule="atLeast"/>
        </w:trPr>
        <w:tc>
          <w:tcPr>
            <w:tcW w:w="22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满意度指标</w:t>
            </w:r>
          </w:p>
        </w:tc>
        <w:tc>
          <w:tcPr>
            <w:tcW w:w="2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满意度指标 </w:t>
            </w: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学生、家长满意度</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90</w:t>
            </w:r>
          </w:p>
        </w:tc>
      </w:tr>
      <w:tr>
        <w:tblPrEx>
          <w:tblCellMar>
            <w:top w:w="0" w:type="dxa"/>
            <w:left w:w="108" w:type="dxa"/>
            <w:bottom w:w="0" w:type="dxa"/>
            <w:right w:w="108" w:type="dxa"/>
          </w:tblCellMar>
        </w:tblPrEx>
        <w:trPr>
          <w:trHeight w:val="285" w:hRule="atLeast"/>
        </w:trPr>
        <w:tc>
          <w:tcPr>
            <w:tcW w:w="22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教师满意度</w:t>
            </w:r>
          </w:p>
        </w:tc>
        <w:tc>
          <w:tcPr>
            <w:tcW w:w="1950" w:type="dxa"/>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90</w:t>
            </w:r>
          </w:p>
        </w:tc>
      </w:tr>
    </w:tbl>
    <w:p>
      <w:pPr>
        <w:pStyle w:val="2"/>
        <w:ind w:left="602"/>
      </w:pPr>
    </w:p>
    <w:p>
      <w:pPr>
        <w:pStyle w:val="2"/>
        <w:ind w:left="602"/>
      </w:pPr>
    </w:p>
    <w:p>
      <w:pPr>
        <w:pStyle w:val="2"/>
        <w:ind w:left="602"/>
        <w:rPr>
          <w:lang w:val="en-US"/>
        </w:rPr>
      </w:pPr>
      <w:r>
        <w:rPr>
          <w:rFonts w:hint="eastAsia"/>
          <w:lang w:val="en-US"/>
        </w:rPr>
        <w:t>十、项目支出绩效目标表（义务教育学校生均公用经费）</w:t>
      </w:r>
    </w:p>
    <w:tbl>
      <w:tblPr>
        <w:tblStyle w:val="4"/>
        <w:tblW w:w="9465" w:type="dxa"/>
        <w:tblInd w:w="93" w:type="dxa"/>
        <w:tblLayout w:type="autofit"/>
        <w:tblCellMar>
          <w:top w:w="0" w:type="dxa"/>
          <w:left w:w="108" w:type="dxa"/>
          <w:bottom w:w="0" w:type="dxa"/>
          <w:right w:w="108" w:type="dxa"/>
        </w:tblCellMar>
      </w:tblPr>
      <w:tblGrid>
        <w:gridCol w:w="1215"/>
        <w:gridCol w:w="495"/>
        <w:gridCol w:w="3330"/>
        <w:gridCol w:w="1830"/>
        <w:gridCol w:w="2595"/>
      </w:tblGrid>
      <w:tr>
        <w:tblPrEx>
          <w:tblCellMar>
            <w:top w:w="0" w:type="dxa"/>
            <w:left w:w="108" w:type="dxa"/>
            <w:bottom w:w="0" w:type="dxa"/>
            <w:right w:w="108" w:type="dxa"/>
          </w:tblCellMar>
        </w:tblPrEx>
        <w:trPr>
          <w:trHeight w:val="420"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36"/>
                <w:szCs w:val="36"/>
              </w:rPr>
            </w:pPr>
            <w:r>
              <w:rPr>
                <w:rFonts w:hint="eastAsia" w:ascii="宋体" w:hAnsi="宋体" w:eastAsia="宋体" w:cs="宋体"/>
                <w:b/>
                <w:bCs/>
                <w:color w:val="000000"/>
                <w:kern w:val="0"/>
                <w:sz w:val="36"/>
                <w:szCs w:val="36"/>
                <w:lang w:bidi="ar"/>
              </w:rPr>
              <w:t>项目支出绩效目标表</w:t>
            </w: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(2022年度)</w:t>
            </w: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兴国县教育科技体育局</w:t>
            </w: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基本信息</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项目名称：</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城乡义务教育公用经费县配套项目</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项目编码：</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360732228888030000305</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项目类别：</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当年项目</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资金用途：</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政策类（转移性支出）</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开始日期：</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2022-01-01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结束日期：</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2022-12-31</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项目负责人：</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冯英福</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联系人：</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兴国县教育科技体育局</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联系电话：</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13707973218</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是否重点项目：</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否</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项目总金额：</w:t>
            </w:r>
          </w:p>
        </w:tc>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460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本年度预算金额：</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460</w:t>
            </w: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基本情况</w:t>
            </w:r>
          </w:p>
        </w:tc>
      </w:tr>
      <w:tr>
        <w:tblPrEx>
          <w:tblCellMar>
            <w:top w:w="0" w:type="dxa"/>
            <w:left w:w="108" w:type="dxa"/>
            <w:bottom w:w="0" w:type="dxa"/>
            <w:right w:w="108" w:type="dxa"/>
          </w:tblCellMar>
        </w:tblPrEx>
        <w:trPr>
          <w:trHeight w:val="820"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立项必要性：</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为保障全县义务教育阶段学校正常运转，根据《江西省人民政府关于进一步完善城乡义务教育经费保障机制的实施意见》和《关于印发江西省教育领域省与市县财政事权和支出责任划分改革实施方案的通知》（赣财教【2020】2号）文件要求，设立该项目。</w:t>
            </w:r>
          </w:p>
        </w:tc>
      </w:tr>
      <w:tr>
        <w:tblPrEx>
          <w:tblCellMar>
            <w:top w:w="0" w:type="dxa"/>
            <w:left w:w="108" w:type="dxa"/>
            <w:bottom w:w="0" w:type="dxa"/>
            <w:right w:w="108" w:type="dxa"/>
          </w:tblCellMar>
        </w:tblPrEx>
        <w:trPr>
          <w:trHeight w:val="600"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实施可行性：</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拨付到各义务教育学校，学校根据《江西省中小学公用经费支出管理暂行办法》管理使用经费</w:t>
            </w:r>
          </w:p>
        </w:tc>
      </w:tr>
      <w:tr>
        <w:tblPrEx>
          <w:tblCellMar>
            <w:top w:w="0" w:type="dxa"/>
            <w:left w:w="108" w:type="dxa"/>
            <w:bottom w:w="0" w:type="dxa"/>
            <w:right w:w="108" w:type="dxa"/>
          </w:tblCellMar>
        </w:tblPrEx>
        <w:trPr>
          <w:trHeight w:val="2055"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项目实施内容：</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全县义务教育阶段学校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学校勤工俭学购买生产设备和工具、校园绿化美化、校园文化建设、学生健康体检、校方责任保险、初中学历水平考试报名、公务接待费，非财政供养人员经费等。</w:t>
            </w:r>
          </w:p>
        </w:tc>
      </w:tr>
      <w:tr>
        <w:tblPrEx>
          <w:tblCellMar>
            <w:top w:w="0" w:type="dxa"/>
            <w:left w:w="108" w:type="dxa"/>
            <w:bottom w:w="0" w:type="dxa"/>
            <w:right w:w="108" w:type="dxa"/>
          </w:tblCellMar>
        </w:tblPrEx>
        <w:trPr>
          <w:trHeight w:val="619"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中长期目标：</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保障全县义务教育阶段学校正常运转、完成教育教学活动和其他日常工作任务等方面的支出</w:t>
            </w:r>
          </w:p>
        </w:tc>
      </w:tr>
      <w:tr>
        <w:tblPrEx>
          <w:tblCellMar>
            <w:top w:w="0" w:type="dxa"/>
            <w:left w:w="108" w:type="dxa"/>
            <w:bottom w:w="0" w:type="dxa"/>
            <w:right w:w="108" w:type="dxa"/>
          </w:tblCellMar>
        </w:tblPrEx>
        <w:trPr>
          <w:trHeight w:val="660"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年度绩效目标：</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保障全县义务教育阶段学校正常运转、完成教育教学活动和其他日常工作任务等方面的支出</w:t>
            </w: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立项依据</w:t>
            </w:r>
          </w:p>
        </w:tc>
      </w:tr>
      <w:tr>
        <w:tblPrEx>
          <w:tblCellMar>
            <w:top w:w="0" w:type="dxa"/>
            <w:left w:w="108" w:type="dxa"/>
            <w:bottom w:w="0" w:type="dxa"/>
            <w:right w:w="108" w:type="dxa"/>
          </w:tblCellMar>
        </w:tblPrEx>
        <w:trPr>
          <w:trHeight w:val="402"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政策依据：</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江西省人民政府关于进一步完善城乡义务教育经费保障机制的实施意见</w:t>
            </w:r>
          </w:p>
        </w:tc>
      </w:tr>
      <w:tr>
        <w:tblPrEx>
          <w:tblCellMar>
            <w:top w:w="0" w:type="dxa"/>
            <w:left w:w="108" w:type="dxa"/>
            <w:bottom w:w="0" w:type="dxa"/>
            <w:right w:w="108" w:type="dxa"/>
          </w:tblCellMar>
        </w:tblPrEx>
        <w:trPr>
          <w:trHeight w:val="540"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其他依据：</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关于印发江西省教育领域省与市县财政事权和支出责任划分改革实施方案的通知（赣财教【2020】2号）</w:t>
            </w:r>
          </w:p>
        </w:tc>
      </w:tr>
      <w:tr>
        <w:tblPrEx>
          <w:tblCellMar>
            <w:top w:w="0" w:type="dxa"/>
            <w:left w:w="108" w:type="dxa"/>
            <w:bottom w:w="0" w:type="dxa"/>
            <w:right w:w="108" w:type="dxa"/>
          </w:tblCellMar>
        </w:tblPrEx>
        <w:trPr>
          <w:trHeight w:val="1419"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需要说明的其他问题：</w:t>
            </w:r>
          </w:p>
        </w:tc>
        <w:tc>
          <w:tcPr>
            <w:tcW w:w="77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20"/>
                <w:szCs w:val="20"/>
              </w:rPr>
            </w:pPr>
          </w:p>
        </w:tc>
      </w:tr>
      <w:tr>
        <w:tblPrEx>
          <w:tblCellMar>
            <w:top w:w="0" w:type="dxa"/>
            <w:left w:w="108" w:type="dxa"/>
            <w:bottom w:w="0" w:type="dxa"/>
            <w:right w:w="108" w:type="dxa"/>
          </w:tblCellMar>
        </w:tblPrEx>
        <w:trPr>
          <w:trHeight w:val="402" w:hRule="atLeast"/>
        </w:trPr>
        <w:tc>
          <w:tcPr>
            <w:tcW w:w="94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0"/>
                <w:szCs w:val="20"/>
                <w:lang w:bidi="ar"/>
              </w:rPr>
              <w:t>年度绩效目标</w:t>
            </w:r>
          </w:p>
        </w:tc>
      </w:tr>
      <w:tr>
        <w:tblPrEx>
          <w:tblCellMar>
            <w:top w:w="0" w:type="dxa"/>
            <w:left w:w="108" w:type="dxa"/>
            <w:bottom w:w="0" w:type="dxa"/>
            <w:right w:w="108" w:type="dxa"/>
          </w:tblCellMar>
        </w:tblPrEx>
        <w:trPr>
          <w:trHeight w:val="2574" w:hRule="atLeast"/>
        </w:trPr>
        <w:tc>
          <w:tcPr>
            <w:tcW w:w="9465" w:type="dxa"/>
            <w:gridSpan w:val="5"/>
            <w:tcBorders>
              <w:top w:val="single" w:color="000000" w:sz="4" w:space="0"/>
              <w:left w:val="single" w:color="000000" w:sz="4" w:space="0"/>
              <w:bottom w:val="nil"/>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全县义务教育阶段学校正常运转、完成教育教学活动和其他日常工作任务等方面的支出，该经费的具体开支范围是：教学业务与管理、教学竞赛、教学质量提升及第三方评价的政府购买服务、办公、会议、印刷、教师培训、实验实习、文体活动、水电、取暖、交通差旅、邮电、教育信息化网络费用、仪器设备及图书资料等购置、学生课桌凳、床铺、食堂设施设备的零星补充购置及维修维护，房屋、建筑物、校园内道路、围墙、大门、运动场地、教室内教师讲台及仪器设备的日常维修维护，学校勤工俭学购买生产设备和工具、校园绿化美化、校园文化建设、学生健康体检、校方责任保险、初中学历水平考试报名、公务接待费，非财政供养人员经费等。</w:t>
            </w:r>
          </w:p>
        </w:tc>
      </w:tr>
      <w:tr>
        <w:tblPrEx>
          <w:tblCellMar>
            <w:top w:w="0" w:type="dxa"/>
            <w:left w:w="108" w:type="dxa"/>
            <w:bottom w:w="0" w:type="dxa"/>
            <w:right w:w="108" w:type="dxa"/>
          </w:tblCellMar>
        </w:tblPrEx>
        <w:trPr>
          <w:trHeight w:val="520" w:hRule="atLeast"/>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一级指标</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二级指标</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三级指标</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指标值</w:t>
            </w:r>
          </w:p>
        </w:tc>
      </w:tr>
      <w:tr>
        <w:tblPrEx>
          <w:tblCellMar>
            <w:top w:w="0" w:type="dxa"/>
            <w:left w:w="108" w:type="dxa"/>
            <w:bottom w:w="0" w:type="dxa"/>
            <w:right w:w="108" w:type="dxa"/>
          </w:tblCellMar>
        </w:tblPrEx>
        <w:trPr>
          <w:trHeight w:val="525" w:hRule="atLeast"/>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产出指标</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数量</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全县义务教育阶段学校数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=440所</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全县义务教育阶段小学学生人数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=73505人</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全县义务教育阶段初中学生人数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=50437人</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质量</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小学入学率</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&gt;=100%</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初中入学率</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&gt;=100%</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时效</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项目实施时间</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2022年1月1日至2022年12月31日</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成本</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义务教育阶段小学生均公用经费标准</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=650元/生/年</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义务教育阶段初中生均公用经费标准</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=850元元/生/年</w:t>
            </w:r>
          </w:p>
        </w:tc>
      </w:tr>
      <w:tr>
        <w:tblPrEx>
          <w:tblCellMar>
            <w:top w:w="0" w:type="dxa"/>
            <w:left w:w="108" w:type="dxa"/>
            <w:bottom w:w="0" w:type="dxa"/>
            <w:right w:w="108" w:type="dxa"/>
          </w:tblCellMar>
        </w:tblPrEx>
        <w:trPr>
          <w:trHeight w:val="525" w:hRule="atLeast"/>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效益指标</w:t>
            </w: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社会效益</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保障学校正常运转，改善学校办学条件</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效果良好</w:t>
            </w:r>
          </w:p>
        </w:tc>
      </w:tr>
      <w:tr>
        <w:tblPrEx>
          <w:tblCellMar>
            <w:top w:w="0" w:type="dxa"/>
            <w:left w:w="108" w:type="dxa"/>
            <w:bottom w:w="0" w:type="dxa"/>
            <w:right w:w="108" w:type="dxa"/>
          </w:tblCellMar>
        </w:tblPrEx>
        <w:trPr>
          <w:trHeight w:val="525"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可持续影响</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提高群众受教育满意度</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效果良好</w:t>
            </w:r>
          </w:p>
        </w:tc>
      </w:tr>
      <w:tr>
        <w:tblPrEx>
          <w:tblCellMar>
            <w:top w:w="0" w:type="dxa"/>
            <w:left w:w="108" w:type="dxa"/>
            <w:bottom w:w="0" w:type="dxa"/>
            <w:right w:w="108" w:type="dxa"/>
          </w:tblCellMar>
        </w:tblPrEx>
        <w:trPr>
          <w:trHeight w:val="525" w:hRule="atLeast"/>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满意度</w:t>
            </w:r>
          </w:p>
        </w:tc>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满意度</w:t>
            </w: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接受义务教育学生满意度</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&gt;=90%</w:t>
            </w:r>
          </w:p>
        </w:tc>
      </w:tr>
      <w:tr>
        <w:tblPrEx>
          <w:tblCellMar>
            <w:top w:w="0" w:type="dxa"/>
            <w:left w:w="108" w:type="dxa"/>
            <w:bottom w:w="0" w:type="dxa"/>
            <w:right w:w="108" w:type="dxa"/>
          </w:tblCellMar>
        </w:tblPrEx>
        <w:trPr>
          <w:trHeight w:val="750" w:hRule="atLeast"/>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5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义务教育学校教师满意度</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&gt;=90%</w:t>
            </w:r>
          </w:p>
        </w:tc>
      </w:tr>
    </w:tbl>
    <w:p>
      <w:pPr>
        <w:pStyle w:val="3"/>
        <w:widowControl/>
        <w:shd w:val="clear" w:color="auto" w:fill="FFFFFF"/>
        <w:spacing w:beforeAutospacing="0" w:afterAutospacing="0" w:line="600" w:lineRule="atLeast"/>
        <w:jc w:val="both"/>
        <w:rPr>
          <w:rFonts w:ascii="仿宋" w:hAnsi="仿宋" w:eastAsia="仿宋" w:cs="仿宋"/>
          <w:color w:val="333333"/>
          <w:sz w:val="30"/>
          <w:szCs w:val="30"/>
          <w:shd w:val="clear" w:color="auto" w:fill="FFFFFF"/>
        </w:rPr>
      </w:pPr>
    </w:p>
    <w:p>
      <w:pPr>
        <w:pStyle w:val="3"/>
        <w:widowControl/>
        <w:shd w:val="clear" w:color="auto" w:fill="FFFFFF"/>
        <w:spacing w:beforeAutospacing="0" w:afterAutospacing="0" w:line="600" w:lineRule="atLeast"/>
        <w:ind w:firstLine="640"/>
        <w:jc w:val="both"/>
        <w:rPr>
          <w:rFonts w:ascii="黑体" w:hAnsi="宋体" w:eastAsia="黑体" w:cs="黑体"/>
          <w:color w:val="333333"/>
          <w:sz w:val="32"/>
          <w:szCs w:val="32"/>
          <w:shd w:val="clear" w:color="auto" w:fill="FFFFFF"/>
        </w:rPr>
      </w:pPr>
    </w:p>
    <w:p>
      <w:pPr>
        <w:pStyle w:val="3"/>
        <w:widowControl/>
        <w:shd w:val="clear" w:color="auto" w:fill="FFFFFF"/>
        <w:spacing w:beforeAutospacing="0" w:afterAutospacing="0" w:line="600" w:lineRule="atLeast"/>
        <w:ind w:firstLine="640"/>
        <w:jc w:val="both"/>
        <w:rPr>
          <w:rFonts w:ascii="Calibri" w:hAnsi="Calibri" w:cs="Calibri"/>
          <w:color w:val="333333"/>
          <w:sz w:val="21"/>
          <w:szCs w:val="21"/>
        </w:rPr>
      </w:pPr>
      <w:r>
        <w:rPr>
          <w:rFonts w:hint="eastAsia" w:ascii="黑体" w:hAnsi="宋体" w:eastAsia="黑体" w:cs="黑体"/>
          <w:color w:val="333333"/>
          <w:sz w:val="32"/>
          <w:szCs w:val="32"/>
          <w:shd w:val="clear" w:color="auto" w:fill="FFFFFF"/>
        </w:rPr>
        <w:t>第四部分名词解释</w:t>
      </w:r>
    </w:p>
    <w:p>
      <w:pPr>
        <w:pStyle w:val="3"/>
        <w:widowControl/>
        <w:shd w:val="clear" w:color="auto" w:fill="FFFFFF"/>
        <w:spacing w:beforeAutospacing="0" w:afterAutospacing="0" w:line="600" w:lineRule="atLeast"/>
        <w:ind w:firstLine="569"/>
        <w:jc w:val="both"/>
        <w:rPr>
          <w:rFonts w:ascii="Calibri" w:hAnsi="Calibri" w:cs="Calibri"/>
          <w:color w:val="333333"/>
          <w:sz w:val="21"/>
          <w:szCs w:val="21"/>
        </w:rPr>
      </w:pPr>
      <w:r>
        <w:rPr>
          <w:rFonts w:hint="eastAsia" w:ascii="楷体" w:hAnsi="楷体" w:eastAsia="楷体" w:cs="楷体"/>
          <w:b/>
          <w:bCs/>
          <w:color w:val="333333"/>
          <w:sz w:val="30"/>
          <w:szCs w:val="30"/>
          <w:shd w:val="clear" w:color="auto" w:fill="FFFFFF"/>
        </w:rPr>
        <w:t>一、收入科目</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（一）财政拨款：指县本级财政当年拨付的资金。</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（二）事业收入：指事业单位开展专业业务活动及辅助活动</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取得的收入。</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（三）事业单位经营收入：指事业单位在专业业务活动及辅</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助活动之外开展非独立核算经营活动取得的收入。</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（四）其他收入：指除财政拨款、事业收入、事业单位经营</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收入等以外的各项收入。</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（五）附属单位上缴收入：反映事业单位附属的独立核算单</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位按规定标准或比例缴纳的各项收入。包括附属的事业单位上缴</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的收入和附属的企业上缴的利润等。</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（六）上级补助收入：反映事业单位从主管部门和上级单位</w:t>
      </w:r>
    </w:p>
    <w:p>
      <w:pPr>
        <w:pStyle w:val="3"/>
        <w:widowControl/>
        <w:shd w:val="clear" w:color="auto" w:fill="FFFFFF"/>
        <w:spacing w:beforeAutospacing="0" w:afterAutospacing="0" w:line="600" w:lineRule="atLeast"/>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取得的非财政补助收入。</w:t>
      </w:r>
    </w:p>
    <w:p>
      <w:pPr>
        <w:pStyle w:val="3"/>
        <w:widowControl/>
        <w:shd w:val="clear" w:color="auto" w:fill="FFFFFF"/>
        <w:spacing w:beforeAutospacing="0" w:afterAutospacing="0" w:line="600" w:lineRule="atLeast"/>
        <w:ind w:firstLine="567"/>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（七）使用非财政拨款结余：填列历年滚存的非限定用途的</w:t>
      </w:r>
    </w:p>
    <w:p>
      <w:pPr>
        <w:pStyle w:val="3"/>
        <w:widowControl/>
        <w:shd w:val="clear" w:color="auto" w:fill="FFFFFF"/>
        <w:spacing w:beforeAutospacing="0" w:afterAutospacing="0" w:line="600" w:lineRule="atLeast"/>
        <w:rPr>
          <w:rFonts w:ascii="Calibri" w:hAnsi="Calibri" w:cs="Calibri"/>
          <w:color w:val="333333"/>
          <w:sz w:val="21"/>
          <w:szCs w:val="21"/>
        </w:rPr>
      </w:pPr>
      <w:r>
        <w:rPr>
          <w:rFonts w:hint="eastAsia" w:ascii="仿宋" w:hAnsi="仿宋" w:eastAsia="仿宋" w:cs="仿宋"/>
          <w:color w:val="333333"/>
          <w:sz w:val="30"/>
          <w:szCs w:val="30"/>
          <w:shd w:val="clear" w:color="auto" w:fill="FFFFFF"/>
        </w:rPr>
        <w:t>非统计财政拨款结余弥补2021年收支差额的数额。</w:t>
      </w:r>
    </w:p>
    <w:p>
      <w:pPr>
        <w:pStyle w:val="3"/>
        <w:widowControl/>
        <w:shd w:val="clear" w:color="auto" w:fill="FFFFFF"/>
        <w:spacing w:beforeAutospacing="0" w:afterAutospacing="0" w:line="600" w:lineRule="atLeast"/>
        <w:ind w:firstLine="567"/>
        <w:rPr>
          <w:rFonts w:ascii="Calibri" w:hAnsi="Calibri" w:cs="Calibri"/>
          <w:color w:val="333333"/>
          <w:sz w:val="21"/>
          <w:szCs w:val="21"/>
        </w:rPr>
      </w:pPr>
      <w:r>
        <w:rPr>
          <w:rFonts w:hint="eastAsia" w:ascii="仿宋" w:hAnsi="仿宋" w:eastAsia="仿宋" w:cs="仿宋"/>
          <w:color w:val="333333"/>
          <w:sz w:val="30"/>
          <w:szCs w:val="30"/>
          <w:shd w:val="clear" w:color="auto" w:fill="FFFFFF"/>
        </w:rPr>
        <w:t>（八）上年结转和结余：填列2020年全部结转和结余的资金数，包括当年结转结余资金和历年滚存结转结余资金。</w:t>
      </w:r>
    </w:p>
    <w:p>
      <w:pPr>
        <w:pStyle w:val="3"/>
        <w:widowControl/>
        <w:shd w:val="clear" w:color="auto" w:fill="FFFFFF"/>
        <w:spacing w:beforeAutospacing="0" w:afterAutospacing="0" w:line="600" w:lineRule="atLeast"/>
        <w:ind w:firstLine="569"/>
        <w:jc w:val="both"/>
        <w:rPr>
          <w:rFonts w:ascii="Calibri" w:hAnsi="Calibri" w:cs="Calibri"/>
          <w:color w:val="333333"/>
          <w:sz w:val="21"/>
          <w:szCs w:val="21"/>
        </w:rPr>
      </w:pPr>
      <w:r>
        <w:rPr>
          <w:rFonts w:hint="eastAsia" w:ascii="楷体" w:hAnsi="楷体" w:eastAsia="楷体" w:cs="楷体"/>
          <w:b/>
          <w:bCs/>
          <w:color w:val="333333"/>
          <w:sz w:val="30"/>
          <w:szCs w:val="30"/>
          <w:shd w:val="clear" w:color="auto" w:fill="FFFFFF"/>
        </w:rPr>
        <w:t>二、支出科目</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（一）、基本支出：指为保障机构正常运转、完成日常工作任务而发生的人员支出和公用支出。</w:t>
      </w:r>
      <w:r>
        <w:rPr>
          <w:rFonts w:ascii="??_GB2312" w:hAnsi="??_GB2312" w:eastAsia="??_GB2312" w:cs="??_GB2312"/>
          <w:color w:val="333333"/>
          <w:sz w:val="30"/>
          <w:szCs w:val="30"/>
          <w:shd w:val="clear" w:color="auto" w:fill="FFFFFF"/>
        </w:rPr>
        <w:t> </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（二）、项目支出：指在基本支出之外为完成特定的行政任务或事业发展目标所发生的支出。</w:t>
      </w:r>
      <w:r>
        <w:rPr>
          <w:rFonts w:ascii="??_GB2312" w:hAnsi="??_GB2312" w:eastAsia="??_GB2312" w:cs="??_GB2312"/>
          <w:color w:val="333333"/>
          <w:sz w:val="30"/>
          <w:szCs w:val="30"/>
          <w:shd w:val="clear" w:color="auto" w:fill="FFFFFF"/>
        </w:rPr>
        <w:t> </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（三）、上缴上级支出：指事业单位按照财政部门和主管部门的规定上缴上级单位的支出。</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（四）、经营支出：指事业单位在专业业务活动及其辅助活动之外开展非独立核算经营活动发生的支出。</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（五）、对附属单位补助支出：指事业单位用财政补助收入之外的收入对附属单位补助发生的支出。</w:t>
      </w:r>
    </w:p>
    <w:p>
      <w:pPr>
        <w:pStyle w:val="3"/>
        <w:widowControl/>
        <w:shd w:val="clear" w:color="auto" w:fill="FFFFFF"/>
        <w:spacing w:beforeAutospacing="0" w:afterAutospacing="0"/>
        <w:ind w:firstLine="600"/>
        <w:jc w:val="both"/>
        <w:rPr>
          <w:rFonts w:ascii="Calibri" w:hAnsi="Calibri" w:cs="Calibri"/>
          <w:color w:val="333333"/>
          <w:sz w:val="21"/>
          <w:szCs w:val="21"/>
        </w:rPr>
      </w:pPr>
      <w:r>
        <w:rPr>
          <w:rFonts w:hint="eastAsia" w:ascii="仿宋" w:hAnsi="仿宋" w:eastAsia="仿宋" w:cs="仿宋"/>
          <w:color w:val="333333"/>
          <w:sz w:val="30"/>
          <w:szCs w:val="30"/>
          <w:shd w:val="clear" w:color="auto" w:fill="FFFFFF"/>
        </w:rPr>
        <w:t>（六）、“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ascii="??_GB2312" w:hAnsi="??_GB2312" w:eastAsia="??_GB2312" w:cs="??_GB2312"/>
          <w:color w:val="333333"/>
          <w:sz w:val="30"/>
          <w:szCs w:val="30"/>
          <w:shd w:val="clear" w:color="auto" w:fill="FFFFFF"/>
        </w:rPr>
        <w:t> </w:t>
      </w:r>
    </w:p>
    <w:p>
      <w:pPr>
        <w:pStyle w:val="3"/>
        <w:widowControl/>
        <w:shd w:val="clear" w:color="auto" w:fill="FFFFFF"/>
        <w:spacing w:beforeAutospacing="0" w:afterAutospacing="0"/>
        <w:ind w:firstLine="600"/>
        <w:jc w:val="both"/>
        <w:rPr>
          <w:rFonts w:ascii="仿宋" w:hAnsi="仿宋" w:eastAsia="仿宋" w:cs="仿宋"/>
          <w:color w:val="333333"/>
          <w:sz w:val="30"/>
          <w:szCs w:val="30"/>
          <w:shd w:val="clear" w:color="auto" w:fill="FFFFFF"/>
        </w:rPr>
      </w:pPr>
      <w:r>
        <w:rPr>
          <w:rFonts w:hint="eastAsia" w:ascii="仿宋" w:hAnsi="仿宋" w:eastAsia="仿宋" w:cs="仿宋"/>
          <w:color w:val="333333"/>
          <w:sz w:val="30"/>
          <w:szCs w:val="30"/>
          <w:shd w:val="clear" w:color="auto" w:fill="FFFFFF"/>
        </w:rPr>
        <w:t>（七）、机关运行经费：指为保障行政单位（含参照公务员法管理的事业单位）运行用于购买货物和服务的各项资金，包括办公费、印刷费、差旅费、会议费、日常维修费、专用材料及办公用房水电费、物业管理费、公务用车运行维护费。</w:t>
      </w:r>
    </w:p>
    <w:p>
      <w:pPr>
        <w:pStyle w:val="3"/>
        <w:widowControl/>
        <w:shd w:val="clear" w:color="auto" w:fill="FFFFFF"/>
        <w:spacing w:beforeAutospacing="0" w:afterAutospacing="0" w:line="600" w:lineRule="atLeast"/>
        <w:jc w:val="both"/>
        <w:rPr>
          <w:rFonts w:ascii="仿宋" w:hAnsi="仿宋" w:eastAsia="仿宋" w:cs="仿宋"/>
          <w:color w:val="333333"/>
          <w:sz w:val="30"/>
          <w:szCs w:val="30"/>
          <w:shd w:val="clear" w:color="auto" w:fill="FFFFFF"/>
        </w:rPr>
      </w:pPr>
      <w:r>
        <w:drawing>
          <wp:inline distT="0" distB="0" distL="114300" distR="114300">
            <wp:extent cx="635" cy="0"/>
            <wp:effectExtent l="0" t="0" r="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3"/>
                    <a:stretch>
                      <a:fillRect/>
                    </a:stretch>
                  </pic:blipFill>
                  <pic:spPr>
                    <a:xfrm>
                      <a:off x="0" y="0"/>
                      <a:ext cx="635" cy="0"/>
                    </a:xfrm>
                    <a:prstGeom prst="rect">
                      <a:avLst/>
                    </a:prstGeom>
                    <a:noFill/>
                    <a:ln>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5D3D13"/>
    <w:multiLevelType w:val="singleLevel"/>
    <w:tmpl w:val="BA5D3D13"/>
    <w:lvl w:ilvl="0" w:tentative="0">
      <w:start w:val="3"/>
      <w:numFmt w:val="chineseCounting"/>
      <w:suff w:val="space"/>
      <w:lvlText w:val="第%1部分"/>
      <w:lvlJc w:val="left"/>
      <w:rPr>
        <w:rFonts w:hint="eastAsia"/>
      </w:rPr>
    </w:lvl>
  </w:abstractNum>
  <w:abstractNum w:abstractNumId="1">
    <w:nsid w:val="23CAD916"/>
    <w:multiLevelType w:val="singleLevel"/>
    <w:tmpl w:val="23CAD91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6E7BDC"/>
    <w:rsid w:val="006E7BDC"/>
    <w:rsid w:val="00E4483E"/>
    <w:rsid w:val="02476CB3"/>
    <w:rsid w:val="02C345F2"/>
    <w:rsid w:val="07403615"/>
    <w:rsid w:val="0A075296"/>
    <w:rsid w:val="0E8560CB"/>
    <w:rsid w:val="12EA0721"/>
    <w:rsid w:val="13CD087E"/>
    <w:rsid w:val="144A3A0C"/>
    <w:rsid w:val="16F74A23"/>
    <w:rsid w:val="1779592D"/>
    <w:rsid w:val="19514982"/>
    <w:rsid w:val="1CB24387"/>
    <w:rsid w:val="1CEA1A70"/>
    <w:rsid w:val="1D4D4DFF"/>
    <w:rsid w:val="1F3B0752"/>
    <w:rsid w:val="243C0894"/>
    <w:rsid w:val="25B9260F"/>
    <w:rsid w:val="2690219C"/>
    <w:rsid w:val="296C736A"/>
    <w:rsid w:val="2B842AF5"/>
    <w:rsid w:val="2D154C7C"/>
    <w:rsid w:val="314C5509"/>
    <w:rsid w:val="349244DF"/>
    <w:rsid w:val="37AD1FEB"/>
    <w:rsid w:val="38CB542F"/>
    <w:rsid w:val="3EC96126"/>
    <w:rsid w:val="3EF219C3"/>
    <w:rsid w:val="417B29C9"/>
    <w:rsid w:val="45167E4F"/>
    <w:rsid w:val="46576422"/>
    <w:rsid w:val="47BF47C2"/>
    <w:rsid w:val="4B3C7777"/>
    <w:rsid w:val="4D785E23"/>
    <w:rsid w:val="515D21C4"/>
    <w:rsid w:val="545920A6"/>
    <w:rsid w:val="574C7637"/>
    <w:rsid w:val="57525991"/>
    <w:rsid w:val="57D30256"/>
    <w:rsid w:val="5B871210"/>
    <w:rsid w:val="5C2B568C"/>
    <w:rsid w:val="625F747B"/>
    <w:rsid w:val="64F01869"/>
    <w:rsid w:val="693C583E"/>
    <w:rsid w:val="69A47FF6"/>
    <w:rsid w:val="6A502E53"/>
    <w:rsid w:val="6DE9778A"/>
    <w:rsid w:val="6F594548"/>
    <w:rsid w:val="70C13D2D"/>
    <w:rsid w:val="70D61246"/>
    <w:rsid w:val="746A64B4"/>
    <w:rsid w:val="756D2224"/>
    <w:rsid w:val="77210D7E"/>
    <w:rsid w:val="78D618C3"/>
    <w:rsid w:val="79643984"/>
    <w:rsid w:val="7E44237B"/>
    <w:rsid w:val="7E7538B7"/>
    <w:rsid w:val="7EAA1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21"/>
    <w:basedOn w:val="5"/>
    <w:qFormat/>
    <w:uiPriority w:val="0"/>
    <w:rPr>
      <w:rFonts w:hint="eastAsia" w:ascii="宋体" w:hAnsi="宋体" w:eastAsia="宋体" w:cs="宋体"/>
      <w:color w:val="000000"/>
      <w:sz w:val="24"/>
      <w:szCs w:val="24"/>
      <w:u w:val="none"/>
    </w:rPr>
  </w:style>
  <w:style w:type="character" w:customStyle="1" w:styleId="7">
    <w:name w:val="font01"/>
    <w:basedOn w:val="5"/>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NULL"/><Relationship Id="rId12" Type="http://schemas.openxmlformats.org/officeDocument/2006/relationships/image" Target="media/image9.emf"/><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8408</Words>
  <Characters>10168</Characters>
  <Lines>82</Lines>
  <Paragraphs>23</Paragraphs>
  <TotalTime>2</TotalTime>
  <ScaleCrop>false</ScaleCrop>
  <LinksUpToDate>false</LinksUpToDate>
  <CharactersWithSpaces>10693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2023-06-20T07:18:00Z</dcterms:created>
  <dc:creator>lenovo</dc:creator>
  <cp:lastModifiedBy>李甘顺</cp:lastModifiedBy>
  <cp:lastPrinted>2023-06-20T05:06:00Z</cp:lastPrinted>
  <dcterms:modified xsi:type="dcterms:W3CDTF">2023-07-18T02:52:59Z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D69E47E0905B48E5A693F233F3C01E70</vt:lpwstr>
  </property>
</Properties>
</file>