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bookmarkStart w:id="0" w:name="_GoBack"/>
      <w:bookmarkEnd w:id="0"/>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兴国县城市管理局</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城市管理局</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城市管理局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城市管理局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rPr>
        <w:t>九、</w:t>
      </w:r>
      <w:r>
        <w:rPr>
          <w:rFonts w:hint="eastAsia" w:ascii="仿宋" w:hAnsi="仿宋" w:eastAsia="仿宋" w:cs="仿宋"/>
          <w:sz w:val="32"/>
          <w:szCs w:val="32"/>
          <w:lang w:eastAsia="zh-CN"/>
        </w:rPr>
        <w:t>《国有资本经营预算支出表》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仿宋" w:hAnsi="仿宋" w:eastAsia="仿宋" w:cs="仿宋"/>
          <w:b/>
          <w:bCs/>
          <w:sz w:val="32"/>
          <w:szCs w:val="32"/>
        </w:rPr>
      </w:pPr>
      <w:r>
        <w:rPr>
          <w:rFonts w:hint="eastAsia" w:ascii="仿宋" w:hAnsi="仿宋" w:eastAsia="仿宋" w:cs="仿宋"/>
          <w:b/>
          <w:bCs/>
          <w:sz w:val="32"/>
          <w:szCs w:val="32"/>
        </w:rPr>
        <w:t>第一部分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城市管理局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00" w:firstLineChars="200"/>
        <w:rPr>
          <w:rFonts w:hint="eastAsia" w:ascii="仿宋" w:hAnsi="仿宋" w:eastAsia="仿宋" w:cs="仿宋"/>
          <w:color w:val="000000"/>
          <w:sz w:val="30"/>
          <w:szCs w:val="30"/>
          <w:lang w:eastAsia="zh-CN"/>
        </w:rPr>
      </w:pPr>
      <w:r>
        <w:rPr>
          <w:rFonts w:hint="eastAsia" w:ascii="仿宋" w:hAnsi="仿宋" w:eastAsia="仿宋" w:cs="仿宋"/>
          <w:color w:val="000000"/>
          <w:sz w:val="30"/>
          <w:szCs w:val="30"/>
        </w:rPr>
        <w:t>主管</w:t>
      </w:r>
      <w:r>
        <w:rPr>
          <w:rFonts w:hint="eastAsia" w:ascii="仿宋" w:hAnsi="仿宋" w:eastAsia="仿宋" w:cs="仿宋"/>
          <w:color w:val="000000"/>
          <w:sz w:val="30"/>
          <w:szCs w:val="30"/>
          <w:lang w:eastAsia="zh-CN"/>
        </w:rPr>
        <w:t>全县城市市容市貌、环境卫生、园林绿化、城市道路、桥梁、路灯、市场服务管理及经开区城管等公共事务管理职能，并履行着全县创建文明城市、卫生城市、园林城市及组织、协调、监督、抽查</w:t>
      </w:r>
      <w:r>
        <w:rPr>
          <w:rFonts w:hint="eastAsia" w:ascii="仿宋" w:hAnsi="仿宋" w:eastAsia="仿宋" w:cs="仿宋"/>
          <w:color w:val="000000"/>
          <w:sz w:val="30"/>
          <w:szCs w:val="30"/>
        </w:rPr>
        <w:t>工作</w:t>
      </w:r>
      <w:r>
        <w:rPr>
          <w:rFonts w:hint="eastAsia" w:ascii="仿宋" w:hAnsi="仿宋" w:eastAsia="仿宋" w:cs="仿宋"/>
          <w:color w:val="000000"/>
          <w:sz w:val="30"/>
          <w:szCs w:val="30"/>
          <w:lang w:eastAsia="zh-CN"/>
        </w:rPr>
        <w:t>职能。</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numPr>
          <w:ilvl w:val="0"/>
          <w:numId w:val="0"/>
        </w:numPr>
        <w:spacing w:line="560" w:lineRule="exact"/>
        <w:ind w:firstLine="600" w:firstLineChars="200"/>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eastAsia="zh-CN"/>
        </w:rPr>
        <w:t>兴国县城管局</w:t>
      </w:r>
      <w:r>
        <w:rPr>
          <w:rFonts w:hint="eastAsia" w:ascii="仿宋" w:hAnsi="仿宋" w:eastAsia="仿宋" w:cs="仿宋"/>
          <w:color w:val="000000"/>
          <w:sz w:val="30"/>
          <w:szCs w:val="30"/>
        </w:rPr>
        <w:t>是</w:t>
      </w:r>
      <w:r>
        <w:rPr>
          <w:rFonts w:hint="eastAsia" w:ascii="仿宋" w:hAnsi="仿宋" w:eastAsia="仿宋" w:cs="仿宋"/>
          <w:color w:val="000000"/>
          <w:sz w:val="30"/>
          <w:szCs w:val="30"/>
          <w:lang w:eastAsia="zh-CN"/>
        </w:rPr>
        <w:t>兴国县人民政府正科级行政工作部门，下属副科级全额拨款事业单位</w:t>
      </w:r>
      <w:r>
        <w:rPr>
          <w:rFonts w:hint="eastAsia" w:ascii="仿宋" w:hAnsi="仿宋" w:eastAsia="仿宋" w:cs="仿宋"/>
          <w:color w:val="000000"/>
          <w:sz w:val="30"/>
          <w:szCs w:val="30"/>
          <w:lang w:val="en-US" w:eastAsia="zh-CN"/>
        </w:rPr>
        <w:t>2个（兴国县市政公用事业服务中心、兴国县城市管理综合行政执法大队）。</w:t>
      </w:r>
    </w:p>
    <w:p>
      <w:pPr>
        <w:numPr>
          <w:ilvl w:val="0"/>
          <w:numId w:val="0"/>
        </w:numPr>
        <w:spacing w:line="560" w:lineRule="exact"/>
        <w:ind w:firstLine="600" w:firstLineChars="200"/>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eastAsia="zh-CN"/>
        </w:rPr>
        <w:t>兴国县城市管理</w:t>
      </w:r>
      <w:r>
        <w:rPr>
          <w:rFonts w:hint="eastAsia" w:ascii="仿宋" w:hAnsi="仿宋" w:eastAsia="仿宋" w:cs="仿宋"/>
          <w:color w:val="000000"/>
          <w:sz w:val="30"/>
          <w:szCs w:val="30"/>
        </w:rPr>
        <w:t>局编制数</w:t>
      </w:r>
      <w:r>
        <w:rPr>
          <w:rFonts w:hint="eastAsia" w:ascii="仿宋" w:hAnsi="仿宋" w:eastAsia="仿宋" w:cs="仿宋"/>
          <w:color w:val="000000"/>
          <w:sz w:val="30"/>
          <w:szCs w:val="30"/>
          <w:lang w:val="en-US" w:eastAsia="zh-CN"/>
        </w:rPr>
        <w:t>139</w:t>
      </w:r>
      <w:r>
        <w:rPr>
          <w:rFonts w:hint="eastAsia" w:ascii="仿宋" w:hAnsi="仿宋" w:eastAsia="仿宋" w:cs="仿宋"/>
          <w:color w:val="000000"/>
          <w:sz w:val="30"/>
          <w:szCs w:val="30"/>
        </w:rPr>
        <w:t>人，其中：行政编制</w:t>
      </w:r>
      <w:r>
        <w:rPr>
          <w:rFonts w:hint="eastAsia" w:ascii="仿宋" w:hAnsi="仿宋" w:eastAsia="仿宋" w:cs="仿宋"/>
          <w:color w:val="000000"/>
          <w:sz w:val="30"/>
          <w:szCs w:val="30"/>
          <w:lang w:val="en-US" w:eastAsia="zh-CN"/>
        </w:rPr>
        <w:t>8</w:t>
      </w:r>
      <w:r>
        <w:rPr>
          <w:rFonts w:hint="eastAsia" w:ascii="仿宋" w:hAnsi="仿宋" w:eastAsia="仿宋" w:cs="仿宋"/>
          <w:color w:val="000000"/>
          <w:sz w:val="30"/>
          <w:szCs w:val="30"/>
        </w:rPr>
        <w:t>人、事业编制</w:t>
      </w:r>
      <w:r>
        <w:rPr>
          <w:rFonts w:hint="eastAsia" w:ascii="仿宋" w:hAnsi="仿宋" w:eastAsia="仿宋" w:cs="仿宋"/>
          <w:color w:val="000000"/>
          <w:sz w:val="30"/>
          <w:szCs w:val="30"/>
          <w:lang w:val="en-US" w:eastAsia="zh-CN"/>
        </w:rPr>
        <w:t>119</w:t>
      </w:r>
      <w:r>
        <w:rPr>
          <w:rFonts w:hint="eastAsia" w:ascii="仿宋" w:hAnsi="仿宋" w:eastAsia="仿宋" w:cs="仿宋"/>
          <w:color w:val="000000"/>
          <w:sz w:val="30"/>
          <w:szCs w:val="30"/>
        </w:rPr>
        <w:t>人</w:t>
      </w:r>
      <w:r>
        <w:rPr>
          <w:rFonts w:hint="eastAsia" w:ascii="仿宋" w:hAnsi="仿宋" w:eastAsia="仿宋" w:cs="仿宋"/>
          <w:color w:val="000000"/>
          <w:sz w:val="30"/>
          <w:szCs w:val="30"/>
          <w:lang w:val="en-US" w:eastAsia="zh-CN"/>
        </w:rPr>
        <w:t>,自收自支12人</w:t>
      </w:r>
      <w:r>
        <w:rPr>
          <w:rFonts w:hint="eastAsia" w:ascii="仿宋" w:hAnsi="仿宋" w:eastAsia="仿宋" w:cs="仿宋"/>
          <w:color w:val="000000"/>
          <w:sz w:val="30"/>
          <w:szCs w:val="30"/>
        </w:rPr>
        <w:t>；实有人数</w:t>
      </w:r>
      <w:r>
        <w:rPr>
          <w:rFonts w:hint="eastAsia" w:ascii="仿宋" w:hAnsi="仿宋" w:eastAsia="仿宋" w:cs="仿宋"/>
          <w:color w:val="000000"/>
          <w:sz w:val="30"/>
          <w:szCs w:val="30"/>
          <w:lang w:val="en-US" w:eastAsia="zh-CN"/>
        </w:rPr>
        <w:t>400</w:t>
      </w:r>
      <w:r>
        <w:rPr>
          <w:rFonts w:hint="eastAsia" w:ascii="仿宋" w:hAnsi="仿宋" w:eastAsia="仿宋" w:cs="仿宋"/>
          <w:color w:val="000000"/>
          <w:sz w:val="30"/>
          <w:szCs w:val="30"/>
        </w:rPr>
        <w:t>人，其中：在职人数</w:t>
      </w:r>
      <w:r>
        <w:rPr>
          <w:rFonts w:hint="eastAsia" w:ascii="仿宋" w:hAnsi="仿宋" w:eastAsia="仿宋" w:cs="仿宋"/>
          <w:color w:val="000000"/>
          <w:sz w:val="30"/>
          <w:szCs w:val="30"/>
          <w:lang w:val="en-US" w:eastAsia="zh-CN"/>
        </w:rPr>
        <w:t>113</w:t>
      </w:r>
      <w:r>
        <w:rPr>
          <w:rFonts w:hint="eastAsia" w:ascii="仿宋" w:hAnsi="仿宋" w:eastAsia="仿宋" w:cs="仿宋"/>
          <w:color w:val="000000"/>
          <w:sz w:val="30"/>
          <w:szCs w:val="30"/>
        </w:rPr>
        <w:t>人</w:t>
      </w:r>
      <w:r>
        <w:rPr>
          <w:rFonts w:hint="eastAsia" w:ascii="仿宋" w:hAnsi="仿宋" w:eastAsia="仿宋" w:cs="仿宋"/>
          <w:color w:val="000000"/>
          <w:sz w:val="30"/>
          <w:szCs w:val="30"/>
          <w:lang w:eastAsia="zh-CN"/>
        </w:rPr>
        <w:t>（公务员</w:t>
      </w:r>
      <w:r>
        <w:rPr>
          <w:rFonts w:hint="eastAsia" w:ascii="仿宋" w:hAnsi="仿宋" w:eastAsia="仿宋" w:cs="仿宋"/>
          <w:color w:val="000000"/>
          <w:sz w:val="30"/>
          <w:szCs w:val="30"/>
          <w:lang w:val="en-US" w:eastAsia="zh-CN"/>
        </w:rPr>
        <w:t>5人，</w:t>
      </w:r>
      <w:r>
        <w:rPr>
          <w:rFonts w:hint="eastAsia" w:ascii="仿宋" w:hAnsi="仿宋" w:eastAsia="仿宋" w:cs="仿宋"/>
          <w:color w:val="000000"/>
          <w:sz w:val="30"/>
          <w:szCs w:val="30"/>
        </w:rPr>
        <w:t>参公人员</w:t>
      </w: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人</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事业</w:t>
      </w:r>
      <w:r>
        <w:rPr>
          <w:rFonts w:hint="eastAsia" w:ascii="仿宋" w:hAnsi="仿宋" w:eastAsia="仿宋" w:cs="仿宋"/>
          <w:color w:val="000000"/>
          <w:sz w:val="30"/>
          <w:szCs w:val="30"/>
          <w:lang w:eastAsia="zh-CN"/>
        </w:rPr>
        <w:t>编制</w:t>
      </w:r>
      <w:r>
        <w:rPr>
          <w:rFonts w:hint="eastAsia" w:ascii="仿宋" w:hAnsi="仿宋" w:eastAsia="仿宋" w:cs="仿宋"/>
          <w:color w:val="000000"/>
          <w:sz w:val="30"/>
          <w:szCs w:val="30"/>
          <w:lang w:val="en-US" w:eastAsia="zh-CN"/>
        </w:rPr>
        <w:t>90</w:t>
      </w:r>
      <w:r>
        <w:rPr>
          <w:rFonts w:hint="eastAsia" w:ascii="仿宋" w:hAnsi="仿宋" w:eastAsia="仿宋" w:cs="仿宋"/>
          <w:color w:val="000000"/>
          <w:sz w:val="30"/>
          <w:szCs w:val="30"/>
        </w:rPr>
        <w:t>人</w:t>
      </w:r>
      <w:r>
        <w:rPr>
          <w:rFonts w:hint="eastAsia" w:ascii="仿宋" w:hAnsi="仿宋" w:eastAsia="仿宋" w:cs="仿宋"/>
          <w:color w:val="000000"/>
          <w:sz w:val="30"/>
          <w:szCs w:val="30"/>
          <w:lang w:eastAsia="zh-CN"/>
        </w:rPr>
        <w:t>，自收自支</w:t>
      </w:r>
      <w:r>
        <w:rPr>
          <w:rFonts w:hint="eastAsia" w:ascii="仿宋" w:hAnsi="仿宋" w:eastAsia="仿宋" w:cs="仿宋"/>
          <w:color w:val="000000"/>
          <w:sz w:val="30"/>
          <w:szCs w:val="30"/>
          <w:lang w:val="en-US" w:eastAsia="zh-CN"/>
        </w:rPr>
        <w:t>12人</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；退休人员</w:t>
      </w:r>
      <w:r>
        <w:rPr>
          <w:rFonts w:hint="eastAsia" w:ascii="仿宋" w:hAnsi="仿宋" w:eastAsia="仿宋" w:cs="仿宋"/>
          <w:color w:val="000000"/>
          <w:sz w:val="30"/>
          <w:szCs w:val="30"/>
          <w:lang w:val="en-US" w:eastAsia="zh-CN"/>
        </w:rPr>
        <w:t>81</w:t>
      </w:r>
      <w:r>
        <w:rPr>
          <w:rFonts w:hint="eastAsia" w:ascii="仿宋" w:hAnsi="仿宋" w:eastAsia="仿宋" w:cs="仿宋"/>
          <w:color w:val="000000"/>
          <w:sz w:val="30"/>
          <w:szCs w:val="30"/>
        </w:rPr>
        <w:t>人</w:t>
      </w:r>
      <w:r>
        <w:rPr>
          <w:rFonts w:hint="eastAsia" w:ascii="仿宋" w:hAnsi="仿宋" w:eastAsia="仿宋" w:cs="仿宋"/>
          <w:color w:val="000000"/>
          <w:sz w:val="30"/>
          <w:szCs w:val="30"/>
          <w:lang w:eastAsia="zh-CN"/>
        </w:rPr>
        <w:t>；遗属补助</w:t>
      </w:r>
      <w:r>
        <w:rPr>
          <w:rFonts w:hint="eastAsia" w:ascii="仿宋" w:hAnsi="仿宋" w:eastAsia="仿宋" w:cs="仿宋"/>
          <w:color w:val="000000"/>
          <w:sz w:val="30"/>
          <w:szCs w:val="30"/>
          <w:lang w:val="en-US" w:eastAsia="zh-CN"/>
        </w:rPr>
        <w:t>8人 ；临聘人员198人</w:t>
      </w:r>
      <w:r>
        <w:rPr>
          <w:rFonts w:hint="eastAsia" w:ascii="仿宋" w:hAnsi="仿宋" w:eastAsia="仿宋" w:cs="仿宋"/>
          <w:color w:val="000000"/>
          <w:sz w:val="30"/>
          <w:szCs w:val="30"/>
        </w:rPr>
        <w:t>。</w:t>
      </w:r>
    </w:p>
    <w:p>
      <w:pPr>
        <w:pStyle w:val="2"/>
        <w:rPr>
          <w:rFonts w:ascii="仿宋" w:hAnsi="仿宋" w:eastAsia="仿宋" w:cs="仿宋"/>
          <w:sz w:val="32"/>
          <w:szCs w:val="32"/>
        </w:rPr>
      </w:pPr>
    </w:p>
    <w:p>
      <w:pPr>
        <w:spacing w:line="560" w:lineRule="exact"/>
        <w:ind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城市管理局</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年兴国县</w:t>
      </w:r>
      <w:r>
        <w:rPr>
          <w:rFonts w:hint="eastAsia" w:ascii="仿宋" w:hAnsi="仿宋" w:eastAsia="仿宋" w:cs="仿宋"/>
          <w:sz w:val="30"/>
          <w:szCs w:val="30"/>
          <w:lang w:eastAsia="zh-CN"/>
        </w:rPr>
        <w:t>城市管理</w:t>
      </w:r>
      <w:r>
        <w:rPr>
          <w:rFonts w:hint="eastAsia" w:ascii="仿宋" w:hAnsi="仿宋" w:eastAsia="仿宋" w:cs="仿宋"/>
          <w:sz w:val="30"/>
          <w:szCs w:val="30"/>
        </w:rPr>
        <w:t>局收入预算总额为</w:t>
      </w:r>
      <w:r>
        <w:rPr>
          <w:rFonts w:hint="eastAsia" w:ascii="仿宋" w:hAnsi="仿宋" w:eastAsia="仿宋" w:cs="仿宋"/>
          <w:sz w:val="30"/>
          <w:szCs w:val="30"/>
          <w:lang w:val="en-US" w:eastAsia="zh-CN"/>
        </w:rPr>
        <w:t>62287.58</w:t>
      </w:r>
      <w:r>
        <w:rPr>
          <w:rFonts w:hint="eastAsia" w:ascii="仿宋" w:hAnsi="仿宋" w:eastAsia="仿宋" w:cs="仿宋"/>
          <w:sz w:val="30"/>
          <w:szCs w:val="30"/>
        </w:rPr>
        <w:t>万元，较上年预算安排（</w:t>
      </w:r>
      <w:r>
        <w:rPr>
          <w:rFonts w:hint="eastAsia" w:ascii="宋体" w:hAnsi="宋体" w:eastAsia="仿宋_GB2312" w:cs="仿宋_GB2312"/>
          <w:color w:val="000000"/>
          <w:sz w:val="30"/>
          <w:szCs w:val="30"/>
          <w:lang w:val="en-US" w:eastAsia="zh-CN"/>
        </w:rPr>
        <w:t>13086.30</w:t>
      </w:r>
      <w:r>
        <w:rPr>
          <w:rFonts w:hint="eastAsia" w:ascii="仿宋" w:hAnsi="仿宋" w:eastAsia="仿宋" w:cs="仿宋"/>
          <w:sz w:val="30"/>
          <w:szCs w:val="30"/>
        </w:rPr>
        <w:t>万元）</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49201.28万元，</w:t>
      </w:r>
      <w:r>
        <w:rPr>
          <w:rFonts w:hint="eastAsia" w:ascii="仿宋" w:hAnsi="仿宋" w:eastAsia="仿宋" w:cs="仿宋"/>
          <w:sz w:val="30"/>
          <w:szCs w:val="30"/>
        </w:rPr>
        <w:t>增加</w:t>
      </w:r>
      <w:r>
        <w:rPr>
          <w:rFonts w:hint="eastAsia" w:ascii="仿宋" w:hAnsi="仿宋" w:eastAsia="仿宋" w:cs="仿宋"/>
          <w:sz w:val="30"/>
          <w:szCs w:val="30"/>
          <w:lang w:val="en-US" w:eastAsia="zh-CN"/>
        </w:rPr>
        <w:t>375.98</w:t>
      </w:r>
      <w:r>
        <w:rPr>
          <w:rFonts w:hint="eastAsia" w:ascii="仿宋" w:hAnsi="仿宋" w:eastAsia="仿宋" w:cs="仿宋"/>
          <w:sz w:val="30"/>
          <w:szCs w:val="30"/>
        </w:rPr>
        <w:t>%，主要</w:t>
      </w:r>
      <w:r>
        <w:rPr>
          <w:rFonts w:hint="eastAsia" w:ascii="仿宋" w:hAnsi="仿宋" w:eastAsia="仿宋" w:cs="仿宋"/>
          <w:sz w:val="30"/>
          <w:szCs w:val="30"/>
          <w:lang w:eastAsia="zh-CN"/>
        </w:rPr>
        <w:t>是</w:t>
      </w:r>
      <w:r>
        <w:rPr>
          <w:rFonts w:hint="eastAsia" w:ascii="仿宋" w:hAnsi="仿宋" w:eastAsia="仿宋" w:cs="仿宋"/>
          <w:sz w:val="30"/>
          <w:szCs w:val="30"/>
        </w:rPr>
        <w:t>城市</w:t>
      </w:r>
      <w:r>
        <w:rPr>
          <w:rFonts w:hint="eastAsia" w:ascii="仿宋" w:hAnsi="仿宋" w:eastAsia="仿宋" w:cs="仿宋"/>
          <w:sz w:val="30"/>
          <w:szCs w:val="30"/>
          <w:lang w:eastAsia="zh-CN"/>
        </w:rPr>
        <w:t>公共基础设施建设项目支出</w:t>
      </w:r>
      <w:r>
        <w:rPr>
          <w:rFonts w:hint="eastAsia" w:ascii="仿宋" w:hAnsi="仿宋" w:eastAsia="仿宋" w:cs="仿宋"/>
          <w:sz w:val="30"/>
          <w:szCs w:val="30"/>
        </w:rPr>
        <w:t>增加。其中：财政拨款收入</w:t>
      </w:r>
      <w:r>
        <w:rPr>
          <w:rFonts w:hint="eastAsia" w:ascii="仿宋" w:hAnsi="仿宋" w:eastAsia="仿宋" w:cs="仿宋"/>
          <w:sz w:val="30"/>
          <w:szCs w:val="30"/>
          <w:lang w:val="en-US" w:eastAsia="zh-CN"/>
        </w:rPr>
        <w:t>15457.98</w:t>
      </w:r>
      <w:r>
        <w:rPr>
          <w:rFonts w:hint="eastAsia" w:ascii="仿宋" w:hAnsi="仿宋" w:eastAsia="仿宋" w:cs="仿宋"/>
          <w:sz w:val="30"/>
          <w:szCs w:val="30"/>
        </w:rPr>
        <w:t>万元，</w:t>
      </w:r>
      <w:r>
        <w:rPr>
          <w:rFonts w:hint="eastAsia" w:ascii="仿宋" w:hAnsi="仿宋" w:eastAsia="仿宋" w:cs="仿宋"/>
          <w:sz w:val="30"/>
          <w:szCs w:val="30"/>
          <w:lang w:eastAsia="zh-CN"/>
        </w:rPr>
        <w:t>上级补助收入</w:t>
      </w:r>
      <w:r>
        <w:rPr>
          <w:rFonts w:hint="eastAsia" w:ascii="仿宋" w:hAnsi="仿宋" w:eastAsia="仿宋" w:cs="仿宋"/>
          <w:sz w:val="30"/>
          <w:szCs w:val="30"/>
          <w:lang w:val="en-US" w:eastAsia="zh-CN"/>
        </w:rPr>
        <w:t>15万元，</w:t>
      </w:r>
      <w:r>
        <w:rPr>
          <w:rFonts w:hint="eastAsia" w:ascii="仿宋" w:hAnsi="仿宋" w:eastAsia="仿宋" w:cs="仿宋"/>
          <w:sz w:val="30"/>
          <w:szCs w:val="30"/>
        </w:rPr>
        <w:t>其他收入</w:t>
      </w:r>
      <w:r>
        <w:rPr>
          <w:rFonts w:hint="eastAsia" w:ascii="仿宋" w:hAnsi="仿宋" w:eastAsia="仿宋" w:cs="仿宋"/>
          <w:sz w:val="30"/>
          <w:szCs w:val="30"/>
          <w:lang w:val="en-US" w:eastAsia="zh-CN"/>
        </w:rPr>
        <w:t>13941.46</w:t>
      </w:r>
      <w:r>
        <w:rPr>
          <w:rFonts w:hint="eastAsia" w:ascii="仿宋" w:hAnsi="仿宋" w:eastAsia="仿宋" w:cs="仿宋"/>
          <w:sz w:val="30"/>
          <w:szCs w:val="30"/>
        </w:rPr>
        <w:t>万元</w:t>
      </w:r>
      <w:r>
        <w:rPr>
          <w:rFonts w:hint="eastAsia" w:ascii="仿宋" w:hAnsi="仿宋" w:eastAsia="仿宋" w:cs="仿宋"/>
          <w:sz w:val="30"/>
          <w:szCs w:val="30"/>
          <w:lang w:eastAsia="zh-CN"/>
        </w:rPr>
        <w:t>，上年结转结余</w:t>
      </w:r>
      <w:r>
        <w:rPr>
          <w:rFonts w:hint="eastAsia" w:ascii="仿宋" w:hAnsi="仿宋" w:eastAsia="仿宋" w:cs="仿宋"/>
          <w:sz w:val="30"/>
          <w:szCs w:val="30"/>
          <w:lang w:val="en-US" w:eastAsia="zh-CN"/>
        </w:rPr>
        <w:t>32873.14万元</w:t>
      </w:r>
      <w:r>
        <w:rPr>
          <w:rFonts w:hint="eastAsia" w:ascii="仿宋" w:hAnsi="仿宋" w:eastAsia="仿宋" w:cs="仿宋"/>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年兴国县</w:t>
      </w:r>
      <w:r>
        <w:rPr>
          <w:rFonts w:hint="eastAsia" w:ascii="仿宋" w:hAnsi="仿宋" w:eastAsia="仿宋" w:cs="仿宋"/>
          <w:sz w:val="30"/>
          <w:szCs w:val="30"/>
          <w:lang w:eastAsia="zh-CN"/>
        </w:rPr>
        <w:t>城市管理</w:t>
      </w:r>
      <w:r>
        <w:rPr>
          <w:rFonts w:hint="eastAsia" w:ascii="仿宋" w:hAnsi="仿宋" w:eastAsia="仿宋" w:cs="仿宋"/>
          <w:sz w:val="30"/>
          <w:szCs w:val="30"/>
        </w:rPr>
        <w:t>局支出预算总额为</w:t>
      </w:r>
      <w:r>
        <w:rPr>
          <w:rFonts w:hint="eastAsia" w:ascii="仿宋" w:hAnsi="仿宋" w:eastAsia="仿宋" w:cs="仿宋"/>
          <w:sz w:val="30"/>
          <w:szCs w:val="30"/>
          <w:lang w:val="en-US" w:eastAsia="zh-CN"/>
        </w:rPr>
        <w:t>62287.58</w:t>
      </w:r>
      <w:r>
        <w:rPr>
          <w:rFonts w:hint="eastAsia" w:ascii="仿宋" w:hAnsi="仿宋" w:eastAsia="仿宋" w:cs="仿宋"/>
          <w:sz w:val="30"/>
          <w:szCs w:val="30"/>
        </w:rPr>
        <w:t>万元，较上年预算安排（</w:t>
      </w:r>
      <w:r>
        <w:rPr>
          <w:rFonts w:hint="eastAsia" w:ascii="宋体" w:hAnsi="宋体" w:eastAsia="仿宋_GB2312" w:cs="仿宋_GB2312"/>
          <w:color w:val="000000"/>
          <w:sz w:val="32"/>
          <w:szCs w:val="32"/>
          <w:lang w:val="en-US" w:eastAsia="zh-CN"/>
        </w:rPr>
        <w:t>13086.30</w:t>
      </w:r>
      <w:r>
        <w:rPr>
          <w:rFonts w:hint="eastAsia" w:ascii="仿宋" w:hAnsi="仿宋" w:eastAsia="仿宋" w:cs="仿宋"/>
          <w:sz w:val="30"/>
          <w:szCs w:val="30"/>
        </w:rPr>
        <w:t>万元）</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49201.28万元，</w:t>
      </w:r>
      <w:r>
        <w:rPr>
          <w:rFonts w:hint="eastAsia" w:ascii="仿宋" w:hAnsi="仿宋" w:eastAsia="仿宋" w:cs="仿宋"/>
          <w:sz w:val="30"/>
          <w:szCs w:val="30"/>
        </w:rPr>
        <w:t>增加</w:t>
      </w:r>
      <w:r>
        <w:rPr>
          <w:rFonts w:hint="eastAsia" w:ascii="仿宋" w:hAnsi="仿宋" w:eastAsia="仿宋" w:cs="仿宋"/>
          <w:sz w:val="30"/>
          <w:szCs w:val="30"/>
          <w:lang w:val="en-US" w:eastAsia="zh-CN"/>
        </w:rPr>
        <w:t>375.98</w:t>
      </w:r>
      <w:r>
        <w:rPr>
          <w:rFonts w:hint="eastAsia" w:ascii="仿宋" w:hAnsi="仿宋" w:eastAsia="仿宋" w:cs="仿宋"/>
          <w:sz w:val="30"/>
          <w:szCs w:val="30"/>
        </w:rPr>
        <w:t>%，主要</w:t>
      </w:r>
      <w:r>
        <w:rPr>
          <w:rFonts w:hint="eastAsia" w:ascii="仿宋" w:hAnsi="仿宋" w:eastAsia="仿宋" w:cs="仿宋"/>
          <w:sz w:val="30"/>
          <w:szCs w:val="30"/>
          <w:lang w:eastAsia="zh-CN"/>
        </w:rPr>
        <w:t>是</w:t>
      </w:r>
      <w:r>
        <w:rPr>
          <w:rFonts w:hint="eastAsia" w:ascii="仿宋" w:hAnsi="仿宋" w:eastAsia="仿宋" w:cs="仿宋"/>
          <w:sz w:val="30"/>
          <w:szCs w:val="30"/>
        </w:rPr>
        <w:t>城市</w:t>
      </w:r>
      <w:r>
        <w:rPr>
          <w:rFonts w:hint="eastAsia" w:ascii="仿宋" w:hAnsi="仿宋" w:eastAsia="仿宋" w:cs="仿宋"/>
          <w:sz w:val="30"/>
          <w:szCs w:val="30"/>
          <w:lang w:eastAsia="zh-CN"/>
        </w:rPr>
        <w:t>公共基础设施建设项目支出</w:t>
      </w:r>
      <w:r>
        <w:rPr>
          <w:rFonts w:hint="eastAsia" w:ascii="仿宋" w:hAnsi="仿宋" w:eastAsia="仿宋" w:cs="仿宋"/>
          <w:sz w:val="30"/>
          <w:szCs w:val="30"/>
        </w:rPr>
        <w:t>增加。</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按支出项目类别划分：基本支出</w:t>
      </w:r>
      <w:r>
        <w:rPr>
          <w:rFonts w:hint="eastAsia" w:ascii="仿宋" w:hAnsi="仿宋" w:eastAsia="仿宋" w:cs="仿宋"/>
          <w:sz w:val="30"/>
          <w:szCs w:val="30"/>
          <w:lang w:val="en-US" w:eastAsia="zh-CN"/>
        </w:rPr>
        <w:t>2067.88</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438.55万元；</w:t>
      </w:r>
      <w:r>
        <w:rPr>
          <w:rFonts w:hint="eastAsia" w:ascii="仿宋" w:hAnsi="仿宋" w:eastAsia="仿宋" w:cs="仿宋"/>
          <w:sz w:val="30"/>
          <w:szCs w:val="30"/>
        </w:rPr>
        <w:t>包括人员支出</w:t>
      </w:r>
      <w:r>
        <w:rPr>
          <w:rFonts w:hint="eastAsia" w:ascii="仿宋" w:hAnsi="仿宋" w:eastAsia="仿宋" w:cs="仿宋"/>
          <w:color w:val="auto"/>
          <w:sz w:val="30"/>
          <w:szCs w:val="30"/>
          <w:lang w:val="en-US" w:eastAsia="zh-CN"/>
        </w:rPr>
        <w:t>1406.05</w:t>
      </w:r>
      <w:r>
        <w:rPr>
          <w:rFonts w:hint="eastAsia" w:ascii="仿宋" w:hAnsi="仿宋" w:eastAsia="仿宋" w:cs="仿宋"/>
          <w:sz w:val="30"/>
          <w:szCs w:val="30"/>
        </w:rPr>
        <w:t>万元、日常公用支出</w:t>
      </w:r>
      <w:r>
        <w:rPr>
          <w:rFonts w:hint="eastAsia" w:ascii="仿宋" w:hAnsi="仿宋" w:eastAsia="仿宋" w:cs="仿宋"/>
          <w:color w:val="auto"/>
          <w:sz w:val="30"/>
          <w:szCs w:val="30"/>
          <w:lang w:val="en-US" w:eastAsia="zh-CN"/>
        </w:rPr>
        <w:t>661.83</w:t>
      </w:r>
      <w:r>
        <w:rPr>
          <w:rFonts w:hint="eastAsia" w:ascii="仿宋" w:hAnsi="仿宋" w:eastAsia="仿宋" w:cs="仿宋"/>
          <w:sz w:val="30"/>
          <w:szCs w:val="30"/>
        </w:rPr>
        <w:t>万元；</w:t>
      </w:r>
      <w:r>
        <w:rPr>
          <w:rFonts w:hint="eastAsia" w:ascii="仿宋" w:hAnsi="仿宋" w:eastAsia="仿宋" w:cs="仿宋"/>
          <w:sz w:val="30"/>
          <w:szCs w:val="30"/>
          <w:lang w:eastAsia="zh-CN"/>
        </w:rPr>
        <w:t>项目支出</w:t>
      </w:r>
      <w:r>
        <w:rPr>
          <w:rFonts w:hint="eastAsia" w:ascii="仿宋" w:hAnsi="仿宋" w:eastAsia="仿宋" w:cs="仿宋"/>
          <w:sz w:val="30"/>
          <w:szCs w:val="30"/>
          <w:lang w:val="en-US" w:eastAsia="zh-CN"/>
        </w:rPr>
        <w:t>60219.70万元，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48802.31万元；包括</w:t>
      </w:r>
      <w:r>
        <w:rPr>
          <w:rFonts w:hint="eastAsia" w:ascii="仿宋" w:hAnsi="仿宋" w:eastAsia="仿宋" w:cs="仿宋"/>
          <w:sz w:val="30"/>
          <w:szCs w:val="30"/>
          <w:lang w:eastAsia="zh-CN"/>
        </w:rPr>
        <w:t>其他运转类</w:t>
      </w:r>
      <w:r>
        <w:rPr>
          <w:rFonts w:hint="eastAsia" w:ascii="仿宋" w:hAnsi="仿宋" w:eastAsia="仿宋" w:cs="仿宋"/>
          <w:sz w:val="30"/>
          <w:szCs w:val="30"/>
        </w:rPr>
        <w:t>支出</w:t>
      </w:r>
      <w:r>
        <w:rPr>
          <w:rFonts w:hint="eastAsia" w:ascii="仿宋" w:hAnsi="仿宋" w:eastAsia="仿宋" w:cs="仿宋"/>
          <w:sz w:val="30"/>
          <w:szCs w:val="30"/>
          <w:lang w:val="en-US" w:eastAsia="zh-CN"/>
        </w:rPr>
        <w:t>12679.66</w:t>
      </w:r>
      <w:r>
        <w:rPr>
          <w:rFonts w:hint="eastAsia" w:ascii="仿宋" w:hAnsi="仿宋" w:eastAsia="仿宋" w:cs="仿宋"/>
          <w:sz w:val="30"/>
          <w:szCs w:val="30"/>
        </w:rPr>
        <w:t>万元</w:t>
      </w:r>
      <w:r>
        <w:rPr>
          <w:rFonts w:hint="eastAsia" w:ascii="仿宋" w:hAnsi="仿宋" w:eastAsia="仿宋" w:cs="仿宋"/>
          <w:sz w:val="30"/>
          <w:szCs w:val="30"/>
          <w:lang w:eastAsia="zh-CN"/>
        </w:rPr>
        <w:t>；特定目标类支出</w:t>
      </w:r>
      <w:r>
        <w:rPr>
          <w:rFonts w:hint="eastAsia" w:ascii="仿宋" w:hAnsi="仿宋" w:eastAsia="仿宋" w:cs="仿宋"/>
          <w:sz w:val="30"/>
          <w:szCs w:val="30"/>
          <w:lang w:val="en-US" w:eastAsia="zh-CN"/>
        </w:rPr>
        <w:t>47540.04万元</w:t>
      </w:r>
      <w:r>
        <w:rPr>
          <w:rFonts w:hint="eastAsia" w:ascii="仿宋" w:hAnsi="仿宋" w:eastAsia="仿宋" w:cs="仿宋"/>
          <w:sz w:val="30"/>
          <w:szCs w:val="30"/>
        </w:rPr>
        <w:t>。</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按支出功能科目划分：社会保障和就业支出</w:t>
      </w:r>
      <w:r>
        <w:rPr>
          <w:rFonts w:hint="eastAsia" w:ascii="仿宋" w:hAnsi="仿宋" w:eastAsia="仿宋" w:cs="仿宋"/>
          <w:color w:val="auto"/>
          <w:sz w:val="30"/>
          <w:szCs w:val="30"/>
          <w:lang w:val="en-US" w:eastAsia="zh-CN"/>
        </w:rPr>
        <w:t>257.68</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174.11万元；</w:t>
      </w:r>
      <w:r>
        <w:rPr>
          <w:rFonts w:hint="eastAsia" w:ascii="仿宋" w:hAnsi="仿宋" w:eastAsia="仿宋" w:cs="仿宋"/>
          <w:sz w:val="30"/>
          <w:szCs w:val="30"/>
        </w:rPr>
        <w:t>卫生健康支出</w:t>
      </w:r>
      <w:r>
        <w:rPr>
          <w:rFonts w:hint="eastAsia" w:ascii="仿宋" w:hAnsi="仿宋" w:eastAsia="仿宋" w:cs="仿宋"/>
          <w:color w:val="auto"/>
          <w:sz w:val="30"/>
          <w:szCs w:val="30"/>
          <w:lang w:val="en-US" w:eastAsia="zh-CN"/>
        </w:rPr>
        <w:t>111.83</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33.59万元；</w:t>
      </w:r>
      <w:r>
        <w:rPr>
          <w:rFonts w:hint="eastAsia" w:ascii="仿宋" w:hAnsi="仿宋" w:eastAsia="仿宋" w:cs="仿宋"/>
          <w:sz w:val="30"/>
          <w:szCs w:val="30"/>
        </w:rPr>
        <w:t>住房保障支出</w:t>
      </w:r>
      <w:r>
        <w:rPr>
          <w:rFonts w:hint="eastAsia" w:ascii="仿宋" w:hAnsi="仿宋" w:eastAsia="仿宋" w:cs="仿宋"/>
          <w:color w:val="auto"/>
          <w:sz w:val="30"/>
          <w:szCs w:val="30"/>
          <w:lang w:val="en-US" w:eastAsia="zh-CN"/>
        </w:rPr>
        <w:t>113.45</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62.25万元；</w:t>
      </w:r>
      <w:r>
        <w:rPr>
          <w:rFonts w:hint="eastAsia" w:ascii="仿宋" w:hAnsi="仿宋" w:eastAsia="仿宋" w:cs="仿宋"/>
          <w:sz w:val="30"/>
          <w:szCs w:val="30"/>
          <w:lang w:eastAsia="zh-CN"/>
        </w:rPr>
        <w:t>其他相关支出</w:t>
      </w:r>
      <w:r>
        <w:rPr>
          <w:rFonts w:hint="eastAsia" w:ascii="仿宋" w:hAnsi="仿宋" w:eastAsia="仿宋" w:cs="仿宋"/>
          <w:sz w:val="30"/>
          <w:szCs w:val="30"/>
          <w:lang w:val="en-US" w:eastAsia="zh-CN"/>
        </w:rPr>
        <w:t>61804.62万元，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48932.86万元</w:t>
      </w:r>
      <w:r>
        <w:rPr>
          <w:rFonts w:hint="eastAsia" w:ascii="仿宋" w:hAnsi="仿宋" w:eastAsia="仿宋" w:cs="仿宋"/>
          <w:sz w:val="30"/>
          <w:szCs w:val="30"/>
        </w:rPr>
        <w:t>。</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按支出经济分类划分：工资福利支出</w:t>
      </w:r>
      <w:r>
        <w:rPr>
          <w:rFonts w:hint="eastAsia" w:ascii="仿宋" w:hAnsi="仿宋" w:eastAsia="仿宋" w:cs="仿宋"/>
          <w:color w:val="auto"/>
          <w:sz w:val="30"/>
          <w:szCs w:val="30"/>
          <w:lang w:val="en-US" w:eastAsia="zh-CN"/>
        </w:rPr>
        <w:t>1395.94</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1.7万元；</w:t>
      </w:r>
      <w:r>
        <w:rPr>
          <w:rFonts w:hint="eastAsia" w:ascii="仿宋" w:hAnsi="仿宋" w:eastAsia="仿宋" w:cs="仿宋"/>
          <w:sz w:val="30"/>
          <w:szCs w:val="30"/>
        </w:rPr>
        <w:t>商品和服务支出</w:t>
      </w:r>
      <w:r>
        <w:rPr>
          <w:rFonts w:hint="eastAsia" w:ascii="仿宋" w:hAnsi="仿宋" w:eastAsia="仿宋" w:cs="仿宋"/>
          <w:color w:val="auto"/>
          <w:sz w:val="30"/>
          <w:szCs w:val="30"/>
          <w:lang w:val="en-US" w:eastAsia="zh-CN"/>
        </w:rPr>
        <w:t>650.18</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421.74万元；</w:t>
      </w:r>
      <w:r>
        <w:rPr>
          <w:rFonts w:hint="eastAsia" w:ascii="仿宋" w:hAnsi="仿宋" w:eastAsia="仿宋" w:cs="仿宋"/>
          <w:sz w:val="30"/>
          <w:szCs w:val="30"/>
        </w:rPr>
        <w:t>对个人和家庭补助</w:t>
      </w:r>
      <w:r>
        <w:rPr>
          <w:rFonts w:hint="eastAsia" w:ascii="仿宋" w:hAnsi="仿宋" w:eastAsia="仿宋" w:cs="仿宋"/>
          <w:color w:val="auto"/>
          <w:sz w:val="30"/>
          <w:szCs w:val="30"/>
          <w:lang w:val="en-US" w:eastAsia="zh-CN"/>
        </w:rPr>
        <w:t>10.11</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3.46万元；</w:t>
      </w:r>
      <w:r>
        <w:rPr>
          <w:rFonts w:hint="eastAsia" w:ascii="仿宋" w:hAnsi="仿宋" w:eastAsia="仿宋" w:cs="仿宋"/>
          <w:sz w:val="30"/>
          <w:szCs w:val="30"/>
        </w:rPr>
        <w:t>其他相关支出</w:t>
      </w:r>
      <w:r>
        <w:rPr>
          <w:rFonts w:hint="eastAsia" w:ascii="仿宋" w:hAnsi="仿宋" w:eastAsia="仿宋" w:cs="仿宋"/>
          <w:color w:val="auto"/>
          <w:sz w:val="30"/>
          <w:szCs w:val="30"/>
          <w:lang w:val="en-US" w:eastAsia="zh-CN"/>
        </w:rPr>
        <w:t>60231.35</w:t>
      </w:r>
      <w:r>
        <w:rPr>
          <w:rFonts w:hint="eastAsia" w:ascii="仿宋" w:hAnsi="仿宋" w:eastAsia="仿宋" w:cs="仿宋"/>
          <w:sz w:val="30"/>
          <w:szCs w:val="30"/>
        </w:rPr>
        <w:t>万元</w:t>
      </w:r>
      <w:r>
        <w:rPr>
          <w:rFonts w:hint="eastAsia" w:ascii="仿宋" w:hAnsi="仿宋" w:eastAsia="仿宋" w:cs="仿宋"/>
          <w:sz w:val="30"/>
          <w:szCs w:val="30"/>
          <w:lang w:eastAsia="zh-CN"/>
        </w:rPr>
        <w:t>，较</w:t>
      </w:r>
      <w:r>
        <w:rPr>
          <w:rFonts w:hint="eastAsia" w:ascii="仿宋" w:hAnsi="仿宋" w:eastAsia="仿宋" w:cs="仿宋"/>
          <w:sz w:val="30"/>
          <w:szCs w:val="30"/>
        </w:rPr>
        <w:t>上年预算安排</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48774.38万元</w:t>
      </w:r>
      <w:r>
        <w:rPr>
          <w:rFonts w:hint="eastAsia" w:ascii="仿宋" w:hAnsi="仿宋" w:eastAsia="仿宋" w:cs="仿宋"/>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2022年本单位财政拨款（补助）支出预算15457.98万元，较上年预算安排增加7540.2万元。增减变化主要原因是：</w:t>
      </w:r>
      <w:r>
        <w:rPr>
          <w:rFonts w:hint="eastAsia" w:ascii="仿宋" w:hAnsi="仿宋" w:eastAsia="仿宋" w:cs="仿宋"/>
          <w:color w:val="auto"/>
          <w:spacing w:val="2"/>
          <w:sz w:val="30"/>
          <w:szCs w:val="30"/>
        </w:rPr>
        <w:t>城市</w:t>
      </w:r>
      <w:r>
        <w:rPr>
          <w:rFonts w:hint="eastAsia" w:ascii="仿宋" w:hAnsi="仿宋" w:eastAsia="仿宋" w:cs="仿宋"/>
          <w:color w:val="auto"/>
          <w:spacing w:val="1"/>
          <w:sz w:val="30"/>
          <w:szCs w:val="30"/>
        </w:rPr>
        <w:t>公共基础</w:t>
      </w:r>
      <w:r>
        <w:rPr>
          <w:rFonts w:hint="eastAsia" w:ascii="仿宋" w:hAnsi="仿宋" w:eastAsia="仿宋" w:cs="仿宋"/>
          <w:color w:val="auto"/>
          <w:spacing w:val="-2"/>
          <w:sz w:val="30"/>
          <w:szCs w:val="30"/>
        </w:rPr>
        <w:t>设施建设项目支出</w:t>
      </w:r>
      <w:r>
        <w:rPr>
          <w:rFonts w:hint="eastAsia" w:ascii="仿宋" w:hAnsi="仿宋" w:eastAsia="仿宋" w:cs="仿宋"/>
          <w:color w:val="auto"/>
          <w:spacing w:val="-2"/>
          <w:sz w:val="30"/>
          <w:szCs w:val="30"/>
          <w:lang w:eastAsia="zh-CN"/>
        </w:rPr>
        <w:t>增加</w:t>
      </w:r>
      <w:r>
        <w:rPr>
          <w:rFonts w:hint="eastAsia" w:ascii="仿宋" w:hAnsi="仿宋" w:eastAsia="仿宋" w:cs="仿宋"/>
          <w:color w:val="auto"/>
          <w:sz w:val="30"/>
          <w:szCs w:val="30"/>
          <w:lang w:val="en-US" w:eastAsia="zh-CN"/>
        </w:rPr>
        <w:t>。具体为：</w:t>
      </w:r>
    </w:p>
    <w:p>
      <w:pPr>
        <w:pStyle w:val="2"/>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按支出经济分类科目划分：基本支出2053.73万元，较上年预算安排增加424.4万元，其中：工资福利支出1382.56元，商品和服务支出650.18万元，对个人和家庭的补助9.34万元；项目支出13404.25万元，较上年预算安排增加7115.8万元；资本性支出11.65万元，较上年预算安排增加11.65万元。</w:t>
      </w:r>
    </w:p>
    <w:p>
      <w:pPr>
        <w:spacing w:line="56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按支出功能分类科目划分：</w:t>
      </w:r>
      <w:r>
        <w:rPr>
          <w:rFonts w:hint="eastAsia" w:ascii="仿宋" w:hAnsi="仿宋" w:eastAsia="仿宋" w:cs="仿宋"/>
          <w:color w:val="auto"/>
          <w:spacing w:val="-4"/>
          <w:sz w:val="30"/>
          <w:szCs w:val="30"/>
        </w:rPr>
        <w:t>社会保障和就业支出</w:t>
      </w:r>
      <w:r>
        <w:rPr>
          <w:rFonts w:hint="eastAsia" w:ascii="仿宋" w:hAnsi="仿宋" w:eastAsia="仿宋" w:cs="仿宋"/>
          <w:color w:val="auto"/>
          <w:spacing w:val="-4"/>
          <w:sz w:val="30"/>
          <w:szCs w:val="30"/>
          <w:lang w:val="en-US" w:eastAsia="zh-CN"/>
        </w:rPr>
        <w:t>255.80</w:t>
      </w:r>
      <w:r>
        <w:rPr>
          <w:rFonts w:hint="eastAsia" w:ascii="仿宋" w:hAnsi="仿宋" w:eastAsia="仿宋" w:cs="仿宋"/>
          <w:color w:val="auto"/>
          <w:spacing w:val="-4"/>
          <w:sz w:val="30"/>
          <w:szCs w:val="30"/>
        </w:rPr>
        <w:t>万元</w:t>
      </w:r>
      <w:r>
        <w:rPr>
          <w:rFonts w:hint="eastAsia" w:ascii="仿宋" w:hAnsi="仿宋" w:eastAsia="仿宋" w:cs="仿宋"/>
          <w:color w:val="auto"/>
          <w:sz w:val="30"/>
          <w:szCs w:val="30"/>
          <w:lang w:val="en-US" w:eastAsia="zh-CN"/>
        </w:rPr>
        <w:t>较上年预算安排增加172.23万元；</w:t>
      </w:r>
      <w:r>
        <w:rPr>
          <w:rFonts w:hint="eastAsia" w:ascii="仿宋" w:hAnsi="仿宋" w:eastAsia="仿宋" w:cs="仿宋"/>
          <w:color w:val="auto"/>
          <w:spacing w:val="-5"/>
          <w:sz w:val="30"/>
          <w:szCs w:val="30"/>
        </w:rPr>
        <w:t>卫生健康支出</w:t>
      </w:r>
      <w:r>
        <w:rPr>
          <w:rFonts w:hint="eastAsia" w:ascii="仿宋" w:hAnsi="仿宋" w:eastAsia="仿宋" w:cs="仿宋"/>
          <w:color w:val="auto"/>
          <w:spacing w:val="7"/>
          <w:sz w:val="30"/>
          <w:szCs w:val="30"/>
          <w:lang w:val="en-US" w:eastAsia="zh-CN"/>
        </w:rPr>
        <w:t>111.75</w:t>
      </w:r>
      <w:r>
        <w:rPr>
          <w:rFonts w:hint="eastAsia" w:ascii="仿宋" w:hAnsi="仿宋" w:eastAsia="仿宋" w:cs="仿宋"/>
          <w:color w:val="auto"/>
          <w:spacing w:val="7"/>
          <w:sz w:val="30"/>
          <w:szCs w:val="30"/>
        </w:rPr>
        <w:t>万元</w:t>
      </w:r>
      <w:r>
        <w:rPr>
          <w:rFonts w:hint="eastAsia" w:ascii="仿宋" w:hAnsi="仿宋" w:eastAsia="仿宋" w:cs="仿宋"/>
          <w:color w:val="auto"/>
          <w:spacing w:val="-85"/>
          <w:sz w:val="30"/>
          <w:szCs w:val="30"/>
        </w:rPr>
        <w:t xml:space="preserve"> </w:t>
      </w:r>
      <w:r>
        <w:rPr>
          <w:rFonts w:hint="eastAsia" w:ascii="仿宋" w:hAnsi="仿宋" w:eastAsia="仿宋" w:cs="仿宋"/>
          <w:color w:val="auto"/>
          <w:spacing w:val="7"/>
          <w:sz w:val="30"/>
          <w:szCs w:val="30"/>
        </w:rPr>
        <w:t>，</w:t>
      </w:r>
      <w:r>
        <w:rPr>
          <w:rFonts w:hint="eastAsia" w:ascii="仿宋" w:hAnsi="仿宋" w:eastAsia="仿宋" w:cs="仿宋"/>
          <w:color w:val="auto"/>
          <w:sz w:val="30"/>
          <w:szCs w:val="30"/>
          <w:lang w:val="en-US" w:eastAsia="zh-CN"/>
        </w:rPr>
        <w:t>较上年预算安排增加33.51万元；</w:t>
      </w:r>
      <w:r>
        <w:rPr>
          <w:rFonts w:hint="eastAsia" w:ascii="仿宋" w:hAnsi="仿宋" w:eastAsia="仿宋" w:cs="仿宋"/>
          <w:color w:val="auto"/>
          <w:spacing w:val="7"/>
          <w:sz w:val="30"/>
          <w:szCs w:val="30"/>
        </w:rPr>
        <w:t>住房保障支出</w:t>
      </w:r>
      <w:r>
        <w:rPr>
          <w:rFonts w:hint="eastAsia" w:ascii="仿宋" w:hAnsi="仿宋" w:eastAsia="仿宋" w:cs="仿宋"/>
          <w:color w:val="auto"/>
          <w:spacing w:val="7"/>
          <w:sz w:val="30"/>
          <w:szCs w:val="30"/>
          <w:lang w:val="en-US" w:eastAsia="zh-CN"/>
        </w:rPr>
        <w:t>113.45</w:t>
      </w:r>
      <w:r>
        <w:rPr>
          <w:rFonts w:hint="eastAsia" w:ascii="仿宋" w:hAnsi="仿宋" w:eastAsia="仿宋" w:cs="仿宋"/>
          <w:color w:val="auto"/>
          <w:spacing w:val="6"/>
          <w:sz w:val="30"/>
          <w:szCs w:val="30"/>
        </w:rPr>
        <w:t>万元</w:t>
      </w:r>
      <w:r>
        <w:rPr>
          <w:rFonts w:hint="eastAsia" w:ascii="仿宋" w:hAnsi="仿宋" w:eastAsia="仿宋" w:cs="仿宋"/>
          <w:color w:val="auto"/>
          <w:spacing w:val="-83"/>
          <w:sz w:val="30"/>
          <w:szCs w:val="30"/>
        </w:rPr>
        <w:t xml:space="preserve"> </w:t>
      </w:r>
      <w:r>
        <w:rPr>
          <w:rFonts w:hint="eastAsia" w:ascii="仿宋" w:hAnsi="仿宋" w:eastAsia="仿宋" w:cs="仿宋"/>
          <w:color w:val="auto"/>
          <w:spacing w:val="6"/>
          <w:sz w:val="30"/>
          <w:szCs w:val="30"/>
        </w:rPr>
        <w:t>,</w:t>
      </w:r>
      <w:r>
        <w:rPr>
          <w:rFonts w:hint="eastAsia" w:ascii="仿宋" w:hAnsi="仿宋" w:eastAsia="仿宋" w:cs="仿宋"/>
          <w:color w:val="auto"/>
          <w:sz w:val="30"/>
          <w:szCs w:val="30"/>
          <w:lang w:val="en-US" w:eastAsia="zh-CN"/>
        </w:rPr>
        <w:t>较上年预算安排增加62.25万元;</w:t>
      </w:r>
      <w:r>
        <w:rPr>
          <w:rFonts w:hint="eastAsia" w:ascii="仿宋" w:hAnsi="仿宋" w:eastAsia="仿宋" w:cs="仿宋"/>
          <w:color w:val="auto"/>
          <w:spacing w:val="6"/>
          <w:sz w:val="30"/>
          <w:szCs w:val="30"/>
          <w:lang w:eastAsia="zh-CN"/>
        </w:rPr>
        <w:t>城乡社区支出</w:t>
      </w:r>
      <w:r>
        <w:rPr>
          <w:rFonts w:hint="eastAsia" w:ascii="仿宋" w:hAnsi="仿宋" w:eastAsia="仿宋" w:cs="仿宋"/>
          <w:color w:val="auto"/>
          <w:spacing w:val="6"/>
          <w:sz w:val="30"/>
          <w:szCs w:val="30"/>
          <w:lang w:val="en-US" w:eastAsia="zh-CN"/>
        </w:rPr>
        <w:t>6300.78万元，</w:t>
      </w:r>
      <w:r>
        <w:rPr>
          <w:rFonts w:hint="eastAsia" w:ascii="仿宋" w:hAnsi="仿宋" w:eastAsia="仿宋" w:cs="仿宋"/>
          <w:color w:val="auto"/>
          <w:sz w:val="30"/>
          <w:szCs w:val="30"/>
          <w:lang w:val="en-US" w:eastAsia="zh-CN"/>
        </w:rPr>
        <w:t>较上年预算安排增加1402.49万元。</w:t>
      </w:r>
      <w:r>
        <w:rPr>
          <w:rFonts w:hint="eastAsia" w:ascii="仿宋" w:hAnsi="仿宋" w:eastAsia="仿宋" w:cs="仿宋"/>
          <w:color w:val="auto"/>
          <w:spacing w:val="6"/>
          <w:sz w:val="30"/>
          <w:szCs w:val="30"/>
          <w:lang w:eastAsia="zh-CN"/>
        </w:rPr>
        <w:t>一般公共服务支出</w:t>
      </w:r>
      <w:r>
        <w:rPr>
          <w:rFonts w:hint="eastAsia" w:ascii="仿宋" w:hAnsi="仿宋" w:eastAsia="仿宋" w:cs="仿宋"/>
          <w:color w:val="auto"/>
          <w:spacing w:val="6"/>
          <w:sz w:val="30"/>
          <w:szCs w:val="30"/>
          <w:lang w:val="en-US" w:eastAsia="zh-CN"/>
        </w:rPr>
        <w:t>8676.20万元，</w:t>
      </w:r>
      <w:r>
        <w:rPr>
          <w:rFonts w:hint="eastAsia" w:ascii="仿宋" w:hAnsi="仿宋" w:eastAsia="仿宋" w:cs="仿宋"/>
          <w:color w:val="auto"/>
          <w:sz w:val="30"/>
          <w:szCs w:val="30"/>
          <w:lang w:val="en-US" w:eastAsia="zh-CN"/>
        </w:rPr>
        <w:t>较上年预算安排增加8676.20万元。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兴国县</w:t>
      </w:r>
      <w:r>
        <w:rPr>
          <w:rFonts w:hint="eastAsia" w:ascii="仿宋" w:hAnsi="仿宋" w:eastAsia="仿宋" w:cs="仿宋"/>
          <w:sz w:val="30"/>
          <w:szCs w:val="30"/>
          <w:lang w:eastAsia="zh-CN"/>
        </w:rPr>
        <w:t>城市管理局</w:t>
      </w:r>
      <w:r>
        <w:rPr>
          <w:rFonts w:hint="eastAsia" w:ascii="仿宋" w:hAnsi="仿宋" w:eastAsia="仿宋" w:cs="仿宋"/>
          <w:sz w:val="30"/>
          <w:szCs w:val="30"/>
        </w:rPr>
        <w:t>无此项预算。</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年机关运行费预算</w:t>
      </w:r>
      <w:r>
        <w:rPr>
          <w:rFonts w:hint="eastAsia" w:ascii="仿宋" w:hAnsi="仿宋" w:eastAsia="仿宋" w:cs="仿宋"/>
          <w:sz w:val="30"/>
          <w:szCs w:val="30"/>
          <w:lang w:val="en-US" w:eastAsia="zh-CN"/>
        </w:rPr>
        <w:t>65.66</w:t>
      </w:r>
      <w:r>
        <w:rPr>
          <w:rFonts w:hint="eastAsia" w:ascii="仿宋" w:hAnsi="仿宋" w:eastAsia="仿宋" w:cs="仿宋"/>
          <w:sz w:val="30"/>
          <w:szCs w:val="30"/>
        </w:rPr>
        <w:t>万元，比202</w:t>
      </w:r>
      <w:r>
        <w:rPr>
          <w:rFonts w:hint="eastAsia" w:ascii="仿宋" w:hAnsi="仿宋" w:eastAsia="仿宋" w:cs="仿宋"/>
          <w:sz w:val="30"/>
          <w:szCs w:val="30"/>
          <w:lang w:val="en-US" w:eastAsia="zh-CN"/>
        </w:rPr>
        <w:t>1</w:t>
      </w:r>
      <w:r>
        <w:rPr>
          <w:rFonts w:hint="eastAsia" w:ascii="仿宋" w:hAnsi="仿宋" w:eastAsia="仿宋" w:cs="仿宋"/>
          <w:sz w:val="30"/>
          <w:szCs w:val="30"/>
        </w:rPr>
        <w:t>年预算（</w:t>
      </w:r>
      <w:r>
        <w:rPr>
          <w:rFonts w:hint="eastAsia" w:ascii="仿宋" w:hAnsi="仿宋" w:eastAsia="仿宋" w:cs="仿宋"/>
          <w:sz w:val="30"/>
          <w:szCs w:val="30"/>
          <w:lang w:val="en-US" w:eastAsia="zh-CN"/>
        </w:rPr>
        <w:t>160.28</w:t>
      </w:r>
      <w:r>
        <w:rPr>
          <w:rFonts w:hint="eastAsia" w:ascii="仿宋" w:hAnsi="仿宋" w:eastAsia="仿宋" w:cs="仿宋"/>
          <w:sz w:val="30"/>
          <w:szCs w:val="30"/>
        </w:rPr>
        <w:t>万元）</w:t>
      </w:r>
      <w:r>
        <w:rPr>
          <w:rFonts w:hint="eastAsia" w:ascii="仿宋" w:hAnsi="仿宋" w:eastAsia="仿宋" w:cs="仿宋"/>
          <w:sz w:val="30"/>
          <w:szCs w:val="30"/>
          <w:lang w:eastAsia="zh-CN"/>
        </w:rPr>
        <w:t>减少</w:t>
      </w:r>
      <w:r>
        <w:rPr>
          <w:rFonts w:hint="eastAsia" w:ascii="仿宋" w:hAnsi="仿宋" w:eastAsia="仿宋" w:cs="仿宋"/>
          <w:sz w:val="30"/>
          <w:szCs w:val="30"/>
          <w:lang w:val="en-US" w:eastAsia="zh-CN"/>
        </w:rPr>
        <w:t>94.62</w:t>
      </w:r>
      <w:r>
        <w:rPr>
          <w:rFonts w:hint="eastAsia" w:ascii="仿宋" w:hAnsi="仿宋" w:eastAsia="仿宋" w:cs="仿宋"/>
          <w:sz w:val="30"/>
          <w:szCs w:val="30"/>
        </w:rPr>
        <w:t>万元，</w:t>
      </w:r>
      <w:r>
        <w:rPr>
          <w:rFonts w:hint="eastAsia" w:ascii="仿宋" w:hAnsi="仿宋" w:eastAsia="仿宋" w:cs="仿宋"/>
          <w:sz w:val="30"/>
          <w:szCs w:val="30"/>
          <w:lang w:eastAsia="zh-CN"/>
        </w:rPr>
        <w:t>降低</w:t>
      </w:r>
      <w:r>
        <w:rPr>
          <w:rFonts w:hint="eastAsia" w:ascii="仿宋" w:hAnsi="仿宋" w:eastAsia="仿宋" w:cs="仿宋"/>
          <w:sz w:val="30"/>
          <w:szCs w:val="30"/>
          <w:lang w:val="en-US" w:eastAsia="zh-CN"/>
        </w:rPr>
        <w:t>59%</w:t>
      </w:r>
      <w:r>
        <w:rPr>
          <w:rFonts w:hint="eastAsia" w:ascii="仿宋" w:hAnsi="仿宋" w:eastAsia="仿宋" w:cs="仿宋"/>
          <w:sz w:val="30"/>
          <w:szCs w:val="30"/>
        </w:rPr>
        <w:t>。主要原因是</w:t>
      </w:r>
      <w:r>
        <w:rPr>
          <w:rFonts w:hint="eastAsia" w:ascii="仿宋" w:hAnsi="仿宋" w:eastAsia="仿宋" w:cs="仿宋"/>
          <w:sz w:val="30"/>
          <w:szCs w:val="30"/>
          <w:lang w:eastAsia="zh-CN"/>
        </w:rPr>
        <w:t>行政事业单位改革人员减少，经费开支压缩</w:t>
      </w:r>
      <w:r>
        <w:rPr>
          <w:rFonts w:hint="eastAsia" w:ascii="仿宋" w:hAnsi="仿宋" w:eastAsia="仿宋" w:cs="仿宋"/>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2022年本部门政府采购总额</w:t>
      </w:r>
      <w:r>
        <w:rPr>
          <w:rFonts w:hint="eastAsia" w:ascii="仿宋" w:hAnsi="仿宋" w:eastAsia="仿宋" w:cs="仿宋"/>
          <w:sz w:val="30"/>
          <w:szCs w:val="30"/>
          <w:lang w:val="en-US" w:eastAsia="zh-CN"/>
        </w:rPr>
        <w:t>7183.65</w:t>
      </w:r>
      <w:r>
        <w:rPr>
          <w:rFonts w:hint="eastAsia" w:ascii="仿宋" w:hAnsi="仿宋" w:eastAsia="仿宋" w:cs="仿宋"/>
          <w:sz w:val="30"/>
          <w:szCs w:val="30"/>
        </w:rPr>
        <w:t>万元，其中：政府采购货物预算</w:t>
      </w:r>
      <w:r>
        <w:rPr>
          <w:rFonts w:hint="eastAsia" w:ascii="仿宋" w:hAnsi="仿宋" w:eastAsia="仿宋" w:cs="仿宋"/>
          <w:sz w:val="30"/>
          <w:szCs w:val="30"/>
          <w:lang w:val="en-US" w:eastAsia="zh-CN"/>
        </w:rPr>
        <w:t>258.65</w:t>
      </w:r>
      <w:r>
        <w:rPr>
          <w:rFonts w:hint="eastAsia" w:ascii="仿宋" w:hAnsi="仿宋" w:eastAsia="仿宋" w:cs="仿宋"/>
          <w:sz w:val="30"/>
          <w:szCs w:val="30"/>
        </w:rPr>
        <w:t>万元、政府采购服务预算</w:t>
      </w:r>
      <w:r>
        <w:rPr>
          <w:rFonts w:hint="eastAsia" w:ascii="仿宋" w:hAnsi="仿宋" w:eastAsia="仿宋" w:cs="仿宋"/>
          <w:sz w:val="30"/>
          <w:szCs w:val="30"/>
          <w:lang w:val="en-US" w:eastAsia="zh-CN"/>
        </w:rPr>
        <w:t>6925</w:t>
      </w:r>
      <w:r>
        <w:rPr>
          <w:rFonts w:hint="eastAsia" w:ascii="仿宋" w:hAnsi="仿宋" w:eastAsia="仿宋" w:cs="仿宋"/>
          <w:sz w:val="30"/>
          <w:szCs w:val="30"/>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00" w:firstLineChars="200"/>
        <w:rPr>
          <w:rFonts w:hint="eastAsia"/>
          <w:sz w:val="30"/>
          <w:szCs w:val="30"/>
          <w:lang w:val="en-US" w:eastAsia="zh-CN"/>
        </w:rPr>
      </w:pPr>
      <w:r>
        <w:rPr>
          <w:rFonts w:hint="eastAsia" w:ascii="仿宋" w:hAnsi="仿宋" w:eastAsia="仿宋" w:cs="仿宋"/>
          <w:color w:val="auto"/>
          <w:sz w:val="30"/>
          <w:szCs w:val="30"/>
        </w:rPr>
        <w:t>截至</w:t>
      </w:r>
      <w:r>
        <w:rPr>
          <w:rFonts w:hint="eastAsia" w:ascii="仿宋" w:hAnsi="仿宋" w:eastAsia="仿宋" w:cs="仿宋"/>
          <w:b w:val="0"/>
          <w:bCs w:val="0"/>
          <w:color w:val="auto"/>
          <w:sz w:val="30"/>
          <w:szCs w:val="30"/>
          <w:lang w:val="en-US" w:eastAsia="zh-CN"/>
        </w:rPr>
        <w:t>2022年</w:t>
      </w:r>
      <w:r>
        <w:rPr>
          <w:rFonts w:hint="eastAsia" w:ascii="仿宋" w:hAnsi="仿宋" w:eastAsia="仿宋" w:cs="仿宋"/>
          <w:color w:val="auto"/>
          <w:sz w:val="30"/>
          <w:szCs w:val="30"/>
        </w:rPr>
        <w:t>12月31日</w:t>
      </w:r>
      <w:r>
        <w:rPr>
          <w:rFonts w:hint="eastAsia" w:ascii="仿宋" w:hAnsi="仿宋" w:eastAsia="仿宋" w:cs="仿宋"/>
          <w:color w:val="auto"/>
          <w:sz w:val="30"/>
          <w:szCs w:val="30"/>
          <w:lang w:eastAsia="zh-CN"/>
        </w:rPr>
        <w:t>，本部六</w:t>
      </w:r>
      <w:r>
        <w:rPr>
          <w:rFonts w:hint="eastAsia" w:ascii="仿宋" w:hAnsi="仿宋" w:eastAsia="仿宋" w:cs="仿宋"/>
          <w:color w:val="auto"/>
          <w:sz w:val="30"/>
          <w:szCs w:val="30"/>
        </w:rPr>
        <w:t>共有车辆</w:t>
      </w:r>
      <w:r>
        <w:rPr>
          <w:rFonts w:hint="eastAsia" w:ascii="仿宋" w:hAnsi="仿宋" w:eastAsia="仿宋" w:cs="仿宋"/>
          <w:color w:val="auto"/>
          <w:sz w:val="30"/>
          <w:szCs w:val="30"/>
          <w:lang w:val="en-US" w:eastAsia="zh-CN"/>
        </w:rPr>
        <w:t>26</w:t>
      </w:r>
      <w:r>
        <w:rPr>
          <w:rFonts w:hint="eastAsia" w:ascii="仿宋" w:hAnsi="仿宋" w:eastAsia="仿宋" w:cs="仿宋"/>
          <w:color w:val="auto"/>
          <w:sz w:val="30"/>
          <w:szCs w:val="30"/>
        </w:rPr>
        <w:t>辆</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其中</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一般公务用车</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rPr>
        <w:t>辆、执法执勤车</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辆</w:t>
      </w:r>
      <w:r>
        <w:rPr>
          <w:rFonts w:hint="eastAsia" w:ascii="仿宋" w:hAnsi="仿宋" w:eastAsia="仿宋" w:cs="仿宋"/>
          <w:color w:val="auto"/>
          <w:sz w:val="30"/>
          <w:szCs w:val="30"/>
          <w:lang w:eastAsia="zh-CN"/>
        </w:rPr>
        <w:t>、执法专用车清障车</w:t>
      </w:r>
      <w:r>
        <w:rPr>
          <w:rFonts w:hint="eastAsia" w:ascii="仿宋" w:hAnsi="仿宋" w:eastAsia="仿宋" w:cs="仿宋"/>
          <w:color w:val="auto"/>
          <w:sz w:val="30"/>
          <w:szCs w:val="30"/>
          <w:lang w:val="en-US" w:eastAsia="zh-CN"/>
        </w:rPr>
        <w:t>8辆、</w:t>
      </w:r>
      <w:r>
        <w:rPr>
          <w:rFonts w:hint="eastAsia" w:ascii="仿宋" w:hAnsi="仿宋" w:eastAsia="仿宋" w:cs="仿宋"/>
          <w:color w:val="auto"/>
          <w:sz w:val="30"/>
          <w:szCs w:val="30"/>
          <w:lang w:eastAsia="zh-CN"/>
        </w:rPr>
        <w:t>作业</w:t>
      </w:r>
      <w:r>
        <w:rPr>
          <w:rFonts w:hint="eastAsia" w:ascii="仿宋" w:hAnsi="仿宋" w:eastAsia="仿宋" w:cs="仿宋"/>
          <w:color w:val="auto"/>
          <w:sz w:val="30"/>
          <w:szCs w:val="30"/>
        </w:rPr>
        <w:t>用车</w:t>
      </w:r>
      <w:r>
        <w:rPr>
          <w:rFonts w:hint="eastAsia" w:ascii="仿宋" w:hAnsi="仿宋" w:eastAsia="仿宋" w:cs="仿宋"/>
          <w:color w:val="auto"/>
          <w:sz w:val="30"/>
          <w:szCs w:val="30"/>
          <w:u w:val="none"/>
          <w:lang w:val="en-US" w:eastAsia="zh-CN"/>
        </w:rPr>
        <w:t>18</w:t>
      </w:r>
      <w:r>
        <w:rPr>
          <w:rFonts w:hint="eastAsia" w:ascii="仿宋" w:hAnsi="仿宋" w:eastAsia="仿宋" w:cs="仿宋"/>
          <w:color w:val="auto"/>
          <w:sz w:val="30"/>
          <w:szCs w:val="30"/>
        </w:rPr>
        <w:t>辆。</w:t>
      </w:r>
    </w:p>
    <w:p>
      <w:pPr>
        <w:spacing w:line="560" w:lineRule="exact"/>
        <w:ind w:firstLine="600" w:firstLineChars="200"/>
        <w:jc w:val="left"/>
        <w:rPr>
          <w:rFonts w:hint="default" w:ascii="仿宋" w:hAnsi="仿宋" w:eastAsia="仿宋" w:cs="仿宋"/>
          <w:sz w:val="30"/>
          <w:szCs w:val="30"/>
          <w:lang w:val="en-US" w:eastAsia="zh-CN"/>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eastAsia="zh-CN"/>
        </w:rPr>
        <w:t>本部门</w:t>
      </w:r>
      <w:r>
        <w:rPr>
          <w:rFonts w:hint="eastAsia" w:ascii="仿宋" w:hAnsi="仿宋" w:eastAsia="仿宋" w:cs="仿宋"/>
          <w:sz w:val="30"/>
          <w:szCs w:val="30"/>
        </w:rPr>
        <w:t>预算安排购置车辆</w:t>
      </w:r>
      <w:r>
        <w:rPr>
          <w:rFonts w:hint="eastAsia" w:ascii="仿宋" w:hAnsi="仿宋" w:eastAsia="仿宋" w:cs="仿宋"/>
          <w:sz w:val="30"/>
          <w:szCs w:val="30"/>
          <w:lang w:val="en-US" w:eastAsia="zh-CN"/>
        </w:rPr>
        <w:t>0辆</w:t>
      </w:r>
      <w:r>
        <w:rPr>
          <w:rFonts w:hint="eastAsia" w:ascii="仿宋" w:hAnsi="仿宋" w:eastAsia="仿宋" w:cs="仿宋"/>
          <w:sz w:val="30"/>
          <w:szCs w:val="30"/>
          <w:lang w:eastAsia="zh-CN"/>
        </w:rPr>
        <w:t>，安排购置价值</w:t>
      </w:r>
      <w:r>
        <w:rPr>
          <w:rFonts w:hint="eastAsia" w:ascii="仿宋" w:hAnsi="仿宋" w:eastAsia="仿宋" w:cs="仿宋"/>
          <w:sz w:val="30"/>
          <w:szCs w:val="30"/>
          <w:lang w:val="en-US" w:eastAsia="zh-CN"/>
        </w:rPr>
        <w:t>200万元以上大型设备为0辆。</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567" w:firstLineChars="189"/>
        <w:rPr>
          <w:rFonts w:hint="eastAsia" w:ascii="仿宋" w:hAnsi="仿宋" w:eastAsia="仿宋" w:cs="仿宋"/>
          <w:sz w:val="30"/>
          <w:szCs w:val="30"/>
        </w:rPr>
      </w:pPr>
      <w:r>
        <w:rPr>
          <w:rFonts w:hint="eastAsia" w:ascii="仿宋" w:hAnsi="仿宋" w:eastAsia="仿宋" w:cs="仿宋"/>
          <w:sz w:val="30"/>
          <w:szCs w:val="30"/>
        </w:rPr>
        <w:t>2022年实行绩效目标管理的100万元以上项目</w:t>
      </w:r>
      <w:r>
        <w:rPr>
          <w:rFonts w:hint="eastAsia" w:ascii="仿宋" w:hAnsi="仿宋" w:eastAsia="仿宋" w:cs="仿宋"/>
          <w:sz w:val="30"/>
          <w:szCs w:val="30"/>
          <w:lang w:val="en-US" w:eastAsia="zh-CN"/>
        </w:rPr>
        <w:t>14</w:t>
      </w:r>
      <w:r>
        <w:rPr>
          <w:rFonts w:hint="eastAsia" w:ascii="仿宋" w:hAnsi="仿宋" w:eastAsia="仿宋" w:cs="仿宋"/>
          <w:sz w:val="30"/>
          <w:szCs w:val="30"/>
        </w:rPr>
        <w:t>个，涉及资金</w:t>
      </w:r>
      <w:r>
        <w:rPr>
          <w:rFonts w:hint="eastAsia" w:ascii="仿宋" w:hAnsi="仿宋" w:eastAsia="仿宋" w:cs="仿宋"/>
          <w:sz w:val="30"/>
          <w:szCs w:val="30"/>
          <w:lang w:val="en-US" w:eastAsia="zh-CN"/>
        </w:rPr>
        <w:t>44340.54</w:t>
      </w:r>
      <w:r>
        <w:rPr>
          <w:rFonts w:hint="eastAsia" w:ascii="仿宋" w:hAnsi="仿宋" w:eastAsia="仿宋" w:cs="仿宋"/>
          <w:sz w:val="30"/>
          <w:szCs w:val="30"/>
        </w:rPr>
        <w:t>万元，实施主体为兴国县</w:t>
      </w:r>
      <w:r>
        <w:rPr>
          <w:rFonts w:hint="eastAsia" w:ascii="仿宋" w:hAnsi="仿宋" w:eastAsia="仿宋" w:cs="仿宋"/>
          <w:sz w:val="30"/>
          <w:szCs w:val="30"/>
          <w:lang w:eastAsia="zh-CN"/>
        </w:rPr>
        <w:t>城市管理</w:t>
      </w:r>
      <w:r>
        <w:rPr>
          <w:rFonts w:hint="eastAsia" w:ascii="仿宋" w:hAnsi="仿宋" w:eastAsia="仿宋" w:cs="仿宋"/>
          <w:sz w:val="30"/>
          <w:szCs w:val="30"/>
        </w:rPr>
        <w:t>局，实施周期为202</w:t>
      </w:r>
      <w:r>
        <w:rPr>
          <w:rFonts w:hint="eastAsia" w:ascii="仿宋" w:hAnsi="仿宋" w:eastAsia="仿宋" w:cs="仿宋"/>
          <w:sz w:val="30"/>
          <w:szCs w:val="30"/>
          <w:lang w:val="en-US" w:eastAsia="zh-CN"/>
        </w:rPr>
        <w:t>2</w:t>
      </w:r>
      <w:r>
        <w:rPr>
          <w:rFonts w:hint="eastAsia" w:ascii="仿宋" w:hAnsi="仿宋" w:eastAsia="仿宋" w:cs="仿宋"/>
          <w:sz w:val="30"/>
          <w:szCs w:val="30"/>
        </w:rPr>
        <w:t>年度。</w:t>
      </w:r>
    </w:p>
    <w:p>
      <w:pPr>
        <w:keepNext w:val="0"/>
        <w:keepLines w:val="0"/>
        <w:pageBreakBefore w:val="0"/>
        <w:wordWrap/>
        <w:overflowPunct/>
        <w:topLinePunct w:val="0"/>
        <w:bidi w:val="0"/>
        <w:spacing w:line="600" w:lineRule="exact"/>
        <w:ind w:firstLine="602" w:firstLineChars="200"/>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1、</w:t>
      </w:r>
      <w:r>
        <w:rPr>
          <w:rFonts w:hint="eastAsia" w:ascii="仿宋" w:hAnsi="仿宋" w:eastAsia="仿宋" w:cs="仿宋"/>
          <w:b/>
          <w:bCs/>
          <w:color w:val="auto"/>
          <w:sz w:val="30"/>
          <w:szCs w:val="30"/>
          <w:lang w:eastAsia="zh-CN"/>
        </w:rPr>
        <w:t>项目名称：县城区环卫清扫保洁政府购买服务</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：县城区环卫清扫保洁政府购买服务</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：《兴国县城乡环卫市场化政府购买服务项目城区部分运营协议》。</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4933万元</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：对兴国县城区（含经开区）范围内道路面积56</w:t>
      </w:r>
      <w:r>
        <w:rPr>
          <w:rFonts w:hint="eastAsia" w:ascii="仿宋" w:hAnsi="仿宋" w:eastAsia="仿宋" w:cs="仿宋"/>
          <w:color w:val="auto"/>
          <w:sz w:val="30"/>
          <w:szCs w:val="30"/>
          <w:lang w:val="en-US" w:eastAsia="zh-CN"/>
        </w:rPr>
        <w:t>8.5</w:t>
      </w:r>
      <w:r>
        <w:rPr>
          <w:rFonts w:hint="eastAsia" w:ascii="仿宋" w:hAnsi="仿宋" w:eastAsia="仿宋" w:cs="仿宋"/>
          <w:color w:val="auto"/>
          <w:sz w:val="30"/>
          <w:szCs w:val="30"/>
          <w:lang w:eastAsia="zh-CN"/>
        </w:rPr>
        <w:t>万平方米、公厕、公园、绿地、河道等进行清扫保洁 、垃圾收集清运等服务。</w:t>
      </w:r>
    </w:p>
    <w:p>
      <w:pPr>
        <w:numPr>
          <w:ilvl w:val="0"/>
          <w:numId w:val="0"/>
        </w:numPr>
        <w:spacing w:line="560" w:lineRule="exact"/>
        <w:rPr>
          <w:rFonts w:hint="eastAsia" w:ascii="仿宋" w:hAnsi="仿宋" w:eastAsia="仿宋" w:cs="仿宋"/>
          <w:sz w:val="30"/>
          <w:szCs w:val="30"/>
          <w:lang w:val="en-US" w:eastAsia="zh-CN"/>
        </w:rPr>
      </w:pPr>
    </w:p>
    <w:p>
      <w:pPr>
        <w:keepNext w:val="0"/>
        <w:keepLines w:val="0"/>
        <w:pageBreakBefore w:val="0"/>
        <w:wordWrap/>
        <w:overflowPunct/>
        <w:topLinePunct w:val="0"/>
        <w:bidi w:val="0"/>
        <w:spacing w:line="600" w:lineRule="exact"/>
        <w:ind w:firstLine="602" w:firstLineChars="200"/>
        <w:rPr>
          <w:rFonts w:hint="eastAsia" w:ascii="仿宋" w:hAnsi="仿宋" w:eastAsia="仿宋" w:cs="仿宋"/>
          <w:b/>
          <w:bCs/>
          <w:sz w:val="30"/>
          <w:szCs w:val="30"/>
          <w:lang w:eastAsia="zh-CN"/>
        </w:rPr>
      </w:pPr>
      <w:r>
        <w:rPr>
          <w:rFonts w:hint="eastAsia" w:ascii="仿宋" w:hAnsi="仿宋" w:eastAsia="仿宋" w:cs="仿宋"/>
          <w:b/>
          <w:bCs/>
          <w:color w:val="auto"/>
          <w:sz w:val="30"/>
          <w:szCs w:val="30"/>
          <w:lang w:val="en-US" w:eastAsia="zh-CN"/>
        </w:rPr>
        <w:t>2、</w:t>
      </w:r>
      <w:r>
        <w:rPr>
          <w:rFonts w:hint="eastAsia" w:ascii="仿宋" w:hAnsi="仿宋" w:eastAsia="仿宋" w:cs="仿宋"/>
          <w:b/>
          <w:bCs/>
          <w:color w:val="auto"/>
          <w:sz w:val="30"/>
          <w:szCs w:val="30"/>
          <w:lang w:eastAsia="zh-CN"/>
        </w:rPr>
        <w:t>项目名称：</w:t>
      </w:r>
      <w:r>
        <w:rPr>
          <w:rFonts w:hint="eastAsia" w:ascii="仿宋" w:hAnsi="仿宋" w:eastAsia="仿宋" w:cs="仿宋"/>
          <w:b/>
          <w:bCs/>
          <w:sz w:val="30"/>
          <w:szCs w:val="30"/>
          <w:lang w:eastAsia="zh-CN"/>
        </w:rPr>
        <w:t>生活污水处理服务费</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：对县城区生活污水进行处理</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：赣财建指[2018]139号、《江西省兴国县污水处理厂特许权协议》</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3056万元</w:t>
      </w:r>
    </w:p>
    <w:p>
      <w:pPr>
        <w:keepNext w:val="0"/>
        <w:keepLines w:val="0"/>
        <w:pageBreakBefore w:val="0"/>
        <w:wordWrap/>
        <w:overflowPunct/>
        <w:topLinePunct w:val="0"/>
        <w:bidi w:val="0"/>
        <w:spacing w:line="600" w:lineRule="exact"/>
        <w:ind w:left="13" w:leftChars="6" w:firstLine="543" w:firstLineChars="181"/>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：对县城区生活污水进行处理，为社会提供符合标准的产品和服务。</w:t>
      </w:r>
    </w:p>
    <w:p>
      <w:pPr>
        <w:numPr>
          <w:ilvl w:val="0"/>
          <w:numId w:val="0"/>
        </w:numPr>
        <w:spacing w:line="560" w:lineRule="exact"/>
        <w:ind w:leftChars="189"/>
        <w:rPr>
          <w:rFonts w:hint="eastAsia" w:ascii="仿宋" w:hAnsi="仿宋" w:eastAsia="仿宋" w:cs="仿宋"/>
          <w:sz w:val="30"/>
          <w:szCs w:val="30"/>
          <w:lang w:val="en-US" w:eastAsia="zh-CN"/>
        </w:rPr>
      </w:pPr>
    </w:p>
    <w:p>
      <w:pPr>
        <w:keepNext w:val="0"/>
        <w:keepLines w:val="0"/>
        <w:pageBreakBefore w:val="0"/>
        <w:wordWrap/>
        <w:overflowPunct/>
        <w:topLinePunct w:val="0"/>
        <w:bidi w:val="0"/>
        <w:spacing w:line="600" w:lineRule="exact"/>
        <w:ind w:left="632" w:leftChars="284" w:hanging="36" w:hangingChars="12"/>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3、</w:t>
      </w:r>
      <w:r>
        <w:rPr>
          <w:rFonts w:hint="eastAsia" w:ascii="仿宋" w:hAnsi="仿宋" w:eastAsia="仿宋" w:cs="仿宋"/>
          <w:b/>
          <w:bCs/>
          <w:color w:val="auto"/>
          <w:sz w:val="30"/>
          <w:szCs w:val="30"/>
          <w:lang w:eastAsia="zh-CN"/>
        </w:rPr>
        <w:t>项目名称：垃圾焚烧发电厂垃圾处理费</w:t>
      </w:r>
    </w:p>
    <w:p>
      <w:pPr>
        <w:keepNext w:val="0"/>
        <w:keepLines w:val="0"/>
        <w:pageBreakBefore w:val="0"/>
        <w:wordWrap/>
        <w:overflowPunct/>
        <w:topLinePunct w:val="0"/>
        <w:bidi w:val="0"/>
        <w:spacing w:line="600" w:lineRule="exact"/>
        <w:ind w:left="632" w:leftChars="284" w:hanging="36" w:hangingChars="12"/>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：利用城乡垃圾作燃料进行焚烧发电，实现生活垃圾的集中、标准化、无害化处理。</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：兴府办抄字[2021]238号</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2920万元</w:t>
      </w:r>
    </w:p>
    <w:p>
      <w:pPr>
        <w:keepNext w:val="0"/>
        <w:keepLines w:val="0"/>
        <w:pageBreakBefore w:val="0"/>
        <w:wordWrap/>
        <w:overflowPunct/>
        <w:topLinePunct w:val="0"/>
        <w:bidi w:val="0"/>
        <w:spacing w:line="600" w:lineRule="exact"/>
        <w:ind w:left="13" w:leftChars="6" w:firstLine="543" w:firstLineChars="181"/>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：利用城乡垃圾作燃料进行焚烧发电，日处理垃圾1000吨／天，实现生活垃圾的集中、标准化、无害化处理。</w:t>
      </w:r>
    </w:p>
    <w:p>
      <w:pPr>
        <w:pStyle w:val="2"/>
        <w:numPr>
          <w:ilvl w:val="0"/>
          <w:numId w:val="0"/>
        </w:numPr>
        <w:ind w:leftChars="189"/>
        <w:rPr>
          <w:rFonts w:hint="default"/>
          <w:lang w:val="en-US" w:eastAsia="zh-CN"/>
        </w:rPr>
      </w:pPr>
    </w:p>
    <w:p>
      <w:pPr>
        <w:keepNext w:val="0"/>
        <w:keepLines w:val="0"/>
        <w:pageBreakBefore w:val="0"/>
        <w:wordWrap/>
        <w:overflowPunct/>
        <w:topLinePunct w:val="0"/>
        <w:bidi w:val="0"/>
        <w:spacing w:line="600" w:lineRule="exact"/>
        <w:ind w:left="632" w:leftChars="284" w:hanging="36" w:hangingChars="12"/>
        <w:rPr>
          <w:rFonts w:hint="eastAsia" w:ascii="仿宋" w:hAnsi="仿宋" w:eastAsia="仿宋" w:cs="仿宋"/>
          <w:b/>
          <w:bCs/>
          <w:sz w:val="28"/>
          <w:szCs w:val="24"/>
          <w:lang w:val="en-US" w:eastAsia="zh-CN"/>
        </w:rPr>
      </w:pPr>
      <w:r>
        <w:rPr>
          <w:rFonts w:hint="eastAsia" w:ascii="仿宋" w:hAnsi="仿宋" w:eastAsia="仿宋" w:cs="仿宋"/>
          <w:b/>
          <w:bCs/>
          <w:color w:val="auto"/>
          <w:sz w:val="30"/>
          <w:szCs w:val="30"/>
          <w:lang w:val="en-US" w:eastAsia="zh-CN"/>
        </w:rPr>
        <w:t>4、</w:t>
      </w:r>
      <w:r>
        <w:rPr>
          <w:rFonts w:hint="eastAsia" w:ascii="仿宋" w:hAnsi="仿宋" w:eastAsia="仿宋" w:cs="仿宋"/>
          <w:b/>
          <w:bCs/>
          <w:color w:val="auto"/>
          <w:sz w:val="30"/>
          <w:szCs w:val="30"/>
          <w:lang w:eastAsia="zh-CN"/>
        </w:rPr>
        <w:t>项目名称：</w:t>
      </w:r>
      <w:r>
        <w:rPr>
          <w:rFonts w:hint="eastAsia" w:ascii="仿宋" w:hAnsi="仿宋" w:eastAsia="仿宋" w:cs="仿宋"/>
          <w:b/>
          <w:bCs/>
          <w:sz w:val="28"/>
          <w:szCs w:val="24"/>
          <w:lang w:val="en-US" w:eastAsia="zh-CN"/>
        </w:rPr>
        <w:t>城管制式服装、装备购置费</w:t>
      </w:r>
    </w:p>
    <w:p>
      <w:pPr>
        <w:keepNext w:val="0"/>
        <w:keepLines w:val="0"/>
        <w:pageBreakBefore w:val="0"/>
        <w:wordWrap/>
        <w:overflowPunct/>
        <w:topLinePunct w:val="0"/>
        <w:bidi w:val="0"/>
        <w:spacing w:line="600" w:lineRule="exact"/>
        <w:ind w:left="10" w:leftChars="5" w:firstLine="582" w:firstLineChars="194"/>
        <w:rPr>
          <w:rFonts w:hint="eastAsia" w:ascii="仿宋" w:hAnsi="仿宋" w:eastAsia="仿宋" w:cs="仿宋"/>
          <w:b w:val="0"/>
          <w:bCs w:val="0"/>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w:t>
      </w:r>
      <w:r>
        <w:rPr>
          <w:rFonts w:hint="eastAsia" w:ascii="仿宋" w:hAnsi="仿宋" w:eastAsia="仿宋" w:cs="仿宋"/>
          <w:b w:val="0"/>
          <w:bCs w:val="0"/>
          <w:i w:val="0"/>
          <w:iCs w:val="0"/>
          <w:color w:val="000000"/>
          <w:kern w:val="0"/>
          <w:sz w:val="30"/>
          <w:szCs w:val="30"/>
          <w:u w:val="none"/>
          <w:lang w:val="en-US" w:eastAsia="zh-CN" w:bidi="ar"/>
        </w:rPr>
        <w:t>更换制式服装、对讲机等部分装备，制服3000元/套、350套</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：核拨</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105万元</w:t>
      </w:r>
    </w:p>
    <w:p>
      <w:pPr>
        <w:keepNext w:val="0"/>
        <w:keepLines w:val="0"/>
        <w:pageBreakBefore w:val="0"/>
        <w:wordWrap/>
        <w:overflowPunct/>
        <w:topLinePunct w:val="0"/>
        <w:bidi w:val="0"/>
        <w:spacing w:line="600" w:lineRule="exact"/>
        <w:ind w:left="13" w:leftChars="6" w:firstLine="543" w:firstLineChars="181"/>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w:t>
      </w:r>
      <w:r>
        <w:rPr>
          <w:rFonts w:hint="eastAsia" w:ascii="仿宋" w:hAnsi="仿宋" w:eastAsia="仿宋" w:cs="仿宋"/>
          <w:i w:val="0"/>
          <w:iCs w:val="0"/>
          <w:color w:val="000000"/>
          <w:sz w:val="30"/>
          <w:szCs w:val="30"/>
          <w:u w:val="none"/>
          <w:lang w:eastAsia="zh-CN"/>
        </w:rPr>
        <w:t>严肃城管人员仪容仪表及执法风纪</w:t>
      </w:r>
    </w:p>
    <w:p>
      <w:pPr>
        <w:pStyle w:val="2"/>
        <w:numPr>
          <w:ilvl w:val="0"/>
          <w:numId w:val="0"/>
        </w:numPr>
        <w:ind w:leftChars="189"/>
        <w:rPr>
          <w:rFonts w:hint="default"/>
          <w:lang w:val="en-US" w:eastAsia="zh-CN"/>
        </w:rPr>
      </w:pPr>
    </w:p>
    <w:p>
      <w:pPr>
        <w:keepNext w:val="0"/>
        <w:keepLines w:val="0"/>
        <w:pageBreakBefore w:val="0"/>
        <w:wordWrap/>
        <w:overflowPunct/>
        <w:topLinePunct w:val="0"/>
        <w:bidi w:val="0"/>
        <w:spacing w:line="600" w:lineRule="exact"/>
        <w:ind w:firstLine="602" w:firstLineChars="200"/>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5、</w:t>
      </w:r>
      <w:r>
        <w:rPr>
          <w:rFonts w:hint="eastAsia" w:ascii="仿宋" w:hAnsi="仿宋" w:eastAsia="仿宋" w:cs="仿宋"/>
          <w:b/>
          <w:bCs/>
          <w:color w:val="auto"/>
          <w:sz w:val="30"/>
          <w:szCs w:val="30"/>
          <w:lang w:eastAsia="zh-CN"/>
        </w:rPr>
        <w:t>项目名称：</w:t>
      </w:r>
      <w:r>
        <w:rPr>
          <w:rFonts w:hint="eastAsia" w:ascii="仿宋" w:hAnsi="仿宋" w:eastAsia="仿宋" w:cs="仿宋"/>
          <w:b/>
          <w:bCs/>
          <w:sz w:val="30"/>
          <w:szCs w:val="30"/>
          <w:lang w:val="en-US" w:eastAsia="zh-CN"/>
        </w:rPr>
        <w:t>老城区污水管网改造建设项目</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将完善兴国县基础设施，使兴国县老城区的排水系统得到有效改善，实现雨污分流制，有利于改善城市环境质量，改善城市的环境面貌和居民的生活环境，对周边的水环境起到了一定的保护作用，对改善兴国县当地水域水质，保障经济持续稳定发展，改善河流污染状况和城市卫生面貌，提高人民的生活质量，推动兴国县经济进一步发展等方面存在着巨大的积极意义。</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：兴发改批字【</w:t>
      </w:r>
      <w:r>
        <w:rPr>
          <w:rFonts w:hint="eastAsia" w:ascii="仿宋" w:hAnsi="仿宋" w:eastAsia="仿宋" w:cs="仿宋"/>
          <w:color w:val="auto"/>
          <w:sz w:val="30"/>
          <w:szCs w:val="30"/>
          <w:lang w:val="en-US" w:eastAsia="zh-CN"/>
        </w:rPr>
        <w:t>2020</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48号</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17167万元</w:t>
      </w:r>
    </w:p>
    <w:p>
      <w:pPr>
        <w:keepNext w:val="0"/>
        <w:keepLines w:val="0"/>
        <w:pageBreakBefore w:val="0"/>
        <w:wordWrap/>
        <w:overflowPunct/>
        <w:topLinePunct w:val="0"/>
        <w:bidi w:val="0"/>
        <w:spacing w:line="600" w:lineRule="exact"/>
        <w:ind w:left="13" w:leftChars="6" w:firstLine="543" w:firstLineChars="181"/>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：对老城区污水管网进行改造</w:t>
      </w:r>
    </w:p>
    <w:p>
      <w:pPr>
        <w:keepNext w:val="0"/>
        <w:keepLines w:val="0"/>
        <w:pageBreakBefore w:val="0"/>
        <w:wordWrap/>
        <w:overflowPunct/>
        <w:topLinePunct w:val="0"/>
        <w:bidi w:val="0"/>
        <w:spacing w:line="600" w:lineRule="exact"/>
        <w:ind w:left="632" w:leftChars="284" w:hanging="36" w:hangingChars="12"/>
        <w:rPr>
          <w:rFonts w:hint="eastAsia" w:ascii="仿宋" w:hAnsi="仿宋" w:eastAsia="仿宋" w:cs="仿宋"/>
          <w:color w:val="auto"/>
          <w:sz w:val="30"/>
          <w:szCs w:val="30"/>
          <w:lang w:eastAsia="zh-CN"/>
        </w:rPr>
      </w:pPr>
    </w:p>
    <w:p>
      <w:pPr>
        <w:keepNext w:val="0"/>
        <w:keepLines w:val="0"/>
        <w:pageBreakBefore w:val="0"/>
        <w:numPr>
          <w:ilvl w:val="0"/>
          <w:numId w:val="0"/>
        </w:numPr>
        <w:wordWrap/>
        <w:overflowPunct/>
        <w:topLinePunct w:val="0"/>
        <w:bidi w:val="0"/>
        <w:spacing w:line="600" w:lineRule="exact"/>
        <w:ind w:firstLine="602" w:firstLineChars="200"/>
        <w:jc w:val="left"/>
        <w:rPr>
          <w:rFonts w:hint="eastAsia" w:ascii="仿宋" w:hAnsi="仿宋" w:eastAsia="仿宋" w:cs="仿宋"/>
          <w:b/>
          <w:bCs/>
          <w:sz w:val="30"/>
          <w:szCs w:val="30"/>
          <w:lang w:val="en-US" w:eastAsia="zh-CN"/>
        </w:rPr>
      </w:pPr>
      <w:r>
        <w:rPr>
          <w:rFonts w:hint="eastAsia" w:ascii="仿宋" w:hAnsi="仿宋" w:eastAsia="仿宋" w:cs="仿宋"/>
          <w:b/>
          <w:bCs/>
          <w:color w:val="auto"/>
          <w:sz w:val="30"/>
          <w:szCs w:val="30"/>
          <w:lang w:val="en-US" w:eastAsia="zh-CN"/>
        </w:rPr>
        <w:t>6、</w:t>
      </w:r>
      <w:r>
        <w:rPr>
          <w:rFonts w:hint="eastAsia" w:ascii="仿宋" w:hAnsi="仿宋" w:eastAsia="仿宋" w:cs="仿宋"/>
          <w:b/>
          <w:bCs/>
          <w:color w:val="auto"/>
          <w:sz w:val="30"/>
          <w:szCs w:val="30"/>
          <w:lang w:eastAsia="zh-CN"/>
        </w:rPr>
        <w:t>项目名称：</w:t>
      </w:r>
      <w:r>
        <w:rPr>
          <w:rFonts w:hint="eastAsia" w:ascii="仿宋" w:hAnsi="仿宋" w:eastAsia="仿宋" w:cs="仿宋"/>
          <w:b/>
          <w:bCs/>
          <w:sz w:val="30"/>
          <w:szCs w:val="30"/>
          <w:lang w:val="en-US" w:eastAsia="zh-CN"/>
        </w:rPr>
        <w:t>垃圾无害化处理建设</w:t>
      </w:r>
    </w:p>
    <w:p>
      <w:pPr>
        <w:keepNext w:val="0"/>
        <w:keepLines w:val="0"/>
        <w:pageBreakBefore w:val="0"/>
        <w:numPr>
          <w:ilvl w:val="0"/>
          <w:numId w:val="0"/>
        </w:numPr>
        <w:wordWrap/>
        <w:overflowPunct/>
        <w:topLinePunct w:val="0"/>
        <w:bidi w:val="0"/>
        <w:spacing w:line="6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：对</w:t>
      </w:r>
      <w:r>
        <w:rPr>
          <w:rFonts w:hint="eastAsia" w:ascii="仿宋" w:hAnsi="仿宋" w:eastAsia="仿宋" w:cs="仿宋"/>
          <w:sz w:val="30"/>
          <w:szCs w:val="30"/>
          <w:lang w:val="en-US" w:eastAsia="zh-CN"/>
        </w:rPr>
        <w:t>县城区垃圾无害化处理，确保</w:t>
      </w:r>
      <w:r>
        <w:rPr>
          <w:rFonts w:hint="eastAsia" w:ascii="仿宋" w:hAnsi="仿宋" w:eastAsia="仿宋" w:cs="仿宋"/>
          <w:i w:val="0"/>
          <w:iCs w:val="0"/>
          <w:color w:val="auto"/>
          <w:kern w:val="0"/>
          <w:sz w:val="30"/>
          <w:szCs w:val="30"/>
          <w:u w:val="none"/>
          <w:lang w:val="en-US" w:eastAsia="zh-CN" w:bidi="ar"/>
        </w:rPr>
        <w:t>城区市容市貌干净整洁</w:t>
      </w:r>
    </w:p>
    <w:p>
      <w:pPr>
        <w:keepNext w:val="0"/>
        <w:keepLines w:val="0"/>
        <w:pageBreakBefore w:val="0"/>
        <w:numPr>
          <w:ilvl w:val="0"/>
          <w:numId w:val="0"/>
        </w:numPr>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：核拨</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17167万元</w:t>
      </w:r>
    </w:p>
    <w:p>
      <w:pPr>
        <w:keepNext w:val="0"/>
        <w:keepLines w:val="0"/>
        <w:pageBreakBefore w:val="0"/>
        <w:numPr>
          <w:ilvl w:val="0"/>
          <w:numId w:val="0"/>
        </w:numPr>
        <w:wordWrap/>
        <w:overflowPunct/>
        <w:topLinePunct w:val="0"/>
        <w:bidi w:val="0"/>
        <w:spacing w:line="6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w:t>
      </w:r>
      <w:r>
        <w:rPr>
          <w:rFonts w:hint="eastAsia" w:ascii="仿宋" w:hAnsi="仿宋" w:eastAsia="仿宋" w:cs="仿宋"/>
          <w:sz w:val="30"/>
          <w:szCs w:val="30"/>
          <w:lang w:val="en-US" w:eastAsia="zh-CN"/>
        </w:rPr>
        <w:t>确保</w:t>
      </w:r>
      <w:r>
        <w:rPr>
          <w:rFonts w:hint="eastAsia" w:ascii="仿宋" w:hAnsi="仿宋" w:eastAsia="仿宋" w:cs="仿宋"/>
          <w:i w:val="0"/>
          <w:iCs w:val="0"/>
          <w:color w:val="auto"/>
          <w:kern w:val="0"/>
          <w:sz w:val="30"/>
          <w:szCs w:val="30"/>
          <w:u w:val="none"/>
          <w:lang w:val="en-US" w:eastAsia="zh-CN" w:bidi="ar"/>
        </w:rPr>
        <w:t>城区市容市貌干净整洁</w:t>
      </w:r>
    </w:p>
    <w:p>
      <w:pPr>
        <w:pStyle w:val="2"/>
        <w:numPr>
          <w:ilvl w:val="0"/>
          <w:numId w:val="0"/>
        </w:numPr>
        <w:rPr>
          <w:rFonts w:hint="default"/>
          <w:lang w:val="en-US" w:eastAsia="zh-CN"/>
        </w:rPr>
      </w:pPr>
    </w:p>
    <w:p>
      <w:pPr>
        <w:keepNext w:val="0"/>
        <w:keepLines w:val="0"/>
        <w:pageBreakBefore w:val="0"/>
        <w:numPr>
          <w:ilvl w:val="0"/>
          <w:numId w:val="0"/>
        </w:numPr>
        <w:wordWrap/>
        <w:overflowPunct/>
        <w:topLinePunct w:val="0"/>
        <w:bidi w:val="0"/>
        <w:spacing w:line="600" w:lineRule="exact"/>
        <w:ind w:firstLine="602" w:firstLineChars="200"/>
        <w:jc w:val="left"/>
        <w:rPr>
          <w:rFonts w:hint="eastAsia" w:ascii="仿宋" w:hAnsi="仿宋" w:eastAsia="仿宋" w:cs="仿宋"/>
          <w:b/>
          <w:bCs/>
          <w:sz w:val="30"/>
          <w:szCs w:val="30"/>
          <w:lang w:val="en-US" w:eastAsia="zh-CN"/>
        </w:rPr>
      </w:pPr>
      <w:r>
        <w:rPr>
          <w:rFonts w:hint="eastAsia" w:ascii="仿宋" w:hAnsi="仿宋" w:eastAsia="仿宋" w:cs="仿宋"/>
          <w:b/>
          <w:bCs/>
          <w:color w:val="auto"/>
          <w:sz w:val="30"/>
          <w:szCs w:val="30"/>
          <w:lang w:val="en-US" w:eastAsia="zh-CN"/>
        </w:rPr>
        <w:t>7、</w:t>
      </w:r>
      <w:r>
        <w:rPr>
          <w:rFonts w:hint="eastAsia" w:ascii="仿宋" w:hAnsi="仿宋" w:eastAsia="仿宋" w:cs="仿宋"/>
          <w:b/>
          <w:bCs/>
          <w:color w:val="auto"/>
          <w:sz w:val="30"/>
          <w:szCs w:val="30"/>
          <w:lang w:eastAsia="zh-CN"/>
        </w:rPr>
        <w:t>项目名称：</w:t>
      </w:r>
      <w:r>
        <w:rPr>
          <w:rFonts w:hint="eastAsia" w:ascii="仿宋" w:hAnsi="仿宋" w:eastAsia="仿宋" w:cs="仿宋"/>
          <w:b/>
          <w:bCs/>
          <w:sz w:val="30"/>
          <w:szCs w:val="30"/>
          <w:lang w:val="en-US" w:eastAsia="zh-CN"/>
        </w:rPr>
        <w:t>小街巷提升改造工程</w:t>
      </w:r>
    </w:p>
    <w:p>
      <w:pPr>
        <w:keepNext w:val="0"/>
        <w:keepLines w:val="0"/>
        <w:pageBreakBefore w:val="0"/>
        <w:numPr>
          <w:ilvl w:val="0"/>
          <w:numId w:val="0"/>
        </w:numPr>
        <w:wordWrap/>
        <w:overflowPunct/>
        <w:topLinePunct w:val="0"/>
        <w:bidi w:val="0"/>
        <w:spacing w:line="600" w:lineRule="exact"/>
        <w:ind w:left="10" w:leftChars="0" w:firstLine="618" w:firstLineChars="206"/>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w:t>
      </w:r>
      <w:r>
        <w:rPr>
          <w:rFonts w:hint="eastAsia" w:ascii="仿宋" w:hAnsi="仿宋" w:eastAsia="仿宋" w:cs="仿宋"/>
          <w:i w:val="0"/>
          <w:iCs w:val="0"/>
          <w:color w:val="000000"/>
          <w:sz w:val="30"/>
          <w:szCs w:val="30"/>
          <w:u w:val="none"/>
          <w:lang w:eastAsia="zh-CN"/>
        </w:rPr>
        <w:t>对城区</w:t>
      </w:r>
      <w:r>
        <w:rPr>
          <w:rFonts w:hint="eastAsia" w:ascii="仿宋" w:hAnsi="仿宋" w:eastAsia="仿宋" w:cs="仿宋"/>
          <w:i w:val="0"/>
          <w:iCs w:val="0"/>
          <w:color w:val="000000"/>
          <w:kern w:val="0"/>
          <w:sz w:val="30"/>
          <w:szCs w:val="30"/>
          <w:u w:val="none"/>
          <w:lang w:val="en-US" w:eastAsia="zh-CN" w:bidi="ar"/>
        </w:rPr>
        <w:t>小街小巷雨污分流改造、市政配套设施改造</w:t>
      </w:r>
    </w:p>
    <w:p>
      <w:pPr>
        <w:keepNext w:val="0"/>
        <w:keepLines w:val="0"/>
        <w:pageBreakBefore w:val="0"/>
        <w:numPr>
          <w:ilvl w:val="0"/>
          <w:numId w:val="0"/>
        </w:numPr>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：兴发改批字【</w:t>
      </w:r>
      <w:r>
        <w:rPr>
          <w:rFonts w:hint="eastAsia" w:ascii="仿宋" w:hAnsi="仿宋" w:eastAsia="仿宋" w:cs="仿宋"/>
          <w:color w:val="auto"/>
          <w:sz w:val="30"/>
          <w:szCs w:val="30"/>
          <w:lang w:val="en-US" w:eastAsia="zh-CN"/>
        </w:rPr>
        <w:t>2021</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152号</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1500万元</w:t>
      </w:r>
    </w:p>
    <w:p>
      <w:pPr>
        <w:keepNext w:val="0"/>
        <w:keepLines w:val="0"/>
        <w:pageBreakBefore w:val="0"/>
        <w:numPr>
          <w:ilvl w:val="0"/>
          <w:numId w:val="0"/>
        </w:numPr>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w:t>
      </w:r>
      <w:r>
        <w:rPr>
          <w:rFonts w:hint="eastAsia" w:ascii="仿宋" w:hAnsi="仿宋" w:eastAsia="仿宋" w:cs="仿宋"/>
          <w:i w:val="0"/>
          <w:iCs w:val="0"/>
          <w:color w:val="000000"/>
          <w:kern w:val="0"/>
          <w:sz w:val="30"/>
          <w:szCs w:val="30"/>
          <w:u w:val="none"/>
          <w:lang w:val="en-US" w:eastAsia="zh-CN" w:bidi="ar"/>
        </w:rPr>
        <w:t>如期完成2022年度相关小街小巷提升改造项目，</w:t>
      </w:r>
      <w:r>
        <w:rPr>
          <w:rFonts w:hint="eastAsia" w:ascii="仿宋" w:hAnsi="仿宋" w:eastAsia="仿宋" w:cs="仿宋"/>
          <w:sz w:val="30"/>
          <w:szCs w:val="30"/>
          <w:lang w:val="en-US" w:eastAsia="zh-CN"/>
        </w:rPr>
        <w:t>确保</w:t>
      </w:r>
      <w:r>
        <w:rPr>
          <w:rFonts w:hint="eastAsia" w:ascii="仿宋" w:hAnsi="仿宋" w:eastAsia="仿宋" w:cs="仿宋"/>
          <w:i w:val="0"/>
          <w:iCs w:val="0"/>
          <w:color w:val="auto"/>
          <w:kern w:val="0"/>
          <w:sz w:val="30"/>
          <w:szCs w:val="30"/>
          <w:u w:val="none"/>
          <w:lang w:val="en-US" w:eastAsia="zh-CN" w:bidi="ar"/>
        </w:rPr>
        <w:t>城区市容市貌干净整洁。</w:t>
      </w:r>
    </w:p>
    <w:p>
      <w:pPr>
        <w:keepNext w:val="0"/>
        <w:keepLines w:val="0"/>
        <w:pageBreakBefore w:val="0"/>
        <w:numPr>
          <w:ilvl w:val="0"/>
          <w:numId w:val="0"/>
        </w:numPr>
        <w:wordWrap/>
        <w:overflowPunct/>
        <w:topLinePunct w:val="0"/>
        <w:bidi w:val="0"/>
        <w:spacing w:line="600" w:lineRule="exact"/>
        <w:ind w:firstLine="600" w:firstLineChars="200"/>
        <w:rPr>
          <w:rFonts w:hint="eastAsia" w:ascii="仿宋" w:hAnsi="仿宋" w:eastAsia="仿宋" w:cs="仿宋"/>
          <w:sz w:val="30"/>
          <w:szCs w:val="30"/>
          <w:lang w:val="en-US" w:eastAsia="zh-CN"/>
        </w:rPr>
      </w:pPr>
    </w:p>
    <w:p>
      <w:pPr>
        <w:keepNext w:val="0"/>
        <w:keepLines w:val="0"/>
        <w:pageBreakBefore w:val="0"/>
        <w:numPr>
          <w:ilvl w:val="0"/>
          <w:numId w:val="0"/>
        </w:numPr>
        <w:wordWrap/>
        <w:overflowPunct/>
        <w:topLinePunct w:val="0"/>
        <w:bidi w:val="0"/>
        <w:spacing w:line="600" w:lineRule="exact"/>
        <w:ind w:left="0" w:leftChars="0" w:firstLine="602" w:firstLineChars="200"/>
        <w:jc w:val="left"/>
        <w:rPr>
          <w:rFonts w:hint="eastAsia" w:ascii="仿宋" w:hAnsi="仿宋" w:eastAsia="仿宋" w:cs="仿宋"/>
          <w:b/>
          <w:bCs/>
          <w:sz w:val="30"/>
          <w:szCs w:val="30"/>
          <w:lang w:val="en-US" w:eastAsia="zh-CN"/>
        </w:rPr>
      </w:pPr>
      <w:r>
        <w:rPr>
          <w:rFonts w:hint="eastAsia" w:ascii="仿宋" w:hAnsi="仿宋" w:eastAsia="仿宋" w:cs="仿宋"/>
          <w:b/>
          <w:bCs/>
          <w:color w:val="auto"/>
          <w:sz w:val="30"/>
          <w:szCs w:val="30"/>
          <w:lang w:val="en-US" w:eastAsia="zh-CN"/>
        </w:rPr>
        <w:t>8、</w:t>
      </w:r>
      <w:r>
        <w:rPr>
          <w:rFonts w:hint="eastAsia" w:ascii="仿宋" w:hAnsi="仿宋" w:eastAsia="仿宋" w:cs="仿宋"/>
          <w:b/>
          <w:bCs/>
          <w:color w:val="auto"/>
          <w:sz w:val="30"/>
          <w:szCs w:val="30"/>
          <w:lang w:eastAsia="zh-CN"/>
        </w:rPr>
        <w:t>项目名称：</w:t>
      </w:r>
      <w:r>
        <w:rPr>
          <w:rFonts w:hint="eastAsia" w:ascii="仿宋" w:hAnsi="仿宋" w:eastAsia="仿宋" w:cs="仿宋"/>
          <w:b/>
          <w:bCs/>
          <w:sz w:val="30"/>
          <w:szCs w:val="30"/>
          <w:lang w:val="en-US" w:eastAsia="zh-CN"/>
        </w:rPr>
        <w:t>小游园、小广场、小绿地建设</w:t>
      </w:r>
    </w:p>
    <w:p>
      <w:pPr>
        <w:keepNext w:val="0"/>
        <w:keepLines w:val="0"/>
        <w:pageBreakBefore w:val="0"/>
        <w:numPr>
          <w:ilvl w:val="0"/>
          <w:numId w:val="0"/>
        </w:numPr>
        <w:wordWrap/>
        <w:overflowPunct/>
        <w:topLinePunct w:val="0"/>
        <w:bidi w:val="0"/>
        <w:spacing w:line="600" w:lineRule="exact"/>
        <w:ind w:left="0" w:leftChars="0"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w:t>
      </w:r>
      <w:r>
        <w:rPr>
          <w:rFonts w:hint="eastAsia" w:ascii="仿宋" w:hAnsi="仿宋" w:eastAsia="仿宋" w:cs="仿宋"/>
          <w:b w:val="0"/>
          <w:bCs w:val="0"/>
          <w:color w:val="auto"/>
          <w:sz w:val="30"/>
          <w:szCs w:val="30"/>
          <w:highlight w:val="none"/>
          <w:lang w:val="en-US" w:eastAsia="zh-CN"/>
        </w:rPr>
        <w:t>对县城区存量建设用地进行整理和拆除，新增小游园、小广场，实施将星路小游园、模范桥西侧南、北小游园新建及提升改造，新319党校旁小游园、凤凰桥节点旁游园及其他小游园。</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：兴发改批字【</w:t>
      </w:r>
      <w:r>
        <w:rPr>
          <w:rFonts w:hint="eastAsia" w:ascii="仿宋" w:hAnsi="仿宋" w:eastAsia="仿宋" w:cs="仿宋"/>
          <w:color w:val="auto"/>
          <w:sz w:val="30"/>
          <w:szCs w:val="30"/>
          <w:lang w:val="en-US" w:eastAsia="zh-CN"/>
        </w:rPr>
        <w:t>2021</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153号</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1500万元</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w:t>
      </w:r>
      <w:r>
        <w:rPr>
          <w:rFonts w:hint="eastAsia" w:ascii="仿宋" w:hAnsi="仿宋" w:eastAsia="仿宋" w:cs="仿宋"/>
          <w:b w:val="0"/>
          <w:bCs w:val="0"/>
          <w:color w:val="auto"/>
          <w:sz w:val="30"/>
          <w:szCs w:val="30"/>
          <w:highlight w:val="none"/>
          <w:lang w:val="en-US" w:eastAsia="zh-CN"/>
        </w:rPr>
        <w:t>完成一批小游园小广场建设，提升居民环境。</w:t>
      </w:r>
    </w:p>
    <w:p>
      <w:pPr>
        <w:keepNext w:val="0"/>
        <w:keepLines w:val="0"/>
        <w:pageBreakBefore w:val="0"/>
        <w:numPr>
          <w:ilvl w:val="0"/>
          <w:numId w:val="0"/>
        </w:numPr>
        <w:wordWrap/>
        <w:overflowPunct/>
        <w:topLinePunct w:val="0"/>
        <w:bidi w:val="0"/>
        <w:spacing w:line="600" w:lineRule="exact"/>
        <w:ind w:left="0" w:leftChars="0" w:firstLine="600" w:firstLineChars="200"/>
        <w:jc w:val="left"/>
        <w:rPr>
          <w:rFonts w:hint="eastAsia" w:ascii="仿宋" w:hAnsi="仿宋" w:eastAsia="仿宋" w:cs="仿宋"/>
          <w:color w:val="auto"/>
          <w:sz w:val="30"/>
          <w:szCs w:val="30"/>
          <w:lang w:eastAsia="zh-CN"/>
        </w:rPr>
      </w:pPr>
    </w:p>
    <w:p>
      <w:pPr>
        <w:keepNext w:val="0"/>
        <w:keepLines w:val="0"/>
        <w:pageBreakBefore w:val="0"/>
        <w:numPr>
          <w:ilvl w:val="0"/>
          <w:numId w:val="0"/>
        </w:numPr>
        <w:wordWrap/>
        <w:overflowPunct/>
        <w:topLinePunct w:val="0"/>
        <w:bidi w:val="0"/>
        <w:spacing w:line="600" w:lineRule="exact"/>
        <w:ind w:left="0" w:leftChars="0" w:firstLine="602" w:firstLineChars="200"/>
        <w:jc w:val="left"/>
        <w:rPr>
          <w:rFonts w:hint="eastAsia" w:ascii="仿宋" w:hAnsi="仿宋" w:eastAsia="仿宋" w:cs="仿宋"/>
          <w:b/>
          <w:bCs/>
          <w:sz w:val="30"/>
          <w:szCs w:val="30"/>
          <w:lang w:val="en-US" w:eastAsia="zh-CN"/>
        </w:rPr>
      </w:pPr>
      <w:r>
        <w:rPr>
          <w:rFonts w:hint="eastAsia" w:ascii="仿宋" w:hAnsi="仿宋" w:eastAsia="仿宋" w:cs="仿宋"/>
          <w:b/>
          <w:bCs/>
          <w:color w:val="auto"/>
          <w:sz w:val="30"/>
          <w:szCs w:val="30"/>
          <w:lang w:val="en-US" w:eastAsia="zh-CN"/>
        </w:rPr>
        <w:t>9、</w:t>
      </w:r>
      <w:r>
        <w:rPr>
          <w:rFonts w:hint="eastAsia" w:ascii="仿宋" w:hAnsi="仿宋" w:eastAsia="仿宋" w:cs="仿宋"/>
          <w:b/>
          <w:bCs/>
          <w:color w:val="auto"/>
          <w:sz w:val="30"/>
          <w:szCs w:val="30"/>
          <w:lang w:eastAsia="zh-CN"/>
        </w:rPr>
        <w:t>项目名称：</w:t>
      </w:r>
      <w:r>
        <w:rPr>
          <w:rFonts w:hint="eastAsia" w:ascii="仿宋" w:hAnsi="仿宋" w:eastAsia="仿宋" w:cs="仿宋"/>
          <w:b/>
          <w:bCs/>
          <w:sz w:val="30"/>
          <w:szCs w:val="30"/>
          <w:lang w:val="en-US" w:eastAsia="zh-CN"/>
        </w:rPr>
        <w:t>城区环境综合整治</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w:t>
      </w:r>
      <w:r>
        <w:rPr>
          <w:rFonts w:hint="eastAsia" w:ascii="仿宋" w:hAnsi="仿宋" w:eastAsia="仿宋" w:cs="仿宋"/>
          <w:i w:val="0"/>
          <w:iCs w:val="0"/>
          <w:color w:val="000000"/>
          <w:kern w:val="0"/>
          <w:sz w:val="30"/>
          <w:szCs w:val="30"/>
          <w:u w:val="none"/>
          <w:lang w:val="en-US" w:eastAsia="zh-CN" w:bidi="ar"/>
        </w:rPr>
        <w:t>城区道路、市政设施、绿化、公共路灯、环境卫生、广告等市容市貌整治便民利民、治安维稳、环境保护，为周边群众创造良好的环境，提升城区的总体形象和精神风貌</w:t>
      </w:r>
    </w:p>
    <w:p>
      <w:pPr>
        <w:keepNext w:val="0"/>
        <w:keepLines w:val="0"/>
        <w:pageBreakBefore w:val="0"/>
        <w:numPr>
          <w:ilvl w:val="0"/>
          <w:numId w:val="0"/>
        </w:numPr>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：核拨</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：兴国县城市管理局</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④实施周期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1年</w:t>
      </w:r>
    </w:p>
    <w:p>
      <w:pPr>
        <w:keepNext w:val="0"/>
        <w:keepLines w:val="0"/>
        <w:pageBreakBefore w:val="0"/>
        <w:wordWrap/>
        <w:overflowPunct/>
        <w:topLinePunct w:val="0"/>
        <w:bidi w:val="0"/>
        <w:spacing w:line="600" w:lineRule="exact"/>
        <w:ind w:left="0" w:leftChars="0"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6500万元</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w:t>
      </w:r>
      <w:r>
        <w:rPr>
          <w:rFonts w:hint="eastAsia" w:ascii="仿宋" w:hAnsi="仿宋" w:eastAsia="仿宋" w:cs="仿宋"/>
          <w:i w:val="0"/>
          <w:iCs w:val="0"/>
          <w:color w:val="000000"/>
          <w:kern w:val="0"/>
          <w:sz w:val="30"/>
          <w:szCs w:val="30"/>
          <w:u w:val="none"/>
          <w:lang w:val="en-US" w:eastAsia="zh-CN" w:bidi="ar"/>
        </w:rPr>
        <w:t>便民利民、治安维稳、环境保护，为周边群众创造良好的环境，提升城区的总体形象和精神风貌。</w:t>
      </w:r>
    </w:p>
    <w:p>
      <w:pPr>
        <w:spacing w:line="560" w:lineRule="exact"/>
        <w:ind w:left="634" w:leftChars="284" w:hanging="38" w:hangingChars="12"/>
        <w:rPr>
          <w:rFonts w:hint="eastAsia" w:ascii="仿宋" w:hAnsi="仿宋" w:eastAsia="仿宋" w:cs="仿宋"/>
          <w:color w:val="auto"/>
          <w:sz w:val="32"/>
          <w:szCs w:val="32"/>
        </w:rPr>
      </w:pPr>
    </w:p>
    <w:p>
      <w:pPr>
        <w:spacing w:line="560" w:lineRule="exact"/>
        <w:ind w:left="632" w:leftChars="284" w:hanging="36" w:hangingChars="12"/>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10、</w:t>
      </w:r>
      <w:r>
        <w:rPr>
          <w:rFonts w:hint="eastAsia" w:ascii="仿宋" w:hAnsi="仿宋" w:eastAsia="仿宋" w:cs="仿宋"/>
          <w:b/>
          <w:bCs/>
          <w:color w:val="auto"/>
          <w:sz w:val="30"/>
          <w:szCs w:val="30"/>
        </w:rPr>
        <w:t>项目名称：市政设施管养经费</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①</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：市政基础设施维护、维修经费</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w:t>
      </w:r>
      <w:r>
        <w:rPr>
          <w:rFonts w:hint="eastAsia" w:ascii="仿宋" w:hAnsi="仿宋" w:eastAsia="仿宋" w:cs="仿宋"/>
          <w:sz w:val="30"/>
          <w:szCs w:val="30"/>
          <w:lang w:val="en-US" w:eastAsia="zh-CN"/>
        </w:rPr>
        <w:t>历年拨款（据实核拨）</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：兴国县市政公用事业服务中心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④</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1周年</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：300万元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：市政设施管养经费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p>
    <w:p>
      <w:pPr>
        <w:spacing w:line="560" w:lineRule="exact"/>
        <w:ind w:left="632" w:leftChars="284" w:hanging="36" w:hangingChars="12"/>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11、</w:t>
      </w:r>
      <w:r>
        <w:rPr>
          <w:rFonts w:hint="eastAsia" w:ascii="仿宋" w:hAnsi="仿宋" w:eastAsia="仿宋" w:cs="仿宋"/>
          <w:b/>
          <w:bCs/>
          <w:color w:val="auto"/>
          <w:sz w:val="30"/>
          <w:szCs w:val="30"/>
        </w:rPr>
        <w:t>项目名称：龙口垃圾填埋费</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①</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：龙口垃圾填埋场渗滤液委托运营、设备维修、消杀费用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兴府办抄字【2014】16号</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：兴国县市政公用事业服务中心</w:t>
      </w:r>
    </w:p>
    <w:p>
      <w:pPr>
        <w:spacing w:line="56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④</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1周年</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：18</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：龙口垃圾填埋场渗滤液委托运营全年完成28800吨、设备维修、消杀力争控制范围内</w:t>
      </w:r>
    </w:p>
    <w:p>
      <w:pPr>
        <w:spacing w:line="560" w:lineRule="exact"/>
        <w:ind w:left="632" w:leftChars="284" w:hanging="36" w:hangingChars="12"/>
        <w:rPr>
          <w:rFonts w:hint="eastAsia" w:ascii="仿宋" w:hAnsi="仿宋" w:eastAsia="仿宋" w:cs="仿宋"/>
          <w:color w:val="auto"/>
          <w:sz w:val="30"/>
          <w:szCs w:val="30"/>
        </w:rPr>
      </w:pPr>
    </w:p>
    <w:p>
      <w:pPr>
        <w:spacing w:line="560" w:lineRule="exact"/>
        <w:ind w:left="632" w:leftChars="284" w:hanging="36" w:hangingChars="12"/>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12、</w:t>
      </w:r>
      <w:r>
        <w:rPr>
          <w:rFonts w:hint="eastAsia" w:ascii="仿宋" w:hAnsi="仿宋" w:eastAsia="仿宋" w:cs="仿宋"/>
          <w:b/>
          <w:bCs/>
          <w:color w:val="auto"/>
          <w:sz w:val="30"/>
          <w:szCs w:val="30"/>
        </w:rPr>
        <w:t>项目名称：埠头垃圾填埋场费</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①</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埠头垃圾填埋场</w:t>
      </w:r>
      <w:r>
        <w:rPr>
          <w:rFonts w:hint="eastAsia" w:ascii="仿宋" w:hAnsi="仿宋" w:eastAsia="仿宋" w:cs="仿宋"/>
          <w:color w:val="auto"/>
          <w:sz w:val="30"/>
          <w:szCs w:val="30"/>
          <w:lang w:eastAsia="zh-CN"/>
        </w:rPr>
        <w:t>运营相关费用</w:t>
      </w:r>
    </w:p>
    <w:p>
      <w:pPr>
        <w:spacing w:line="56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：兴府办拨款抄字</w:t>
      </w:r>
      <w:r>
        <w:rPr>
          <w:rFonts w:hint="eastAsia" w:ascii="仿宋" w:hAnsi="仿宋" w:eastAsia="仿宋" w:cs="仿宋"/>
          <w:color w:val="auto"/>
          <w:sz w:val="30"/>
          <w:szCs w:val="30"/>
          <w:lang w:val="en-US" w:eastAsia="zh-CN"/>
        </w:rPr>
        <w:t>[2018]187号</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：兴国县市政公用事业服务中心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④</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1周年</w:t>
      </w:r>
    </w:p>
    <w:p>
      <w:pPr>
        <w:spacing w:line="56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665.54</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：埠头垃圾填埋场运行相关经费：处理站委托运营、在线监测、自行监测、水质、废水检测，房屋、车辆、机械维修等费用力争控制范围内</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3630" w:leftChars="300" w:hanging="3000" w:hangingChars="1000"/>
        <w:textAlignment w:val="auto"/>
        <w:rPr>
          <w:rFonts w:hint="eastAsia" w:ascii="仿宋" w:hAnsi="仿宋" w:eastAsia="仿宋" w:cs="仿宋"/>
          <w:color w:val="auto"/>
          <w:sz w:val="30"/>
          <w:szCs w:val="30"/>
          <w:lang w:val="en-US" w:eastAsia="zh-CN"/>
        </w:rPr>
      </w:pPr>
    </w:p>
    <w:p>
      <w:pPr>
        <w:spacing w:line="560" w:lineRule="exact"/>
        <w:ind w:left="632" w:leftChars="284" w:hanging="36" w:hangingChars="12"/>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val="en-US" w:eastAsia="zh-CN"/>
        </w:rPr>
        <w:t>13、</w:t>
      </w:r>
      <w:r>
        <w:rPr>
          <w:rFonts w:hint="eastAsia" w:ascii="仿宋" w:hAnsi="仿宋" w:eastAsia="仿宋" w:cs="仿宋"/>
          <w:b/>
          <w:bCs/>
          <w:color w:val="auto"/>
          <w:sz w:val="30"/>
          <w:szCs w:val="30"/>
        </w:rPr>
        <w:t>项目名称：城区路灯电费</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①</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城区路灯电费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3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 xml:space="preserve"> 历年拨款（据实核拨）</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：兴国县市政公用事业服务中心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④</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1周年</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450</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w:t>
      </w:r>
      <w:r>
        <w:rPr>
          <w:rFonts w:hint="eastAsia" w:ascii="仿宋" w:hAnsi="仿宋" w:eastAsia="仿宋" w:cs="仿宋"/>
          <w:i w:val="0"/>
          <w:color w:val="000000"/>
          <w:kern w:val="0"/>
          <w:sz w:val="30"/>
          <w:szCs w:val="30"/>
          <w:u w:val="none"/>
          <w:lang w:val="en-US" w:eastAsia="zh-CN" w:bidi="ar"/>
        </w:rPr>
        <w:t>城区路灯电费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仿宋"/>
          <w:color w:val="auto"/>
          <w:sz w:val="32"/>
          <w:szCs w:val="32"/>
          <w:lang w:val="en-US" w:eastAsia="zh-CN"/>
        </w:rPr>
      </w:pPr>
    </w:p>
    <w:p>
      <w:pPr>
        <w:spacing w:line="560" w:lineRule="exact"/>
        <w:ind w:left="632" w:leftChars="284" w:hanging="36" w:hangingChars="12"/>
        <w:rPr>
          <w:rFonts w:hint="eastAsia" w:ascii="仿宋" w:hAnsi="仿宋" w:eastAsia="仿宋" w:cs="仿宋"/>
          <w:b/>
          <w:bCs/>
          <w:color w:val="auto"/>
          <w:sz w:val="30"/>
          <w:szCs w:val="30"/>
        </w:rPr>
      </w:pPr>
      <w:r>
        <w:rPr>
          <w:rFonts w:hint="eastAsia" w:ascii="仿宋" w:hAnsi="仿宋" w:eastAsia="仿宋" w:cs="仿宋"/>
          <w:b/>
          <w:bCs/>
          <w:color w:val="auto"/>
          <w:sz w:val="30"/>
          <w:szCs w:val="30"/>
          <w:lang w:val="en-US" w:eastAsia="zh-CN"/>
        </w:rPr>
        <w:t>14、</w:t>
      </w:r>
      <w:r>
        <w:rPr>
          <w:rFonts w:hint="eastAsia" w:ascii="仿宋" w:hAnsi="仿宋" w:eastAsia="仿宋" w:cs="仿宋"/>
          <w:b/>
          <w:bCs/>
          <w:color w:val="auto"/>
          <w:sz w:val="30"/>
          <w:szCs w:val="30"/>
        </w:rPr>
        <w:t>项目名称：城区绿化养护服务费</w:t>
      </w:r>
    </w:p>
    <w:p>
      <w:pPr>
        <w:spacing w:line="560" w:lineRule="exact"/>
        <w:ind w:left="632" w:leftChars="284" w:hanging="36" w:hangingChars="12"/>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①项目概述</w:t>
      </w:r>
      <w:r>
        <w:rPr>
          <w:rFonts w:hint="eastAsia" w:ascii="仿宋" w:hAnsi="仿宋" w:eastAsia="仿宋" w:cs="仿宋"/>
          <w:color w:val="auto"/>
          <w:sz w:val="30"/>
          <w:szCs w:val="30"/>
          <w:lang w:eastAsia="zh-CN"/>
        </w:rPr>
        <w:t>：城区绿化养护服务费</w:t>
      </w:r>
    </w:p>
    <w:p>
      <w:pPr>
        <w:numPr>
          <w:ilvl w:val="0"/>
          <w:numId w:val="0"/>
        </w:numPr>
        <w:spacing w:line="56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②立项依据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兴府办抄字【2021】401号</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③实施主体</w:t>
      </w:r>
      <w:r>
        <w:rPr>
          <w:rFonts w:hint="eastAsia" w:ascii="仿宋" w:hAnsi="仿宋" w:eastAsia="仿宋" w:cs="仿宋"/>
          <w:color w:val="auto"/>
          <w:sz w:val="30"/>
          <w:szCs w:val="30"/>
          <w:lang w:eastAsia="zh-CN"/>
        </w:rPr>
        <w:t>：兴国县市政公用事业服务中心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④</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1周年</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⑤年度预算安排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1560</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⑥年度绩效目标</w:t>
      </w:r>
      <w:r>
        <w:rPr>
          <w:rFonts w:hint="eastAsia" w:ascii="仿宋" w:hAnsi="仿宋" w:eastAsia="仿宋" w:cs="仿宋"/>
          <w:color w:val="auto"/>
          <w:sz w:val="30"/>
          <w:szCs w:val="30"/>
          <w:lang w:eastAsia="zh-CN"/>
        </w:rPr>
        <w:t>：城区绿化养护服务费</w:t>
      </w:r>
    </w:p>
    <w:p>
      <w:pPr>
        <w:pStyle w:val="2"/>
        <w:rPr>
          <w:rFonts w:hint="eastAsia" w:ascii="仿宋" w:hAnsi="仿宋" w:eastAsia="仿宋" w:cs="仿宋"/>
          <w:sz w:val="30"/>
          <w:szCs w:val="30"/>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567" w:firstLineChars="18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2022年兴国县</w:t>
      </w:r>
      <w:r>
        <w:rPr>
          <w:rFonts w:hint="eastAsia" w:ascii="仿宋" w:hAnsi="仿宋" w:eastAsia="仿宋" w:cs="仿宋"/>
          <w:color w:val="auto"/>
          <w:sz w:val="30"/>
          <w:szCs w:val="30"/>
          <w:lang w:eastAsia="zh-CN"/>
        </w:rPr>
        <w:t>城市管理</w:t>
      </w:r>
      <w:r>
        <w:rPr>
          <w:rFonts w:hint="eastAsia" w:ascii="仿宋" w:hAnsi="仿宋" w:eastAsia="仿宋" w:cs="仿宋"/>
          <w:color w:val="auto"/>
          <w:sz w:val="30"/>
          <w:szCs w:val="30"/>
        </w:rPr>
        <w:t>局 “三公”经费一般公共预算安排</w:t>
      </w:r>
      <w:r>
        <w:rPr>
          <w:rFonts w:hint="eastAsia" w:ascii="仿宋" w:hAnsi="仿宋" w:eastAsia="仿宋" w:cs="仿宋"/>
          <w:color w:val="auto"/>
          <w:sz w:val="30"/>
          <w:szCs w:val="30"/>
          <w:lang w:val="en-US" w:eastAsia="zh-CN"/>
        </w:rPr>
        <w:t>15.5万元，较上年（17.45万元）减少1.95万元，降低11%</w:t>
      </w:r>
      <w:r>
        <w:rPr>
          <w:rFonts w:hint="eastAsia" w:ascii="仿宋" w:hAnsi="仿宋" w:eastAsia="仿宋" w:cs="仿宋"/>
          <w:color w:val="auto"/>
          <w:sz w:val="30"/>
          <w:szCs w:val="30"/>
        </w:rPr>
        <w:t>。其中：</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因公出国（境）费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 xml:space="preserve">万元，主要原因是： </w:t>
      </w:r>
      <w:r>
        <w:rPr>
          <w:rFonts w:hint="eastAsia" w:ascii="仿宋" w:hAnsi="仿宋" w:eastAsia="仿宋" w:cs="仿宋"/>
          <w:color w:val="auto"/>
          <w:sz w:val="30"/>
          <w:szCs w:val="30"/>
          <w:lang w:eastAsia="zh-CN"/>
        </w:rPr>
        <w:t>与上年安排保持一致</w:t>
      </w:r>
      <w:r>
        <w:rPr>
          <w:rFonts w:hint="eastAsia" w:ascii="仿宋" w:hAnsi="仿宋" w:eastAsia="仿宋" w:cs="仿宋"/>
          <w:color w:val="auto"/>
          <w:sz w:val="30"/>
          <w:szCs w:val="30"/>
        </w:rPr>
        <w:t>。</w:t>
      </w:r>
    </w:p>
    <w:p>
      <w:pPr>
        <w:keepNext w:val="0"/>
        <w:keepLines w:val="0"/>
        <w:pageBreakBefore w:val="0"/>
        <w:wordWrap/>
        <w:overflowPunct/>
        <w:topLinePunct w:val="0"/>
        <w:bidi w:val="0"/>
        <w:spacing w:line="60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公务接待费</w:t>
      </w:r>
      <w:r>
        <w:rPr>
          <w:rFonts w:hint="eastAsia" w:ascii="仿宋" w:hAnsi="仿宋" w:eastAsia="仿宋" w:cs="仿宋"/>
          <w:color w:val="auto"/>
          <w:sz w:val="30"/>
          <w:szCs w:val="30"/>
          <w:lang w:val="en-US" w:eastAsia="zh-CN"/>
        </w:rPr>
        <w:t>15.5</w:t>
      </w:r>
      <w:r>
        <w:rPr>
          <w:rFonts w:hint="eastAsia" w:ascii="仿宋" w:hAnsi="仿宋" w:eastAsia="仿宋" w:cs="仿宋"/>
          <w:color w:val="auto"/>
          <w:sz w:val="30"/>
          <w:szCs w:val="30"/>
        </w:rPr>
        <w:t>万元，比上年增</w:t>
      </w:r>
      <w:r>
        <w:rPr>
          <w:rFonts w:hint="eastAsia" w:ascii="仿宋" w:hAnsi="仿宋" w:eastAsia="仿宋" w:cs="仿宋"/>
          <w:color w:val="auto"/>
          <w:sz w:val="30"/>
          <w:szCs w:val="30"/>
          <w:lang w:eastAsia="zh-CN"/>
        </w:rPr>
        <w:t>加</w:t>
      </w:r>
      <w:r>
        <w:rPr>
          <w:rFonts w:hint="eastAsia" w:ascii="仿宋" w:hAnsi="仿宋" w:eastAsia="仿宋" w:cs="仿宋"/>
          <w:color w:val="auto"/>
          <w:sz w:val="30"/>
          <w:szCs w:val="30"/>
          <w:lang w:val="en-US" w:eastAsia="zh-CN"/>
        </w:rPr>
        <w:t>3.05</w:t>
      </w:r>
      <w:r>
        <w:rPr>
          <w:rFonts w:hint="eastAsia" w:ascii="仿宋" w:hAnsi="仿宋" w:eastAsia="仿宋" w:cs="仿宋"/>
          <w:color w:val="auto"/>
          <w:sz w:val="30"/>
          <w:szCs w:val="30"/>
        </w:rPr>
        <w:t>万元，主要原因是：</w:t>
      </w:r>
      <w:r>
        <w:rPr>
          <w:rFonts w:hint="eastAsia" w:ascii="仿宋" w:hAnsi="仿宋" w:eastAsia="仿宋" w:cs="仿宋"/>
          <w:sz w:val="30"/>
          <w:szCs w:val="30"/>
        </w:rPr>
        <w:t>城市</w:t>
      </w:r>
      <w:r>
        <w:rPr>
          <w:rFonts w:hint="eastAsia" w:ascii="仿宋" w:hAnsi="仿宋" w:eastAsia="仿宋" w:cs="仿宋"/>
          <w:sz w:val="30"/>
          <w:szCs w:val="30"/>
          <w:lang w:eastAsia="zh-CN"/>
        </w:rPr>
        <w:t>公共基础设施建设项目支出</w:t>
      </w:r>
      <w:r>
        <w:rPr>
          <w:rFonts w:hint="eastAsia" w:ascii="仿宋" w:hAnsi="仿宋" w:eastAsia="仿宋" w:cs="仿宋"/>
          <w:sz w:val="30"/>
          <w:szCs w:val="30"/>
        </w:rPr>
        <w:t>增加</w:t>
      </w:r>
      <w:r>
        <w:rPr>
          <w:rFonts w:hint="eastAsia" w:ascii="仿宋" w:hAnsi="仿宋" w:eastAsia="仿宋" w:cs="仿宋"/>
          <w:color w:val="auto"/>
          <w:sz w:val="30"/>
          <w:szCs w:val="30"/>
        </w:rPr>
        <w:t>。</w:t>
      </w:r>
    </w:p>
    <w:p>
      <w:pPr>
        <w:keepNext w:val="0"/>
        <w:keepLines w:val="0"/>
        <w:pageBreakBefore w:val="0"/>
        <w:wordWrap/>
        <w:overflowPunct/>
        <w:topLinePunct w:val="0"/>
        <w:bidi w:val="0"/>
        <w:spacing w:line="60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公务用车运行维护费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万元，比上年减</w:t>
      </w:r>
      <w:r>
        <w:rPr>
          <w:rFonts w:hint="eastAsia" w:ascii="仿宋" w:hAnsi="仿宋" w:eastAsia="仿宋" w:cs="仿宋"/>
          <w:color w:val="auto"/>
          <w:sz w:val="30"/>
          <w:szCs w:val="30"/>
          <w:lang w:eastAsia="zh-CN"/>
        </w:rPr>
        <w:t>少</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万元，主要原因是：</w:t>
      </w:r>
      <w:r>
        <w:rPr>
          <w:rFonts w:hint="eastAsia" w:ascii="仿宋" w:hAnsi="仿宋" w:eastAsia="仿宋" w:cs="仿宋"/>
          <w:color w:val="auto"/>
          <w:sz w:val="30"/>
          <w:szCs w:val="30"/>
          <w:lang w:eastAsia="zh-CN"/>
        </w:rPr>
        <w:t>单位机构改革，公务用车减少</w:t>
      </w:r>
      <w:r>
        <w:rPr>
          <w:rFonts w:hint="eastAsia" w:ascii="仿宋" w:hAnsi="仿宋" w:eastAsia="仿宋" w:cs="仿宋"/>
          <w:color w:val="auto"/>
          <w:sz w:val="30"/>
          <w:szCs w:val="30"/>
        </w:rPr>
        <w:t>。</w:t>
      </w:r>
    </w:p>
    <w:p>
      <w:pPr>
        <w:keepNext w:val="0"/>
        <w:keepLines w:val="0"/>
        <w:pageBreakBefore w:val="0"/>
        <w:wordWrap/>
        <w:overflowPunct/>
        <w:topLinePunct w:val="0"/>
        <w:bidi w:val="0"/>
        <w:spacing w:line="600" w:lineRule="exact"/>
        <w:ind w:firstLine="600" w:firstLineChars="200"/>
        <w:rPr>
          <w:rFonts w:hint="eastAsia" w:ascii="仿宋" w:hAnsi="仿宋" w:eastAsia="仿宋" w:cs="仿宋"/>
          <w:color w:val="auto"/>
          <w:sz w:val="30"/>
          <w:szCs w:val="30"/>
        </w:rPr>
        <w:sectPr>
          <w:footerReference r:id="rId3" w:type="default"/>
          <w:pgSz w:w="11910" w:h="16840"/>
          <w:pgMar w:top="862" w:right="1786" w:bottom="403" w:left="1786" w:header="0" w:footer="0" w:gutter="0"/>
          <w:cols w:space="720" w:num="1"/>
          <w:rtlGutter w:val="0"/>
          <w:docGrid w:linePitch="1" w:charSpace="0"/>
        </w:sectPr>
      </w:pPr>
      <w:r>
        <w:rPr>
          <w:rFonts w:hint="eastAsia" w:ascii="仿宋" w:hAnsi="仿宋" w:eastAsia="仿宋" w:cs="仿宋"/>
          <w:color w:val="auto"/>
          <w:sz w:val="30"/>
          <w:szCs w:val="30"/>
        </w:rPr>
        <w:t>公务用车购置费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万元，主要原因是：</w:t>
      </w:r>
      <w:r>
        <w:rPr>
          <w:rFonts w:hint="eastAsia" w:ascii="仿宋" w:hAnsi="仿宋" w:eastAsia="仿宋" w:cs="仿宋"/>
          <w:color w:val="auto"/>
          <w:sz w:val="30"/>
          <w:szCs w:val="30"/>
          <w:lang w:eastAsia="zh-CN"/>
        </w:rPr>
        <w:t>与上年安排保持一致。</w:t>
      </w:r>
    </w:p>
    <w:p>
      <w:pPr>
        <w:spacing w:line="560" w:lineRule="exact"/>
        <w:jc w:val="center"/>
        <w:rPr>
          <w:rFonts w:ascii="仿宋" w:hAnsi="仿宋" w:eastAsia="仿宋" w:cs="仿宋"/>
          <w:color w:val="auto"/>
          <w:sz w:val="36"/>
          <w:szCs w:val="36"/>
        </w:rPr>
      </w:pPr>
      <w:r>
        <w:rPr>
          <w:rFonts w:hint="eastAsia" w:ascii="黑体" w:hAnsi="黑体" w:eastAsia="黑体" w:cs="黑体"/>
          <w:b w:val="0"/>
          <w:bCs w:val="0"/>
          <w:color w:val="auto"/>
          <w:sz w:val="40"/>
          <w:szCs w:val="40"/>
        </w:rPr>
        <w:t>第三部分 兴国县</w:t>
      </w:r>
      <w:r>
        <w:rPr>
          <w:rFonts w:hint="eastAsia" w:ascii="黑体" w:hAnsi="黑体" w:eastAsia="黑体" w:cs="黑体"/>
          <w:b w:val="0"/>
          <w:bCs w:val="0"/>
          <w:color w:val="auto"/>
          <w:sz w:val="40"/>
          <w:szCs w:val="40"/>
          <w:lang w:eastAsia="zh-CN"/>
        </w:rPr>
        <w:t>城市管理局</w:t>
      </w:r>
      <w:r>
        <w:rPr>
          <w:rFonts w:hint="eastAsia" w:ascii="黑体" w:hAnsi="黑体" w:eastAsia="黑体" w:cs="黑体"/>
          <w:b w:val="0"/>
          <w:bCs w:val="0"/>
          <w:color w:val="auto"/>
          <w:sz w:val="40"/>
          <w:szCs w:val="40"/>
          <w:lang w:val="en-US" w:eastAsia="zh-CN"/>
        </w:rPr>
        <w:t>2022</w:t>
      </w:r>
      <w:r>
        <w:rPr>
          <w:rFonts w:hint="eastAsia" w:ascii="黑体" w:hAnsi="黑体" w:eastAsia="黑体" w:cs="黑体"/>
          <w:b w:val="0"/>
          <w:bCs w:val="0"/>
          <w:color w:val="auto"/>
          <w:sz w:val="40"/>
          <w:szCs w:val="40"/>
        </w:rPr>
        <w:t>年部门预算表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63"/>
        <w:gridCol w:w="2329"/>
        <w:gridCol w:w="3820"/>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471"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填报单位:[304]兴国县城市管理局 , [304001]兴国县城市管理局 , [304002]兴国县城市管理综合行政执法大队 , [304003]兴国县市政公用事业服务中心</w:t>
            </w:r>
          </w:p>
        </w:tc>
        <w:tc>
          <w:tcPr>
            <w:tcW w:w="52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19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节能环保支出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13,122.31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27,195.07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13,941.46</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29,414.4</w:t>
            </w:r>
            <w:r>
              <w:rPr>
                <w:rFonts w:hint="eastAsia" w:ascii="宋体" w:hAnsi="宋体" w:cs="宋体"/>
                <w:i w:val="0"/>
                <w:iCs w:val="0"/>
                <w:color w:val="000000"/>
                <w:kern w:val="0"/>
                <w:sz w:val="24"/>
                <w:szCs w:val="24"/>
                <w:u w:val="none"/>
                <w:lang w:val="en-US" w:eastAsia="zh-CN" w:bidi="ar"/>
              </w:rPr>
              <w:t>4</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62,287.57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八、使用非财政拨款结余</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九、上年结转（结余）</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32,873.14</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8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62,287.57</w:t>
            </w:r>
          </w:p>
        </w:tc>
        <w:tc>
          <w:tcPr>
            <w:tcW w:w="1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62,287.57</w:t>
            </w:r>
          </w:p>
        </w:tc>
      </w:tr>
    </w:tbl>
    <w:p>
      <w:pPr>
        <w:pStyle w:val="2"/>
        <w:rPr>
          <w:rFonts w:ascii="仿宋" w:hAnsi="仿宋" w:eastAsia="仿宋" w:cs="仿宋"/>
          <w:color w:val="auto"/>
          <w:sz w:val="32"/>
          <w:szCs w:val="32"/>
        </w:rPr>
      </w:pPr>
    </w:p>
    <w:p>
      <w:pPr>
        <w:pStyle w:val="2"/>
        <w:rPr>
          <w:rFonts w:hint="eastAsia" w:ascii="仿宋" w:hAnsi="仿宋" w:eastAsia="仿宋" w:cs="仿宋"/>
          <w:color w:val="auto"/>
          <w:sz w:val="30"/>
          <w:szCs w:val="30"/>
          <w:lang w:val="en-US" w:eastAsia="zh-CN"/>
        </w:rPr>
        <w:sectPr>
          <w:footerReference r:id="rId4" w:type="default"/>
          <w:pgSz w:w="16838" w:h="11906" w:orient="landscape"/>
          <w:pgMar w:top="1587" w:right="1587" w:bottom="1587" w:left="1587" w:header="851" w:footer="992" w:gutter="0"/>
          <w:cols w:space="0" w:num="1"/>
          <w:docGrid w:type="lines" w:linePitch="322" w:charSpace="0"/>
        </w:sectPr>
      </w:pPr>
    </w:p>
    <w:tbl>
      <w:tblPr>
        <w:tblStyle w:val="4"/>
        <w:tblW w:w="496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76"/>
        <w:gridCol w:w="1208"/>
        <w:gridCol w:w="1422"/>
        <w:gridCol w:w="1305"/>
        <w:gridCol w:w="1304"/>
        <w:gridCol w:w="1268"/>
        <w:gridCol w:w="725"/>
        <w:gridCol w:w="680"/>
        <w:gridCol w:w="414"/>
        <w:gridCol w:w="516"/>
        <w:gridCol w:w="480"/>
        <w:gridCol w:w="496"/>
        <w:gridCol w:w="896"/>
        <w:gridCol w:w="1292"/>
        <w:gridCol w:w="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trPr>
        <w:tc>
          <w:tcPr>
            <w:tcW w:w="4420" w:type="pct"/>
            <w:gridSpan w:val="13"/>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[304]兴国县城市管理局 , [304001]兴国县城市管理局 , [304002]兴国县城市管理综合行政执法大队 , [304003]兴国县市政公用事业服务中心</w:t>
            </w:r>
          </w:p>
        </w:tc>
        <w:tc>
          <w:tcPr>
            <w:tcW w:w="579"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功能科目编码</w:t>
            </w:r>
          </w:p>
        </w:tc>
        <w:tc>
          <w:tcPr>
            <w:tcW w:w="4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功能科目名称</w:t>
            </w:r>
          </w:p>
        </w:tc>
        <w:tc>
          <w:tcPr>
            <w:tcW w:w="515"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上年结转</w:t>
            </w:r>
          </w:p>
        </w:tc>
        <w:tc>
          <w:tcPr>
            <w:tcW w:w="144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w:t>
            </w:r>
          </w:p>
        </w:tc>
        <w:tc>
          <w:tcPr>
            <w:tcW w:w="1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教育收费资金收入</w:t>
            </w:r>
          </w:p>
        </w:tc>
        <w:tc>
          <w:tcPr>
            <w:tcW w:w="18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7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事业单位经营收入</w:t>
            </w:r>
          </w:p>
        </w:tc>
        <w:tc>
          <w:tcPr>
            <w:tcW w:w="17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32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46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c>
          <w:tcPr>
            <w:tcW w:w="1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0" w:hRule="atLeast"/>
        </w:trPr>
        <w:tc>
          <w:tcPr>
            <w:tcW w:w="5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1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一般公共预算拨款收入</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政府性基金预算拨款收入</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国有资本经营预算收入</w:t>
            </w:r>
          </w:p>
        </w:tc>
        <w:tc>
          <w:tcPr>
            <w:tcW w:w="150"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87"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74"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179"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324" w:type="pct"/>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46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3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3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7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5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2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62,287.5</w:t>
            </w:r>
            <w:r>
              <w:rPr>
                <w:rFonts w:hint="eastAsia" w:ascii="宋体" w:hAnsi="宋体" w:cs="宋体"/>
                <w:i w:val="0"/>
                <w:iCs w:val="0"/>
                <w:color w:val="000000"/>
                <w:kern w:val="0"/>
                <w:sz w:val="22"/>
                <w:szCs w:val="22"/>
                <w:u w:val="none"/>
                <w:lang w:val="en-US" w:eastAsia="zh-CN" w:bidi="ar"/>
              </w:rPr>
              <w:t>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32,873.14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15,457.98</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15,457.98</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13,941.46</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21,487.24</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8,676.20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8,676.20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12,796.04</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21,487.24</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8,676.20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8,676.20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12,796.04</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2019999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21,487.24</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8,676.20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8,676.20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12,796.04</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257.68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255.80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255.80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205.90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189.88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188.78</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188.78</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16.02</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16.02</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16.02</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0.77</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111.83</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111.75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111.75</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111.83</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111.75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111.75</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事业单位医疗</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95.26</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95.26</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95.26</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公务员医疗补助</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13,122.31</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13,122.31</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环境保护管理事务</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6,890.31</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6,890.31</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2110101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2110199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其他环境保护管理事务支出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6,885.81</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6,885.81</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污染防治</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6,232.00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6,232.00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2110302</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水体</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6,232.00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6,232.00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27,195.07</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19,748.88</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6,300.78</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6,300.78</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1,145.42</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4,706.00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2,673.43</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1,928.55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1,928.55</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720" w:hanging="660" w:hangingChars="3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2120101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209.20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158.42</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50.78</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50.78</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2120104</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1,996.81</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15.01</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1,877.76</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1,877.76</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104.03</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2120199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2,500.00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城乡社区公共设施</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2,837.58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282.58</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2,555.00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2,555.00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2120399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其他城乡社区公共设施支出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2,837.58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282.58</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2,555.00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2,555.00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2,962.38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1,817.23</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1,817.23</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1,041.39</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2120501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2,962.38</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103.75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1,817.23</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1,817.23</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1,041.39</w:t>
            </w: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17</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城市基础设施配套费对应专项债务收入安排的支出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3,926.06</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3,926.06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2121799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其他城市基础设施配套费对应专项债务收入安排的支出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3,926.06</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3,926.06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18</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污水处理费对应专项债务收入安排的支出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11,035.00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11,035.00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2121899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其他污水处理费对应专项债务收入安排的支出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11,035.00</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11,035.00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1,728.05</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1,728.05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2129999</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1,728.05</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1,728.05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480" w:hanging="440" w:hangingChars="2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113.45</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2"/>
                <w:szCs w:val="22"/>
                <w:u w:val="none"/>
              </w:rPr>
            </w:pP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13"/>
        <w:gridCol w:w="4577"/>
        <w:gridCol w:w="2845"/>
        <w:gridCol w:w="2376"/>
        <w:gridCol w:w="24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110"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填报单位[304]兴国县城市管理局 , [304001]兴国县城市管理局 , [304002]兴国县城市管理综合行政执法大队 , [304003]兴国县市政公用事业服务中心</w:t>
            </w:r>
          </w:p>
        </w:tc>
        <w:tc>
          <w:tcPr>
            <w:tcW w:w="889"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22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102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55"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8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2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55"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8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64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2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62,287.58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2,067.88</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60,219.70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其他一般公共服务支出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2019999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其他一般公共服务支出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257.68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257.68</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205.90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205.90</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189.88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189.88</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16.02</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08</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抚恤</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2080801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死亡抚恤</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2089999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111.83</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111.83</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行政单位医疗</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95.26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95.26</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2101103</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公务员医疗补助</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14.46</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节能环保支出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13,122.31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13,122.31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环境保护管理事务</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6,890.31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6,890.31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2110101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行政运行</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2110199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其他环境保护管理事务支出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6,885.81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6,885.81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污染防治</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6,232.00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2110302</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水体</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6,232.00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27,195.07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1,584.92</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25,610.15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城乡社区管理事务</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4,706.00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838.97</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3,867.04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2120101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行政运行</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209.20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57.53</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2120104</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城管执法</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1,996.81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781.43</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1,215.37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2120199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其他城乡社区管理事务支出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城乡社区公共设施</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2,837.58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2,837.58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2120399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其他城乡社区公共设施支出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2,837.58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2,837.58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城乡社区环境卫生</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2,962.38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745.96</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2120501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城乡社区环境卫生</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2,962.38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745.96</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17</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城市基础设施配套费对应专项债务收入安排的支出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3,926.06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3,926.06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2121799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其他城市基础设施配套费对应专项债务收入安排的支出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3,926.06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3,926.06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18</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污水处理费对应专项债务收入安排的支出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11,035.00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2121899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其他污水处理费对应专项债务收入安排的支出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11,035.00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其他城乡社区支出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1,728.05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2129999</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其他城乡社区支出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1,728.05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1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10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35"/>
        <w:gridCol w:w="1424"/>
        <w:gridCol w:w="2383"/>
        <w:gridCol w:w="1986"/>
        <w:gridCol w:w="1727"/>
        <w:gridCol w:w="1903"/>
        <w:gridCol w:w="20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44"/>
                <w:szCs w:val="44"/>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268" w:type="pct"/>
            <w:gridSpan w:val="6"/>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 , [304001]兴国县城市管理局 , [304002]兴国县城市管理综合行政执法大队 , [304003]兴国县市政公用事业服务中心</w:t>
            </w:r>
          </w:p>
        </w:tc>
        <w:tc>
          <w:tcPr>
            <w:tcW w:w="73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8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361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86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71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1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68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255.80</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255.80</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111.75</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111.75</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6,300.78</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6,300.78</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bl>
    <w:p>
      <w:pPr>
        <w:pStyle w:val="2"/>
        <w:rPr>
          <w:rFonts w:ascii="仿宋" w:hAnsi="仿宋" w:eastAsia="仿宋" w:cs="仿宋"/>
          <w:color w:val="auto"/>
          <w:sz w:val="32"/>
          <w:szCs w:val="32"/>
        </w:rPr>
      </w:pPr>
    </w:p>
    <w:p>
      <w:pPr>
        <w:pStyle w:val="2"/>
        <w:rPr>
          <w:rFonts w:ascii="仿宋" w:hAnsi="仿宋" w:eastAsia="仿宋" w:cs="仿宋"/>
          <w:color w:val="auto"/>
          <w:sz w:val="20"/>
          <w:szCs w:val="20"/>
        </w:rPr>
      </w:pPr>
    </w:p>
    <w:p>
      <w:pPr>
        <w:pStyle w:val="2"/>
        <w:rPr>
          <w:rFonts w:ascii="仿宋" w:hAnsi="仿宋" w:eastAsia="仿宋" w:cs="仿宋"/>
          <w:color w:val="auto"/>
          <w:sz w:val="20"/>
          <w:szCs w:val="20"/>
        </w:rPr>
      </w:pPr>
    </w:p>
    <w:tbl>
      <w:tblPr>
        <w:tblStyle w:val="4"/>
        <w:tblW w:w="1378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5"/>
        <w:gridCol w:w="4249"/>
        <w:gridCol w:w="2786"/>
        <w:gridCol w:w="2220"/>
        <w:gridCol w:w="25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3787"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40"/>
                <w:szCs w:val="40"/>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240" w:type="dxa"/>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 , [304001]兴国县城市管理局 , [304002]兴国县城市管理综合行政执法大队 , [304003]兴国县市政公用事业服务中心</w:t>
            </w:r>
          </w:p>
        </w:tc>
        <w:tc>
          <w:tcPr>
            <w:tcW w:w="2547"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75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249"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786"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2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54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15,457.98</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2,053.73</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13,404.25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其他一般公共服务支出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2019999</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其他一般公共服务支出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8,676.20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255.80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255.80</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204.80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204.80</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188.78</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188.78</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16.02</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16.02</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08</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抚恤</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2080801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死亡抚恤</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2089999</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47.90</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111.75</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111.75</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111.75</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111.75</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行政单位医疗</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2.03</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2.03</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95.26</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95.26</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2101103</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公务员医疗补助</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14.46</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14.46</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6,300.78</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1,572.73</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4,728.05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城乡社区管理事务</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1,928.55</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828.55</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2120101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行政运行</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50.78</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50.78</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2120104</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城管执法</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1,877.76</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777.76</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城乡社区公共设施</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2,555.00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2120399</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其他城乡社区公共设施支出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2,555.00</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城乡社区环境卫生</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1,817.23</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744.18</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2120501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城乡社区环境卫生</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1,817.23</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744.18</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4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2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2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2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ascii="仿宋" w:hAnsi="仿宋" w:eastAsia="仿宋" w:cs="仿宋"/>
          <w:color w:val="auto"/>
          <w:sz w:val="20"/>
          <w:szCs w:val="20"/>
        </w:rPr>
      </w:pPr>
    </w:p>
    <w:p>
      <w:pPr>
        <w:pStyle w:val="2"/>
        <w:rPr>
          <w:rFonts w:ascii="仿宋" w:hAnsi="仿宋" w:eastAsia="仿宋" w:cs="仿宋"/>
          <w:color w:val="auto"/>
          <w:sz w:val="20"/>
          <w:szCs w:val="20"/>
        </w:rPr>
      </w:pPr>
    </w:p>
    <w:p>
      <w:pPr>
        <w:pStyle w:val="2"/>
        <w:rPr>
          <w:rFonts w:ascii="仿宋" w:hAnsi="仿宋" w:eastAsia="仿宋" w:cs="仿宋"/>
          <w:color w:val="auto"/>
          <w:sz w:val="20"/>
          <w:szCs w:val="20"/>
        </w:rPr>
      </w:pPr>
    </w:p>
    <w:p>
      <w:pPr>
        <w:pStyle w:val="2"/>
        <w:rPr>
          <w:rFonts w:ascii="仿宋" w:hAnsi="仿宋" w:eastAsia="仿宋" w:cs="仿宋"/>
          <w:color w:val="auto"/>
          <w:sz w:val="20"/>
          <w:szCs w:val="20"/>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53"/>
        <w:gridCol w:w="3899"/>
        <w:gridCol w:w="3077"/>
        <w:gridCol w:w="2358"/>
        <w:gridCol w:w="22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173"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 , [304001]兴国县城市管理局 , [304002]兴国县城市管理综合行政执法大队 , [304003]兴国县市政公用事业服务中心</w:t>
            </w:r>
          </w:p>
        </w:tc>
        <w:tc>
          <w:tcPr>
            <w:tcW w:w="82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2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278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40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1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8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40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1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2,053.73</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1391.89922</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1,382.56</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363.70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363.6984</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30102</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津贴补贴</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202.196</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30103</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奖金</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30.31</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30.3132</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30106</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伙食补助费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52.61</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52.6072</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30107</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绩效工资</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90.25</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90.25</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188.78</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188.780416</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16.02</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16.02</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97.29</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97.2904</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30112</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其他社会保障缴费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62.36</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62.3556</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30113</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113.4528</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30199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其他工资福利支出</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165.60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165.6</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商品和服务支出</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650.18</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30201</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办公费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19.70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30202</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印刷费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30203</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咨询费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30205</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水费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4.95</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30206</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电费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30207</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邮电费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3.56</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30208</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取暖费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18.83</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30211</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差旅费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77.50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30213</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维修（护）费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9.52</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30214</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租赁费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30216</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培训费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30217</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公务接待费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30225</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专用燃料费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30226</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劳务费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362.00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30228</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工会经费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61.32</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30229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福利费</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30239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其他交通费用</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29.12</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30240</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税金及附加费用</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30299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其他商品和服务支出</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对个人和家庭的补助</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9.34</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30304</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抚恤金</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3.104004</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30305</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生活补助</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3.73</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3.7312</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30307</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医疗费补助</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30399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其他对个人和家庭的补助</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资本性支出</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11.65</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31099</w:t>
            </w:r>
          </w:p>
        </w:tc>
        <w:tc>
          <w:tcPr>
            <w:tcW w:w="1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其他资本性支出</w:t>
            </w:r>
          </w:p>
        </w:tc>
        <w:tc>
          <w:tcPr>
            <w:tcW w:w="11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11.65</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8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11.65</w:t>
            </w:r>
          </w:p>
        </w:tc>
      </w:tr>
    </w:tbl>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22"/>
        <w:gridCol w:w="2762"/>
        <w:gridCol w:w="1341"/>
        <w:gridCol w:w="2148"/>
        <w:gridCol w:w="1586"/>
        <w:gridCol w:w="2389"/>
        <w:gridCol w:w="1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273" w:type="pct"/>
            <w:gridSpan w:val="6"/>
            <w:tcBorders>
              <w:top w:val="nil"/>
              <w:left w:val="nil"/>
              <w:bottom w:val="nil"/>
              <w:right w:val="nil"/>
            </w:tcBorders>
            <w:shd w:val="clear" w:color="auto" w:fill="auto"/>
            <w:noWrap/>
            <w:vAlign w:val="center"/>
          </w:tcPr>
          <w:p>
            <w:pPr>
              <w:rPr>
                <w:rFonts w:hint="default" w:ascii="Calibri" w:hAnsi="Calibri" w:cs="Calibri"/>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填报单位[304]兴国县城市管理局 , [304001]兴国县城市管理局 , [304002]兴国县城市管理综合行政执法大队 , [304003]兴国县市政公用事业服务中心</w:t>
            </w:r>
          </w:p>
        </w:tc>
        <w:tc>
          <w:tcPr>
            <w:tcW w:w="72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8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部门编码</w:t>
            </w:r>
          </w:p>
        </w:tc>
        <w:tc>
          <w:tcPr>
            <w:tcW w:w="9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部门名称</w:t>
            </w:r>
          </w:p>
        </w:tc>
        <w:tc>
          <w:tcPr>
            <w:tcW w:w="44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5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8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7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8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849"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3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4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20"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7"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0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726"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84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w:t>
            </w:r>
          </w:p>
        </w:tc>
        <w:tc>
          <w:tcPr>
            <w:tcW w:w="93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15.50</w:t>
            </w:r>
          </w:p>
        </w:tc>
        <w:tc>
          <w:tcPr>
            <w:tcW w:w="7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15.50</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pStyle w:val="2"/>
        <w:rPr>
          <w:rFonts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55"/>
        <w:gridCol w:w="1394"/>
        <w:gridCol w:w="1616"/>
        <w:gridCol w:w="2815"/>
        <w:gridCol w:w="4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81"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8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10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161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78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321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0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8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1"/>
                <w:szCs w:val="21"/>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1"/>
                <w:szCs w:val="21"/>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1"/>
                <w:szCs w:val="21"/>
                <w:u w:val="none"/>
              </w:rPr>
            </w:pPr>
          </w:p>
        </w:tc>
        <w:tc>
          <w:tcPr>
            <w:tcW w:w="101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1"/>
                <w:szCs w:val="21"/>
                <w:u w:val="none"/>
              </w:rPr>
            </w:pPr>
          </w:p>
        </w:tc>
        <w:tc>
          <w:tcPr>
            <w:tcW w:w="16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1"/>
                <w:szCs w:val="21"/>
                <w:u w:val="none"/>
              </w:rPr>
            </w:pPr>
          </w:p>
        </w:tc>
      </w:tr>
    </w:tbl>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32"/>
        <w:gridCol w:w="1215"/>
        <w:gridCol w:w="778"/>
        <w:gridCol w:w="1222"/>
        <w:gridCol w:w="1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138"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填报单位:[304]兴国县城市管理局 , [304001]兴国县城市管理局 , [304002]兴国县城市管理综合行政执法大队 , [304003]兴国县市政公用事业服务中心</w:t>
            </w:r>
          </w:p>
        </w:tc>
        <w:tc>
          <w:tcPr>
            <w:tcW w:w="86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5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148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bl>
    <w:p>
      <w:pPr>
        <w:pStyle w:val="2"/>
        <w:rPr>
          <w:rFonts w:ascii="仿宋" w:hAnsi="仿宋" w:eastAsia="仿宋" w:cs="仿宋"/>
          <w:color w:val="auto"/>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sectPr>
          <w:pgSz w:w="16838" w:h="11906" w:orient="landscape"/>
          <w:pgMar w:top="1587" w:right="1587" w:bottom="1587" w:left="1587" w:header="851" w:footer="992" w:gutter="0"/>
          <w:cols w:space="0" w:num="1"/>
          <w:docGrid w:type="lines" w:linePitch="322" w:charSpace="0"/>
        </w:sectPr>
      </w:pPr>
    </w:p>
    <w:p>
      <w:pPr>
        <w:spacing w:before="297" w:line="219" w:lineRule="auto"/>
        <w:ind w:left="3209"/>
        <w:rPr>
          <w:rFonts w:ascii="宋体" w:hAnsi="宋体" w:eastAsia="宋体" w:cs="宋体"/>
          <w:color w:val="auto"/>
          <w:sz w:val="32"/>
          <w:szCs w:val="32"/>
        </w:rPr>
      </w:pPr>
      <w:r>
        <w:rPr>
          <w:rFonts w:ascii="宋体" w:hAnsi="宋体" w:eastAsia="宋体" w:cs="宋体"/>
          <w:b/>
          <w:bCs/>
          <w:color w:val="auto"/>
          <w:spacing w:val="-9"/>
          <w:sz w:val="32"/>
          <w:szCs w:val="32"/>
        </w:rPr>
        <w:t>部门整体支出绩效目标表</w:t>
      </w:r>
    </w:p>
    <w:p>
      <w:pPr>
        <w:spacing w:before="182" w:line="219" w:lineRule="auto"/>
        <w:ind w:left="4375"/>
        <w:rPr>
          <w:rFonts w:ascii="宋体" w:hAnsi="宋体" w:eastAsia="宋体" w:cs="宋体"/>
          <w:color w:val="auto"/>
          <w:sz w:val="24"/>
          <w:szCs w:val="24"/>
        </w:rPr>
      </w:pPr>
      <w:r>
        <w:rPr>
          <w:rFonts w:ascii="宋体" w:hAnsi="宋体" w:eastAsia="宋体" w:cs="宋体"/>
          <w:color w:val="auto"/>
          <w:spacing w:val="2"/>
          <w:sz w:val="24"/>
          <w:szCs w:val="24"/>
        </w:rPr>
        <w:t>(202</w:t>
      </w:r>
      <w:r>
        <w:rPr>
          <w:rFonts w:hint="eastAsia" w:ascii="宋体" w:hAnsi="宋体" w:cs="宋体"/>
          <w:color w:val="auto"/>
          <w:spacing w:val="2"/>
          <w:sz w:val="24"/>
          <w:szCs w:val="24"/>
          <w:lang w:val="en-US" w:eastAsia="zh-CN"/>
        </w:rPr>
        <w:t>2</w:t>
      </w:r>
      <w:r>
        <w:rPr>
          <w:rFonts w:ascii="宋体" w:hAnsi="宋体" w:eastAsia="宋体" w:cs="宋体"/>
          <w:color w:val="auto"/>
          <w:spacing w:val="2"/>
          <w:sz w:val="24"/>
          <w:szCs w:val="24"/>
        </w:rPr>
        <w:t>年度)</w:t>
      </w:r>
    </w:p>
    <w:p>
      <w:pPr>
        <w:spacing w:line="87" w:lineRule="exact"/>
        <w:rPr>
          <w:color w:val="auto"/>
          <w:sz w:val="24"/>
          <w:szCs w:val="24"/>
        </w:rPr>
      </w:pPr>
    </w:p>
    <w:tbl>
      <w:tblPr>
        <w:tblStyle w:val="6"/>
        <w:tblW w:w="977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4"/>
        <w:gridCol w:w="1049"/>
        <w:gridCol w:w="1009"/>
        <w:gridCol w:w="1988"/>
        <w:gridCol w:w="1998"/>
        <w:gridCol w:w="2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2313" w:type="dxa"/>
            <w:gridSpan w:val="2"/>
            <w:vAlign w:val="top"/>
          </w:tcPr>
          <w:p>
            <w:pPr>
              <w:spacing w:before="133" w:line="219" w:lineRule="auto"/>
              <w:ind w:left="724"/>
              <w:rPr>
                <w:rFonts w:ascii="宋体" w:hAnsi="宋体" w:eastAsia="宋体" w:cs="宋体"/>
                <w:color w:val="auto"/>
                <w:sz w:val="24"/>
                <w:szCs w:val="24"/>
              </w:rPr>
            </w:pPr>
            <w:r>
              <w:rPr>
                <w:rFonts w:ascii="宋体" w:hAnsi="宋体" w:eastAsia="宋体" w:cs="宋体"/>
                <w:color w:val="auto"/>
                <w:spacing w:val="2"/>
                <w:sz w:val="24"/>
                <w:szCs w:val="24"/>
              </w:rPr>
              <w:t>部门名称</w:t>
            </w:r>
          </w:p>
        </w:tc>
        <w:tc>
          <w:tcPr>
            <w:tcW w:w="7457" w:type="dxa"/>
            <w:gridSpan w:val="4"/>
            <w:vAlign w:val="center"/>
          </w:tcPr>
          <w:p>
            <w:pPr>
              <w:jc w:val="center"/>
              <w:rPr>
                <w:rFonts w:hint="eastAsia" w:ascii="Arial" w:eastAsia="宋体"/>
                <w:color w:val="auto"/>
                <w:sz w:val="24"/>
                <w:szCs w:val="24"/>
                <w:lang w:eastAsia="zh-CN"/>
              </w:rPr>
            </w:pPr>
            <w:r>
              <w:rPr>
                <w:rFonts w:hint="eastAsia" w:eastAsia="宋体"/>
                <w:color w:val="auto"/>
                <w:sz w:val="24"/>
                <w:szCs w:val="24"/>
                <w:lang w:eastAsia="zh-CN"/>
              </w:rPr>
              <w:t>兴国县城市管理局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70" w:type="dxa"/>
            <w:gridSpan w:val="6"/>
            <w:vAlign w:val="center"/>
          </w:tcPr>
          <w:p>
            <w:pPr>
              <w:spacing w:before="128" w:line="219" w:lineRule="auto"/>
              <w:jc w:val="center"/>
              <w:rPr>
                <w:rFonts w:ascii="宋体" w:hAnsi="宋体" w:eastAsia="宋体" w:cs="宋体"/>
                <w:color w:val="auto"/>
                <w:sz w:val="24"/>
                <w:szCs w:val="24"/>
              </w:rPr>
            </w:pPr>
            <w:r>
              <w:rPr>
                <w:rFonts w:ascii="宋体" w:hAnsi="宋体" w:eastAsia="宋体" w:cs="宋体"/>
                <w:color w:val="auto"/>
                <w:spacing w:val="4"/>
                <w:sz w:val="24"/>
                <w:szCs w:val="24"/>
              </w:rPr>
              <w:t>当年预算情况(万元)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2313" w:type="dxa"/>
            <w:gridSpan w:val="2"/>
            <w:vAlign w:val="top"/>
          </w:tcPr>
          <w:p>
            <w:pPr>
              <w:spacing w:before="139" w:line="219" w:lineRule="auto"/>
              <w:ind w:left="514"/>
              <w:rPr>
                <w:rFonts w:ascii="宋体" w:hAnsi="宋体" w:eastAsia="宋体" w:cs="宋体"/>
                <w:color w:val="auto"/>
                <w:sz w:val="24"/>
                <w:szCs w:val="24"/>
              </w:rPr>
            </w:pPr>
            <w:r>
              <w:rPr>
                <w:rFonts w:ascii="宋体" w:hAnsi="宋体" w:eastAsia="宋体" w:cs="宋体"/>
                <w:color w:val="auto"/>
                <w:spacing w:val="1"/>
                <w:sz w:val="24"/>
                <w:szCs w:val="24"/>
              </w:rPr>
              <w:t>收入预算合计</w:t>
            </w:r>
          </w:p>
        </w:tc>
        <w:tc>
          <w:tcPr>
            <w:tcW w:w="7457" w:type="dxa"/>
            <w:gridSpan w:val="4"/>
            <w:vAlign w:val="center"/>
          </w:tcPr>
          <w:p>
            <w:pPr>
              <w:jc w:val="center"/>
              <w:rPr>
                <w:rFonts w:hint="default" w:ascii="Arial" w:eastAsia="宋体"/>
                <w:color w:val="auto"/>
                <w:sz w:val="24"/>
                <w:szCs w:val="24"/>
                <w:lang w:val="en-US" w:eastAsia="zh-CN"/>
              </w:rPr>
            </w:pPr>
            <w:r>
              <w:rPr>
                <w:rFonts w:hint="eastAsia"/>
                <w:color w:val="auto"/>
                <w:sz w:val="24"/>
                <w:szCs w:val="24"/>
                <w:lang w:val="en-US" w:eastAsia="zh-CN"/>
              </w:rPr>
              <w:t>62287.57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2313" w:type="dxa"/>
            <w:gridSpan w:val="2"/>
            <w:vAlign w:val="top"/>
          </w:tcPr>
          <w:p>
            <w:pPr>
              <w:spacing w:before="130" w:line="219" w:lineRule="auto"/>
              <w:ind w:left="414"/>
              <w:rPr>
                <w:rFonts w:ascii="宋体" w:hAnsi="宋体" w:eastAsia="宋体" w:cs="宋体"/>
                <w:color w:val="auto"/>
                <w:sz w:val="24"/>
                <w:szCs w:val="24"/>
              </w:rPr>
            </w:pPr>
            <w:r>
              <w:rPr>
                <w:rFonts w:ascii="宋体" w:hAnsi="宋体" w:eastAsia="宋体" w:cs="宋体"/>
                <w:color w:val="auto"/>
                <w:spacing w:val="-2"/>
                <w:sz w:val="24"/>
                <w:szCs w:val="24"/>
              </w:rPr>
              <w:t>其中：财政拨款</w:t>
            </w:r>
          </w:p>
        </w:tc>
        <w:tc>
          <w:tcPr>
            <w:tcW w:w="2997" w:type="dxa"/>
            <w:gridSpan w:val="2"/>
            <w:vAlign w:val="center"/>
          </w:tcPr>
          <w:p>
            <w:pPr>
              <w:jc w:val="center"/>
              <w:rPr>
                <w:rFonts w:hint="default" w:ascii="Arial" w:eastAsia="宋体"/>
                <w:color w:val="auto"/>
                <w:sz w:val="24"/>
                <w:szCs w:val="24"/>
                <w:lang w:val="en-US" w:eastAsia="zh-CN"/>
              </w:rPr>
            </w:pPr>
            <w:r>
              <w:rPr>
                <w:rFonts w:hint="eastAsia"/>
                <w:color w:val="auto"/>
                <w:sz w:val="24"/>
                <w:szCs w:val="24"/>
                <w:lang w:val="en-US" w:eastAsia="zh-CN"/>
              </w:rPr>
              <w:t>15457.98</w:t>
            </w:r>
          </w:p>
        </w:tc>
        <w:tc>
          <w:tcPr>
            <w:tcW w:w="1998" w:type="dxa"/>
            <w:vAlign w:val="center"/>
          </w:tcPr>
          <w:p>
            <w:pPr>
              <w:spacing w:before="131" w:line="220" w:lineRule="auto"/>
              <w:ind w:left="574"/>
              <w:jc w:val="center"/>
              <w:rPr>
                <w:rFonts w:ascii="宋体" w:hAnsi="宋体" w:eastAsia="宋体" w:cs="宋体"/>
                <w:color w:val="auto"/>
                <w:sz w:val="24"/>
                <w:szCs w:val="24"/>
              </w:rPr>
            </w:pPr>
            <w:r>
              <w:rPr>
                <w:rFonts w:ascii="宋体" w:hAnsi="宋体" w:eastAsia="宋体" w:cs="宋体"/>
                <w:color w:val="auto"/>
                <w:spacing w:val="3"/>
                <w:sz w:val="24"/>
                <w:szCs w:val="24"/>
              </w:rPr>
              <w:t>其他经费</w:t>
            </w:r>
          </w:p>
        </w:tc>
        <w:tc>
          <w:tcPr>
            <w:tcW w:w="2462" w:type="dxa"/>
            <w:vAlign w:val="center"/>
          </w:tcPr>
          <w:p>
            <w:pPr>
              <w:jc w:val="center"/>
              <w:rPr>
                <w:rFonts w:hint="default" w:ascii="Arial" w:eastAsia="宋体"/>
                <w:color w:val="auto"/>
                <w:sz w:val="24"/>
                <w:szCs w:val="24"/>
                <w:lang w:val="en-US" w:eastAsia="zh-CN"/>
              </w:rPr>
            </w:pPr>
            <w:r>
              <w:rPr>
                <w:rFonts w:hint="eastAsia" w:ascii="Arial"/>
                <w:color w:val="auto"/>
                <w:sz w:val="24"/>
                <w:szCs w:val="24"/>
                <w:lang w:val="en-US" w:eastAsia="zh-CN"/>
              </w:rPr>
              <w:t>46829.68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2313" w:type="dxa"/>
            <w:gridSpan w:val="2"/>
            <w:vAlign w:val="top"/>
          </w:tcPr>
          <w:p>
            <w:pPr>
              <w:spacing w:before="130" w:line="219" w:lineRule="auto"/>
              <w:ind w:left="514"/>
              <w:rPr>
                <w:rFonts w:ascii="宋体" w:hAnsi="宋体" w:eastAsia="宋体" w:cs="宋体"/>
                <w:color w:val="auto"/>
                <w:sz w:val="24"/>
                <w:szCs w:val="24"/>
              </w:rPr>
            </w:pPr>
            <w:r>
              <w:rPr>
                <w:rFonts w:ascii="宋体" w:hAnsi="宋体" w:eastAsia="宋体" w:cs="宋体"/>
                <w:color w:val="auto"/>
                <w:spacing w:val="-2"/>
                <w:sz w:val="24"/>
                <w:szCs w:val="24"/>
              </w:rPr>
              <w:t>支出预算合计</w:t>
            </w:r>
          </w:p>
        </w:tc>
        <w:tc>
          <w:tcPr>
            <w:tcW w:w="7457" w:type="dxa"/>
            <w:gridSpan w:val="4"/>
            <w:vAlign w:val="center"/>
          </w:tcPr>
          <w:p>
            <w:pPr>
              <w:jc w:val="center"/>
              <w:rPr>
                <w:rFonts w:hint="default" w:ascii="Arial" w:eastAsia="宋体"/>
                <w:color w:val="auto"/>
                <w:sz w:val="24"/>
                <w:szCs w:val="24"/>
                <w:lang w:val="en-US" w:eastAsia="zh-CN"/>
              </w:rPr>
            </w:pPr>
            <w:r>
              <w:rPr>
                <w:rFonts w:hint="eastAsia" w:ascii="Arial"/>
                <w:color w:val="auto"/>
                <w:sz w:val="22"/>
                <w:szCs w:val="22"/>
                <w:lang w:val="en-US" w:eastAsia="zh-CN"/>
              </w:rPr>
              <w:t>62287.57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2313" w:type="dxa"/>
            <w:gridSpan w:val="2"/>
            <w:vAlign w:val="top"/>
          </w:tcPr>
          <w:p>
            <w:pPr>
              <w:spacing w:before="140" w:line="219" w:lineRule="auto"/>
              <w:ind w:left="414"/>
              <w:rPr>
                <w:rFonts w:ascii="宋体" w:hAnsi="宋体" w:eastAsia="宋体" w:cs="宋体"/>
                <w:color w:val="auto"/>
                <w:sz w:val="24"/>
                <w:szCs w:val="24"/>
              </w:rPr>
            </w:pPr>
            <w:r>
              <w:rPr>
                <w:rFonts w:ascii="宋体" w:hAnsi="宋体" w:eastAsia="宋体" w:cs="宋体"/>
                <w:color w:val="auto"/>
                <w:spacing w:val="3"/>
                <w:sz w:val="24"/>
                <w:szCs w:val="24"/>
              </w:rPr>
              <w:t>其中：基本支出</w:t>
            </w:r>
          </w:p>
        </w:tc>
        <w:tc>
          <w:tcPr>
            <w:tcW w:w="2997" w:type="dxa"/>
            <w:gridSpan w:val="2"/>
            <w:vAlign w:val="center"/>
          </w:tcPr>
          <w:p>
            <w:pPr>
              <w:jc w:val="center"/>
              <w:rPr>
                <w:rFonts w:hint="default" w:ascii="Arial" w:eastAsia="宋体"/>
                <w:color w:val="auto"/>
                <w:sz w:val="24"/>
                <w:szCs w:val="24"/>
                <w:lang w:val="en-US" w:eastAsia="zh-CN"/>
              </w:rPr>
            </w:pPr>
            <w:r>
              <w:rPr>
                <w:rFonts w:hint="eastAsia" w:ascii="Arial"/>
                <w:color w:val="auto"/>
                <w:sz w:val="24"/>
                <w:szCs w:val="24"/>
                <w:lang w:val="en-US" w:eastAsia="zh-CN"/>
              </w:rPr>
              <w:t>2067.88</w:t>
            </w:r>
          </w:p>
        </w:tc>
        <w:tc>
          <w:tcPr>
            <w:tcW w:w="1998" w:type="dxa"/>
            <w:vAlign w:val="center"/>
          </w:tcPr>
          <w:p>
            <w:pPr>
              <w:spacing w:before="142" w:line="220" w:lineRule="auto"/>
              <w:ind w:left="574"/>
              <w:jc w:val="center"/>
              <w:rPr>
                <w:rFonts w:hint="default" w:ascii="宋体" w:hAnsi="宋体" w:eastAsia="宋体" w:cs="宋体"/>
                <w:color w:val="auto"/>
                <w:sz w:val="24"/>
                <w:szCs w:val="24"/>
                <w:lang w:val="en-US" w:eastAsia="zh-CN"/>
              </w:rPr>
            </w:pPr>
            <w:r>
              <w:rPr>
                <w:rFonts w:ascii="宋体" w:hAnsi="宋体" w:eastAsia="宋体" w:cs="宋体"/>
                <w:color w:val="auto"/>
                <w:spacing w:val="6"/>
                <w:sz w:val="24"/>
                <w:szCs w:val="24"/>
              </w:rPr>
              <w:t>项目支出</w:t>
            </w:r>
          </w:p>
        </w:tc>
        <w:tc>
          <w:tcPr>
            <w:tcW w:w="2462" w:type="dxa"/>
            <w:vAlign w:val="center"/>
          </w:tcPr>
          <w:p>
            <w:pPr>
              <w:jc w:val="center"/>
              <w:rPr>
                <w:rFonts w:hint="default" w:ascii="Arial" w:eastAsia="宋体"/>
                <w:color w:val="auto"/>
                <w:sz w:val="24"/>
                <w:szCs w:val="24"/>
                <w:lang w:val="en-US" w:eastAsia="zh-CN"/>
              </w:rPr>
            </w:pPr>
            <w:r>
              <w:rPr>
                <w:rFonts w:hint="eastAsia" w:ascii="Arial"/>
                <w:color w:val="auto"/>
                <w:sz w:val="24"/>
                <w:szCs w:val="24"/>
                <w:lang w:val="en-US" w:eastAsia="zh-CN"/>
              </w:rPr>
              <w:t>60219.69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2313" w:type="dxa"/>
            <w:gridSpan w:val="2"/>
            <w:vAlign w:val="top"/>
          </w:tcPr>
          <w:p>
            <w:pPr>
              <w:spacing w:line="301" w:lineRule="auto"/>
              <w:rPr>
                <w:rFonts w:ascii="Arial"/>
                <w:color w:val="auto"/>
                <w:sz w:val="24"/>
                <w:szCs w:val="24"/>
              </w:rPr>
            </w:pPr>
          </w:p>
          <w:p>
            <w:pPr>
              <w:spacing w:before="68" w:line="219" w:lineRule="auto"/>
              <w:ind w:left="514"/>
              <w:rPr>
                <w:rFonts w:ascii="宋体" w:hAnsi="宋体" w:eastAsia="宋体" w:cs="宋体"/>
                <w:color w:val="auto"/>
                <w:sz w:val="24"/>
                <w:szCs w:val="24"/>
              </w:rPr>
            </w:pPr>
            <w:r>
              <w:rPr>
                <w:rFonts w:ascii="宋体" w:hAnsi="宋体" w:eastAsia="宋体" w:cs="宋体"/>
                <w:color w:val="auto"/>
                <w:spacing w:val="-2"/>
                <w:sz w:val="24"/>
                <w:szCs w:val="24"/>
              </w:rPr>
              <w:t>年度总体目标</w:t>
            </w:r>
          </w:p>
        </w:tc>
        <w:tc>
          <w:tcPr>
            <w:tcW w:w="7457" w:type="dxa"/>
            <w:gridSpan w:val="4"/>
            <w:vAlign w:val="center"/>
          </w:tcPr>
          <w:p>
            <w:pPr>
              <w:jc w:val="center"/>
              <w:rPr>
                <w:rFonts w:ascii="Arial"/>
                <w:color w:val="auto"/>
                <w:sz w:val="24"/>
                <w:szCs w:val="24"/>
              </w:rPr>
            </w:pPr>
            <w:r>
              <w:rPr>
                <w:rFonts w:hint="eastAsia" w:ascii="宋体" w:hAnsi="宋体" w:eastAsia="宋体" w:cs="宋体"/>
                <w:i w:val="0"/>
                <w:iCs w:val="0"/>
                <w:color w:val="000000"/>
                <w:kern w:val="0"/>
                <w:sz w:val="24"/>
                <w:szCs w:val="24"/>
                <w:u w:val="none"/>
                <w:lang w:val="en-US" w:eastAsia="zh-CN" w:bidi="ar"/>
              </w:rPr>
              <w:t>保护和提升整个县城生态资本，提升城市品质，优化人居环境， 提升居民幸福指数。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70" w:type="dxa"/>
            <w:gridSpan w:val="6"/>
            <w:vAlign w:val="top"/>
          </w:tcPr>
          <w:p>
            <w:pPr>
              <w:spacing w:before="139" w:line="219" w:lineRule="auto"/>
              <w:ind w:left="4247"/>
              <w:rPr>
                <w:rFonts w:ascii="宋体" w:hAnsi="宋体" w:eastAsia="宋体" w:cs="宋体"/>
                <w:color w:val="auto"/>
                <w:sz w:val="24"/>
                <w:szCs w:val="24"/>
              </w:rPr>
            </w:pPr>
            <w:r>
              <w:rPr>
                <w:rFonts w:ascii="宋体" w:hAnsi="宋体" w:eastAsia="宋体" w:cs="宋体"/>
                <w:b/>
                <w:bCs/>
                <w:color w:val="auto"/>
                <w:spacing w:val="-4"/>
                <w:sz w:val="24"/>
                <w:szCs w:val="24"/>
              </w:rPr>
              <w:t>年度绩效指标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64" w:type="dxa"/>
            <w:vAlign w:val="top"/>
          </w:tcPr>
          <w:p>
            <w:pPr>
              <w:spacing w:before="130" w:line="220" w:lineRule="auto"/>
              <w:ind w:left="207"/>
              <w:rPr>
                <w:rFonts w:ascii="宋体" w:hAnsi="宋体" w:eastAsia="宋体" w:cs="宋体"/>
                <w:color w:val="auto"/>
                <w:sz w:val="24"/>
                <w:szCs w:val="24"/>
              </w:rPr>
            </w:pPr>
            <w:r>
              <w:rPr>
                <w:rFonts w:ascii="宋体" w:hAnsi="宋体" w:eastAsia="宋体" w:cs="宋体"/>
                <w:b/>
                <w:bCs/>
                <w:color w:val="auto"/>
                <w:spacing w:val="-5"/>
                <w:sz w:val="24"/>
                <w:szCs w:val="24"/>
              </w:rPr>
              <w:t>一级指标</w:t>
            </w:r>
          </w:p>
        </w:tc>
        <w:tc>
          <w:tcPr>
            <w:tcW w:w="2058" w:type="dxa"/>
            <w:gridSpan w:val="2"/>
            <w:vAlign w:val="top"/>
          </w:tcPr>
          <w:p>
            <w:pPr>
              <w:spacing w:before="130" w:line="220" w:lineRule="auto"/>
              <w:ind w:left="603"/>
              <w:rPr>
                <w:rFonts w:ascii="宋体" w:hAnsi="宋体" w:eastAsia="宋体" w:cs="宋体"/>
                <w:color w:val="auto"/>
                <w:sz w:val="24"/>
                <w:szCs w:val="24"/>
              </w:rPr>
            </w:pPr>
            <w:r>
              <w:rPr>
                <w:rFonts w:ascii="宋体" w:hAnsi="宋体" w:eastAsia="宋体" w:cs="宋体"/>
                <w:b/>
                <w:bCs/>
                <w:color w:val="auto"/>
                <w:spacing w:val="-5"/>
                <w:sz w:val="24"/>
                <w:szCs w:val="24"/>
              </w:rPr>
              <w:t>二级指标</w:t>
            </w:r>
          </w:p>
        </w:tc>
        <w:tc>
          <w:tcPr>
            <w:tcW w:w="3986" w:type="dxa"/>
            <w:gridSpan w:val="2"/>
            <w:vAlign w:val="top"/>
          </w:tcPr>
          <w:p>
            <w:pPr>
              <w:spacing w:before="133" w:line="220" w:lineRule="auto"/>
              <w:ind w:left="1563"/>
              <w:rPr>
                <w:rFonts w:ascii="宋体" w:hAnsi="宋体" w:eastAsia="宋体" w:cs="宋体"/>
                <w:color w:val="auto"/>
                <w:sz w:val="24"/>
                <w:szCs w:val="24"/>
              </w:rPr>
            </w:pPr>
            <w:r>
              <w:rPr>
                <w:rFonts w:ascii="宋体" w:hAnsi="宋体" w:eastAsia="宋体" w:cs="宋体"/>
                <w:color w:val="auto"/>
                <w:spacing w:val="-2"/>
                <w:sz w:val="24"/>
                <w:szCs w:val="24"/>
              </w:rPr>
              <w:t>三级指标</w:t>
            </w:r>
          </w:p>
        </w:tc>
        <w:tc>
          <w:tcPr>
            <w:tcW w:w="2462" w:type="dxa"/>
            <w:vAlign w:val="top"/>
          </w:tcPr>
          <w:p>
            <w:pPr>
              <w:spacing w:before="132" w:line="219" w:lineRule="auto"/>
              <w:ind w:left="907"/>
              <w:rPr>
                <w:rFonts w:ascii="宋体" w:hAnsi="宋体" w:eastAsia="宋体" w:cs="宋体"/>
                <w:color w:val="auto"/>
                <w:sz w:val="24"/>
                <w:szCs w:val="24"/>
              </w:rPr>
            </w:pPr>
            <w:r>
              <w:rPr>
                <w:rFonts w:ascii="宋体" w:hAnsi="宋体" w:eastAsia="宋体" w:cs="宋体"/>
                <w:color w:val="auto"/>
                <w:spacing w:val="2"/>
                <w:sz w:val="24"/>
                <w:szCs w:val="24"/>
              </w:rPr>
              <w:t>目标值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64" w:type="dxa"/>
            <w:vMerge w:val="restart"/>
            <w:tcBorders>
              <w:bottom w:val="nil"/>
            </w:tcBorders>
            <w:vAlign w:val="top"/>
          </w:tcPr>
          <w:p>
            <w:pPr>
              <w:spacing w:line="263" w:lineRule="auto"/>
              <w:rPr>
                <w:rFonts w:ascii="Arial"/>
                <w:color w:val="auto"/>
                <w:sz w:val="24"/>
                <w:szCs w:val="24"/>
              </w:rPr>
            </w:pPr>
          </w:p>
          <w:p>
            <w:pPr>
              <w:spacing w:line="263" w:lineRule="auto"/>
              <w:rPr>
                <w:rFonts w:ascii="Arial"/>
                <w:color w:val="auto"/>
                <w:sz w:val="24"/>
                <w:szCs w:val="24"/>
              </w:rPr>
            </w:pPr>
          </w:p>
          <w:p>
            <w:pPr>
              <w:spacing w:line="264" w:lineRule="auto"/>
              <w:rPr>
                <w:rFonts w:ascii="Arial"/>
                <w:color w:val="auto"/>
                <w:sz w:val="24"/>
                <w:szCs w:val="24"/>
              </w:rPr>
            </w:pPr>
          </w:p>
          <w:p>
            <w:pPr>
              <w:spacing w:before="68" w:line="219" w:lineRule="auto"/>
              <w:ind w:left="204"/>
              <w:rPr>
                <w:rFonts w:ascii="宋体" w:hAnsi="宋体" w:eastAsia="宋体" w:cs="宋体"/>
                <w:color w:val="auto"/>
                <w:sz w:val="24"/>
                <w:szCs w:val="24"/>
              </w:rPr>
            </w:pPr>
            <w:r>
              <w:rPr>
                <w:rFonts w:ascii="宋体" w:hAnsi="宋体" w:eastAsia="宋体" w:cs="宋体"/>
                <w:color w:val="auto"/>
                <w:spacing w:val="-2"/>
                <w:sz w:val="24"/>
                <w:szCs w:val="24"/>
              </w:rPr>
              <w:t>产出指标</w:t>
            </w:r>
          </w:p>
        </w:tc>
        <w:tc>
          <w:tcPr>
            <w:tcW w:w="2058" w:type="dxa"/>
            <w:gridSpan w:val="2"/>
            <w:vAlign w:val="top"/>
          </w:tcPr>
          <w:p>
            <w:pPr>
              <w:spacing w:before="133" w:line="219" w:lineRule="auto"/>
              <w:ind w:left="600"/>
              <w:rPr>
                <w:rFonts w:ascii="宋体" w:hAnsi="宋体" w:eastAsia="宋体" w:cs="宋体"/>
                <w:color w:val="auto"/>
                <w:sz w:val="24"/>
                <w:szCs w:val="24"/>
              </w:rPr>
            </w:pPr>
            <w:r>
              <w:rPr>
                <w:rFonts w:ascii="宋体" w:hAnsi="宋体" w:eastAsia="宋体" w:cs="宋体"/>
                <w:color w:val="auto"/>
                <w:spacing w:val="-2"/>
                <w:sz w:val="24"/>
                <w:szCs w:val="24"/>
              </w:rPr>
              <w:t>数量指标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Arial" w:eastAsia="宋体"/>
                <w:color w:val="auto"/>
                <w:sz w:val="24"/>
                <w:szCs w:val="24"/>
                <w:lang w:eastAsia="zh-CN"/>
              </w:rPr>
            </w:pPr>
            <w:r>
              <w:rPr>
                <w:rFonts w:hint="eastAsia" w:eastAsia="宋体"/>
                <w:color w:val="auto"/>
                <w:sz w:val="24"/>
                <w:szCs w:val="24"/>
                <w:lang w:eastAsia="zh-CN"/>
              </w:rPr>
              <w:t>兴国县城市管理项目</w:t>
            </w: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Arial" w:eastAsia="宋体"/>
                <w:color w:val="auto"/>
                <w:sz w:val="24"/>
                <w:szCs w:val="24"/>
                <w:lang w:val="en-US" w:eastAsia="zh-CN"/>
              </w:rPr>
            </w:pPr>
            <w:r>
              <w:rPr>
                <w:rFonts w:hint="eastAsia" w:eastAsia="宋体"/>
                <w:color w:val="auto"/>
                <w:sz w:val="24"/>
                <w:szCs w:val="24"/>
                <w:lang w:val="en-US" w:eastAsia="zh-CN"/>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1264" w:type="dxa"/>
            <w:vMerge w:val="continue"/>
            <w:tcBorders>
              <w:top w:val="nil"/>
              <w:bottom w:val="nil"/>
            </w:tcBorders>
            <w:vAlign w:val="top"/>
          </w:tcPr>
          <w:p>
            <w:pPr>
              <w:rPr>
                <w:rFonts w:ascii="Arial"/>
                <w:color w:val="auto"/>
                <w:sz w:val="24"/>
                <w:szCs w:val="24"/>
              </w:rPr>
            </w:pPr>
          </w:p>
        </w:tc>
        <w:tc>
          <w:tcPr>
            <w:tcW w:w="2058" w:type="dxa"/>
            <w:gridSpan w:val="2"/>
            <w:vAlign w:val="top"/>
          </w:tcPr>
          <w:p>
            <w:pPr>
              <w:spacing w:before="145" w:line="220" w:lineRule="auto"/>
              <w:ind w:left="600"/>
              <w:rPr>
                <w:rFonts w:ascii="宋体" w:hAnsi="宋体" w:eastAsia="宋体" w:cs="宋体"/>
                <w:color w:val="auto"/>
                <w:sz w:val="24"/>
                <w:szCs w:val="24"/>
              </w:rPr>
            </w:pPr>
            <w:r>
              <w:rPr>
                <w:rFonts w:ascii="宋体" w:hAnsi="宋体" w:eastAsia="宋体" w:cs="宋体"/>
                <w:color w:val="auto"/>
                <w:spacing w:val="-2"/>
                <w:sz w:val="24"/>
                <w:szCs w:val="24"/>
              </w:rPr>
              <w:t>质量指标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Arial" w:eastAsia="宋体"/>
                <w:color w:val="auto"/>
                <w:sz w:val="24"/>
                <w:szCs w:val="24"/>
                <w:lang w:val="en-US" w:eastAsia="zh-CN"/>
              </w:rPr>
            </w:pPr>
            <w:r>
              <w:rPr>
                <w:rFonts w:hint="eastAsia" w:eastAsia="宋体"/>
                <w:color w:val="auto"/>
                <w:sz w:val="24"/>
                <w:szCs w:val="24"/>
                <w:lang w:eastAsia="zh-CN"/>
              </w:rPr>
              <w:t>兴国县城市管理项目</w:t>
            </w:r>
            <w:r>
              <w:rPr>
                <w:rFonts w:hint="eastAsia" w:eastAsia="宋体"/>
                <w:color w:val="auto"/>
                <w:sz w:val="24"/>
                <w:szCs w:val="24"/>
                <w:lang w:val="en-US" w:eastAsia="zh-CN"/>
              </w:rPr>
              <w:t>1</w:t>
            </w: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Arial" w:eastAsia="宋体"/>
                <w:color w:val="auto"/>
                <w:sz w:val="24"/>
                <w:szCs w:val="24"/>
                <w:lang w:val="en-US" w:eastAsia="zh-CN"/>
              </w:rPr>
            </w:pPr>
            <w:r>
              <w:rPr>
                <w:rFonts w:hint="eastAsia" w:eastAsia="宋体"/>
                <w:color w:val="auto"/>
                <w:sz w:val="24"/>
                <w:szCs w:val="24"/>
                <w:lang w:val="en-US" w:eastAsia="zh-CN"/>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1264" w:type="dxa"/>
            <w:vMerge w:val="continue"/>
            <w:tcBorders>
              <w:top w:val="nil"/>
              <w:bottom w:val="nil"/>
            </w:tcBorders>
            <w:vAlign w:val="top"/>
          </w:tcPr>
          <w:p>
            <w:pPr>
              <w:rPr>
                <w:rFonts w:ascii="Arial"/>
                <w:color w:val="auto"/>
                <w:sz w:val="24"/>
                <w:szCs w:val="24"/>
              </w:rPr>
            </w:pPr>
          </w:p>
        </w:tc>
        <w:tc>
          <w:tcPr>
            <w:tcW w:w="2058" w:type="dxa"/>
            <w:gridSpan w:val="2"/>
            <w:vAlign w:val="top"/>
          </w:tcPr>
          <w:p>
            <w:pPr>
              <w:spacing w:before="135" w:line="220" w:lineRule="auto"/>
              <w:ind w:left="600"/>
              <w:rPr>
                <w:rFonts w:ascii="宋体" w:hAnsi="宋体" w:eastAsia="宋体" w:cs="宋体"/>
                <w:color w:val="auto"/>
                <w:sz w:val="24"/>
                <w:szCs w:val="24"/>
              </w:rPr>
            </w:pPr>
            <w:r>
              <w:rPr>
                <w:rFonts w:ascii="宋体" w:hAnsi="宋体" w:eastAsia="宋体" w:cs="宋体"/>
                <w:color w:val="auto"/>
                <w:spacing w:val="2"/>
                <w:sz w:val="24"/>
                <w:szCs w:val="24"/>
              </w:rPr>
              <w:t>时效指标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Arial" w:eastAsia="宋体"/>
                <w:color w:val="auto"/>
                <w:sz w:val="24"/>
                <w:szCs w:val="24"/>
                <w:lang w:val="en-US" w:eastAsia="zh-CN"/>
              </w:rPr>
            </w:pPr>
            <w:r>
              <w:rPr>
                <w:rFonts w:hint="eastAsia" w:ascii="Arial"/>
                <w:color w:val="auto"/>
                <w:sz w:val="24"/>
                <w:szCs w:val="24"/>
                <w:lang w:val="en-US" w:eastAsia="zh-CN"/>
              </w:rPr>
              <w:t>1年</w:t>
            </w: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Arial" w:eastAsia="宋体"/>
                <w:color w:val="auto"/>
                <w:sz w:val="24"/>
                <w:szCs w:val="24"/>
                <w:lang w:val="en-US" w:eastAsia="zh-CN"/>
              </w:rPr>
            </w:pPr>
            <w:r>
              <w:rPr>
                <w:rFonts w:hint="eastAsia" w:ascii="Arial"/>
                <w:color w:val="auto"/>
                <w:sz w:val="24"/>
                <w:szCs w:val="24"/>
                <w:lang w:val="en-US" w:eastAsia="zh-CN"/>
              </w:rPr>
              <w:t>1年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1264" w:type="dxa"/>
            <w:vMerge w:val="continue"/>
            <w:tcBorders>
              <w:top w:val="nil"/>
            </w:tcBorders>
            <w:vAlign w:val="top"/>
          </w:tcPr>
          <w:p>
            <w:pPr>
              <w:rPr>
                <w:rFonts w:ascii="Arial"/>
                <w:color w:val="auto"/>
                <w:sz w:val="24"/>
                <w:szCs w:val="24"/>
              </w:rPr>
            </w:pPr>
          </w:p>
        </w:tc>
        <w:tc>
          <w:tcPr>
            <w:tcW w:w="2058" w:type="dxa"/>
            <w:gridSpan w:val="2"/>
            <w:vAlign w:val="top"/>
          </w:tcPr>
          <w:p>
            <w:pPr>
              <w:spacing w:before="144" w:line="219" w:lineRule="auto"/>
              <w:ind w:left="600"/>
              <w:rPr>
                <w:rFonts w:ascii="宋体" w:hAnsi="宋体" w:eastAsia="宋体" w:cs="宋体"/>
                <w:color w:val="auto"/>
                <w:sz w:val="24"/>
                <w:szCs w:val="24"/>
              </w:rPr>
            </w:pPr>
            <w:r>
              <w:rPr>
                <w:rFonts w:ascii="宋体" w:hAnsi="宋体" w:eastAsia="宋体" w:cs="宋体"/>
                <w:color w:val="auto"/>
                <w:spacing w:val="-2"/>
                <w:sz w:val="24"/>
                <w:szCs w:val="24"/>
              </w:rPr>
              <w:t>成本指标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4" w:hRule="atLeast"/>
        </w:trPr>
        <w:tc>
          <w:tcPr>
            <w:tcW w:w="1264" w:type="dxa"/>
            <w:vMerge w:val="restart"/>
            <w:tcBorders>
              <w:bottom w:val="nil"/>
            </w:tcBorders>
            <w:vAlign w:val="top"/>
          </w:tcPr>
          <w:p>
            <w:pPr>
              <w:spacing w:line="261" w:lineRule="auto"/>
              <w:rPr>
                <w:rFonts w:ascii="Arial"/>
                <w:color w:val="auto"/>
                <w:sz w:val="24"/>
                <w:szCs w:val="24"/>
              </w:rPr>
            </w:pPr>
          </w:p>
          <w:p>
            <w:pPr>
              <w:spacing w:line="261" w:lineRule="auto"/>
              <w:rPr>
                <w:rFonts w:ascii="Arial"/>
                <w:color w:val="auto"/>
                <w:sz w:val="24"/>
                <w:szCs w:val="24"/>
              </w:rPr>
            </w:pPr>
          </w:p>
          <w:p>
            <w:pPr>
              <w:spacing w:line="261" w:lineRule="auto"/>
              <w:rPr>
                <w:rFonts w:ascii="Arial"/>
                <w:color w:val="auto"/>
                <w:sz w:val="24"/>
                <w:szCs w:val="24"/>
              </w:rPr>
            </w:pPr>
          </w:p>
          <w:p>
            <w:pPr>
              <w:spacing w:before="68" w:line="220" w:lineRule="auto"/>
              <w:ind w:left="204"/>
              <w:rPr>
                <w:rFonts w:ascii="宋体" w:hAnsi="宋体" w:eastAsia="宋体" w:cs="宋体"/>
                <w:color w:val="auto"/>
                <w:sz w:val="24"/>
                <w:szCs w:val="24"/>
              </w:rPr>
            </w:pPr>
            <w:r>
              <w:rPr>
                <w:rFonts w:ascii="宋体" w:hAnsi="宋体" w:eastAsia="宋体" w:cs="宋体"/>
                <w:color w:val="auto"/>
                <w:spacing w:val="2"/>
                <w:sz w:val="24"/>
                <w:szCs w:val="24"/>
              </w:rPr>
              <w:t>效益指标</w:t>
            </w:r>
          </w:p>
        </w:tc>
        <w:tc>
          <w:tcPr>
            <w:tcW w:w="2058" w:type="dxa"/>
            <w:gridSpan w:val="2"/>
            <w:vAlign w:val="top"/>
          </w:tcPr>
          <w:p>
            <w:pPr>
              <w:spacing w:before="136" w:line="220" w:lineRule="auto"/>
              <w:ind w:left="391"/>
              <w:rPr>
                <w:rFonts w:ascii="宋体" w:hAnsi="宋体" w:eastAsia="宋体" w:cs="宋体"/>
                <w:color w:val="auto"/>
                <w:sz w:val="24"/>
                <w:szCs w:val="24"/>
              </w:rPr>
            </w:pPr>
            <w:r>
              <w:rPr>
                <w:rFonts w:ascii="宋体" w:hAnsi="宋体" w:eastAsia="宋体" w:cs="宋体"/>
                <w:color w:val="auto"/>
                <w:spacing w:val="-2"/>
                <w:sz w:val="24"/>
                <w:szCs w:val="24"/>
              </w:rPr>
              <w:t>经济效益指标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2" w:hRule="atLeast"/>
        </w:trPr>
        <w:tc>
          <w:tcPr>
            <w:tcW w:w="1264" w:type="dxa"/>
            <w:vMerge w:val="continue"/>
            <w:tcBorders>
              <w:top w:val="nil"/>
              <w:bottom w:val="nil"/>
            </w:tcBorders>
            <w:vAlign w:val="top"/>
          </w:tcPr>
          <w:p>
            <w:pPr>
              <w:rPr>
                <w:rFonts w:ascii="Arial"/>
                <w:color w:val="auto"/>
                <w:sz w:val="24"/>
                <w:szCs w:val="24"/>
              </w:rPr>
            </w:pPr>
          </w:p>
        </w:tc>
        <w:tc>
          <w:tcPr>
            <w:tcW w:w="2058" w:type="dxa"/>
            <w:gridSpan w:val="2"/>
            <w:vAlign w:val="top"/>
          </w:tcPr>
          <w:p>
            <w:pPr>
              <w:spacing w:before="135" w:line="219" w:lineRule="auto"/>
              <w:ind w:left="391"/>
              <w:rPr>
                <w:rFonts w:ascii="宋体" w:hAnsi="宋体" w:eastAsia="宋体" w:cs="宋体"/>
                <w:color w:val="auto"/>
                <w:sz w:val="24"/>
                <w:szCs w:val="24"/>
              </w:rPr>
            </w:pPr>
            <w:r>
              <w:rPr>
                <w:rFonts w:ascii="宋体" w:hAnsi="宋体" w:eastAsia="宋体" w:cs="宋体"/>
                <w:color w:val="auto"/>
                <w:spacing w:val="-2"/>
                <w:sz w:val="24"/>
                <w:szCs w:val="24"/>
              </w:rPr>
              <w:t>社会效益指标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Arial" w:eastAsia="宋体"/>
                <w:color w:val="auto"/>
                <w:sz w:val="24"/>
                <w:szCs w:val="24"/>
                <w:lang w:eastAsia="zh-CN"/>
              </w:rPr>
            </w:pPr>
            <w:r>
              <w:rPr>
                <w:rFonts w:hint="eastAsia" w:eastAsia="宋体"/>
                <w:color w:val="auto"/>
                <w:sz w:val="24"/>
                <w:szCs w:val="24"/>
                <w:lang w:eastAsia="zh-CN"/>
              </w:rPr>
              <w:t>兴国县城市管理各个项目完成指标</w:t>
            </w: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Arial" w:eastAsia="宋体"/>
                <w:color w:val="auto"/>
                <w:sz w:val="24"/>
                <w:szCs w:val="24"/>
                <w:lang w:val="en-US" w:eastAsia="zh-CN"/>
              </w:rPr>
            </w:pPr>
            <w:r>
              <w:rPr>
                <w:rFonts w:hint="eastAsia" w:eastAsia="宋体"/>
                <w:color w:val="auto"/>
                <w:sz w:val="24"/>
                <w:szCs w:val="24"/>
                <w:lang w:val="en-US" w:eastAsia="zh-CN"/>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trPr>
        <w:tc>
          <w:tcPr>
            <w:tcW w:w="1264" w:type="dxa"/>
            <w:vMerge w:val="continue"/>
            <w:tcBorders>
              <w:top w:val="nil"/>
              <w:bottom w:val="nil"/>
            </w:tcBorders>
            <w:vAlign w:val="top"/>
          </w:tcPr>
          <w:p>
            <w:pPr>
              <w:rPr>
                <w:rFonts w:ascii="Arial"/>
                <w:color w:val="auto"/>
                <w:sz w:val="24"/>
                <w:szCs w:val="24"/>
              </w:rPr>
            </w:pPr>
          </w:p>
        </w:tc>
        <w:tc>
          <w:tcPr>
            <w:tcW w:w="2058" w:type="dxa"/>
            <w:gridSpan w:val="2"/>
            <w:vAlign w:val="top"/>
          </w:tcPr>
          <w:p>
            <w:pPr>
              <w:spacing w:before="138" w:line="220" w:lineRule="auto"/>
              <w:ind w:left="391"/>
              <w:rPr>
                <w:rFonts w:ascii="宋体" w:hAnsi="宋体" w:eastAsia="宋体" w:cs="宋体"/>
                <w:color w:val="auto"/>
                <w:sz w:val="24"/>
                <w:szCs w:val="24"/>
              </w:rPr>
            </w:pPr>
            <w:r>
              <w:rPr>
                <w:rFonts w:ascii="宋体" w:hAnsi="宋体" w:eastAsia="宋体" w:cs="宋体"/>
                <w:color w:val="auto"/>
                <w:spacing w:val="-2"/>
                <w:sz w:val="24"/>
                <w:szCs w:val="24"/>
              </w:rPr>
              <w:t>生态效益指标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8" w:hRule="atLeast"/>
        </w:trPr>
        <w:tc>
          <w:tcPr>
            <w:tcW w:w="1264" w:type="dxa"/>
            <w:vMerge w:val="continue"/>
            <w:tcBorders>
              <w:top w:val="nil"/>
            </w:tcBorders>
            <w:vAlign w:val="top"/>
          </w:tcPr>
          <w:p>
            <w:pPr>
              <w:rPr>
                <w:rFonts w:ascii="Arial"/>
                <w:color w:val="auto"/>
                <w:sz w:val="24"/>
                <w:szCs w:val="24"/>
              </w:rPr>
            </w:pPr>
          </w:p>
        </w:tc>
        <w:tc>
          <w:tcPr>
            <w:tcW w:w="2058" w:type="dxa"/>
            <w:gridSpan w:val="2"/>
            <w:vAlign w:val="top"/>
          </w:tcPr>
          <w:p>
            <w:pPr>
              <w:spacing w:before="148" w:line="219" w:lineRule="auto"/>
              <w:ind w:left="280"/>
              <w:rPr>
                <w:rFonts w:ascii="宋体" w:hAnsi="宋体" w:eastAsia="宋体" w:cs="宋体"/>
                <w:color w:val="auto"/>
                <w:sz w:val="24"/>
                <w:szCs w:val="24"/>
              </w:rPr>
            </w:pPr>
            <w:r>
              <w:rPr>
                <w:rFonts w:ascii="宋体" w:hAnsi="宋体" w:eastAsia="宋体" w:cs="宋体"/>
                <w:color w:val="auto"/>
                <w:spacing w:val="-2"/>
                <w:sz w:val="24"/>
                <w:szCs w:val="24"/>
              </w:rPr>
              <w:t>可持续影响指标</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Arial"/>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1264" w:type="dxa"/>
            <w:vAlign w:val="top"/>
          </w:tcPr>
          <w:p>
            <w:pPr>
              <w:spacing w:before="138" w:line="219" w:lineRule="auto"/>
              <w:ind w:left="95"/>
              <w:rPr>
                <w:rFonts w:ascii="宋体" w:hAnsi="宋体" w:eastAsia="宋体" w:cs="宋体"/>
                <w:color w:val="auto"/>
                <w:sz w:val="24"/>
                <w:szCs w:val="24"/>
              </w:rPr>
            </w:pPr>
            <w:r>
              <w:rPr>
                <w:rFonts w:ascii="宋体" w:hAnsi="宋体" w:eastAsia="宋体" w:cs="宋体"/>
                <w:color w:val="auto"/>
                <w:spacing w:val="-2"/>
                <w:sz w:val="24"/>
                <w:szCs w:val="24"/>
              </w:rPr>
              <w:t>满意度指标</w:t>
            </w:r>
          </w:p>
        </w:tc>
        <w:tc>
          <w:tcPr>
            <w:tcW w:w="2058" w:type="dxa"/>
            <w:gridSpan w:val="2"/>
            <w:vAlign w:val="top"/>
          </w:tcPr>
          <w:p>
            <w:pPr>
              <w:spacing w:before="138" w:line="219" w:lineRule="auto"/>
              <w:ind w:left="280"/>
              <w:rPr>
                <w:rFonts w:ascii="宋体" w:hAnsi="宋体" w:eastAsia="宋体" w:cs="宋体"/>
                <w:color w:val="auto"/>
                <w:sz w:val="24"/>
                <w:szCs w:val="24"/>
              </w:rPr>
            </w:pPr>
            <w:r>
              <w:rPr>
                <w:rFonts w:ascii="宋体" w:hAnsi="宋体" w:eastAsia="宋体" w:cs="宋体"/>
                <w:color w:val="auto"/>
                <w:spacing w:val="1"/>
                <w:sz w:val="24"/>
                <w:szCs w:val="24"/>
              </w:rPr>
              <w:t>服务对象满意度</w:t>
            </w:r>
          </w:p>
        </w:tc>
        <w:tc>
          <w:tcPr>
            <w:tcW w:w="398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Arial" w:eastAsia="宋体"/>
                <w:color w:val="auto"/>
                <w:sz w:val="24"/>
                <w:szCs w:val="24"/>
                <w:lang w:val="en-US" w:eastAsia="zh-CN"/>
              </w:rPr>
            </w:pPr>
            <w:r>
              <w:rPr>
                <w:rFonts w:hint="eastAsia" w:eastAsia="宋体"/>
                <w:color w:val="auto"/>
                <w:sz w:val="24"/>
                <w:szCs w:val="24"/>
                <w:lang w:eastAsia="zh-CN"/>
              </w:rPr>
              <w:t>群众满意度（</w:t>
            </w:r>
            <w:r>
              <w:rPr>
                <w:rFonts w:hint="eastAsia" w:eastAsia="宋体"/>
                <w:color w:val="auto"/>
                <w:sz w:val="24"/>
                <w:szCs w:val="24"/>
                <w:lang w:val="en-US" w:eastAsia="zh-CN"/>
              </w:rPr>
              <w:t>%</w:t>
            </w:r>
            <w:r>
              <w:rPr>
                <w:rFonts w:hint="eastAsia" w:eastAsia="宋体"/>
                <w:color w:val="auto"/>
                <w:sz w:val="24"/>
                <w:szCs w:val="24"/>
                <w:lang w:eastAsia="zh-CN"/>
              </w:rPr>
              <w:t>）</w:t>
            </w:r>
          </w:p>
        </w:tc>
        <w:tc>
          <w:tcPr>
            <w:tcW w:w="246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Arial" w:eastAsia="宋体"/>
                <w:color w:val="auto"/>
                <w:sz w:val="24"/>
                <w:szCs w:val="24"/>
                <w:lang w:val="en-US" w:eastAsia="zh-CN"/>
              </w:rPr>
            </w:pPr>
            <w:r>
              <w:rPr>
                <w:rFonts w:hint="eastAsia" w:eastAsia="宋体"/>
                <w:color w:val="auto"/>
                <w:sz w:val="24"/>
                <w:szCs w:val="24"/>
                <w:lang w:val="en-US" w:eastAsia="zh-CN"/>
              </w:rPr>
              <w:t>95%</w:t>
            </w:r>
          </w:p>
        </w:tc>
      </w:tr>
    </w:tbl>
    <w:p>
      <w:pPr>
        <w:spacing w:line="560" w:lineRule="exact"/>
        <w:ind w:firstLine="0" w:firstLineChars="0"/>
        <w:jc w:val="both"/>
        <w:rPr>
          <w:rFonts w:hint="eastAsia" w:ascii="黑体" w:hAnsi="黑体" w:eastAsia="黑体" w:cs="黑体"/>
          <w:b w:val="0"/>
          <w:bCs w:val="0"/>
          <w:sz w:val="32"/>
          <w:szCs w:val="32"/>
        </w:rPr>
      </w:pPr>
    </w:p>
    <w:tbl>
      <w:tblPr>
        <w:tblStyle w:val="4"/>
        <w:tblW w:w="93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0"/>
        <w:gridCol w:w="870"/>
        <w:gridCol w:w="180"/>
        <w:gridCol w:w="30"/>
        <w:gridCol w:w="45"/>
        <w:gridCol w:w="2551"/>
        <w:gridCol w:w="181"/>
        <w:gridCol w:w="30"/>
        <w:gridCol w:w="45"/>
        <w:gridCol w:w="1229"/>
        <w:gridCol w:w="181"/>
        <w:gridCol w:w="29"/>
        <w:gridCol w:w="46"/>
        <w:gridCol w:w="2308"/>
        <w:gridCol w:w="181"/>
        <w:gridCol w:w="30"/>
        <w:gridCol w:w="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99" w:hRule="atLeast"/>
        </w:trPr>
        <w:tc>
          <w:tcPr>
            <w:tcW w:w="9286" w:type="dxa"/>
            <w:gridSpan w:val="1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462" w:hRule="atLeast"/>
        </w:trPr>
        <w:tc>
          <w:tcPr>
            <w:tcW w:w="9286" w:type="dxa"/>
            <w:gridSpan w:val="1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24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856"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县城区环卫清扫保洁政府购买服务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24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14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243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4933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243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4933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243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243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619" w:hRule="atLeast"/>
        </w:trPr>
        <w:tc>
          <w:tcPr>
            <w:tcW w:w="9286" w:type="dxa"/>
            <w:gridSpan w:val="1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1903" w:hRule="atLeast"/>
        </w:trPr>
        <w:tc>
          <w:tcPr>
            <w:tcW w:w="9286"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对兴国县城区范围内道路面积568.5万平方米、公厕等进行清扫保洁 、垃圾收集清运等服务。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61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2022年度服务费</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≤4933万元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清扫保洁面积</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≥568.5万平方米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按合同要求</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达标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垃圾日产日清</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4" w:type="dxa"/>
          <w:trHeight w:val="73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城区环境卫生市容市貌</w:t>
            </w:r>
          </w:p>
        </w:tc>
        <w:tc>
          <w:tcPr>
            <w:tcW w:w="25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得到提升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99" w:hRule="atLeast"/>
        </w:trPr>
        <w:tc>
          <w:tcPr>
            <w:tcW w:w="9075" w:type="dxa"/>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462" w:hRule="atLeast"/>
        </w:trPr>
        <w:tc>
          <w:tcPr>
            <w:tcW w:w="9075" w:type="dxa"/>
            <w:gridSpan w:val="1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612" w:hRule="atLeast"/>
        </w:trPr>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8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兴国县城区生活污水处理服务费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148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553" w:hRule="atLeast"/>
        </w:trPr>
        <w:tc>
          <w:tcPr>
            <w:tcW w:w="22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534" w:hRule="atLeast"/>
        </w:trPr>
        <w:tc>
          <w:tcPr>
            <w:tcW w:w="22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495" w:hRule="atLeast"/>
        </w:trPr>
        <w:tc>
          <w:tcPr>
            <w:tcW w:w="22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495" w:hRule="atLeast"/>
        </w:trPr>
        <w:tc>
          <w:tcPr>
            <w:tcW w:w="22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619" w:hRule="atLeast"/>
        </w:trPr>
        <w:tc>
          <w:tcPr>
            <w:tcW w:w="9075"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958" w:hRule="atLeast"/>
        </w:trPr>
        <w:tc>
          <w:tcPr>
            <w:tcW w:w="9075"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对县城区生活污水进行处理，为社会提供符合标准的产品和服务。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61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2022年度服务费</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污水处理量</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1460吨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出水水质</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一级A标准达标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一年</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满足人们日益增长的物质生活需求</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生态效益</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达到生态平衡和生态系统良性高效循环</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135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可持续影响</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对环境、经济和社会影响良好</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55" w:type="dxa"/>
          <w:trHeight w:val="739" w:hRule="atLeast"/>
        </w:trPr>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满意度</w:t>
            </w:r>
          </w:p>
        </w:tc>
        <w:tc>
          <w:tcPr>
            <w:tcW w:w="42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满意度</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99" w:hRule="atLeast"/>
        </w:trPr>
        <w:tc>
          <w:tcPr>
            <w:tcW w:w="9256" w:type="dxa"/>
            <w:gridSpan w:val="1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462" w:hRule="atLeast"/>
        </w:trPr>
        <w:tc>
          <w:tcPr>
            <w:tcW w:w="9256" w:type="dxa"/>
            <w:gridSpan w:val="1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24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856"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垃圾焚烧发电厂垃圾处理费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24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148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240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24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24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24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404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619" w:hRule="atLeast"/>
        </w:trPr>
        <w:tc>
          <w:tcPr>
            <w:tcW w:w="9256"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1924" w:hRule="atLeast"/>
        </w:trPr>
        <w:tc>
          <w:tcPr>
            <w:tcW w:w="9256"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利用城乡垃圾作燃料进行焚烧发电，日处理垃圾1000吨／天，实现生活垃圾的集中、标准化、无害化处理。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61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垃圾焚烧处理费</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≥2920万元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预计日处理垃圾量</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＝1000吨/天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按合同要求</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达标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74" w:type="dxa"/>
          <w:trHeight w:val="73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有效提高垃圾无害化处理能力</w:t>
            </w:r>
          </w:p>
        </w:tc>
        <w:tc>
          <w:tcPr>
            <w:tcW w:w="2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≥36.5万吨/年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330" w:type="dxa"/>
            <w:gridSpan w:val="1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36"/>
                <w:szCs w:val="36"/>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9330" w:type="dxa"/>
            <w:gridSpan w:val="1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8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城管制式服装、装备购置费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148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5"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40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40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40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404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9330" w:type="dxa"/>
            <w:gridSpan w:val="1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0" w:hRule="atLeast"/>
        </w:trPr>
        <w:tc>
          <w:tcPr>
            <w:tcW w:w="9330"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严肃城管人员仪容仪表及执法风纪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1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1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更换到位</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1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更换制式服装、对讲机等部分装备</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制服3000元/套、350套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按合同协议约定质量达标</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保质保量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按时完成</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在预定时间内完成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8" w:hRule="atLeast"/>
        </w:trPr>
        <w:tc>
          <w:tcPr>
            <w:tcW w:w="1350" w:type="dxa"/>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125" w:type="dxa"/>
            <w:gridSpan w:val="4"/>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社会效益指标</w:t>
            </w:r>
          </w:p>
        </w:tc>
        <w:tc>
          <w:tcPr>
            <w:tcW w:w="4292" w:type="dxa"/>
            <w:gridSpan w:val="8"/>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严肃执法风纪、规范执法行为</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4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满意度</w:t>
            </w:r>
          </w:p>
        </w:tc>
        <w:tc>
          <w:tcPr>
            <w:tcW w:w="42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满意度</w:t>
            </w:r>
          </w:p>
        </w:tc>
        <w:tc>
          <w:tcPr>
            <w:tcW w:w="25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≥95%</w:t>
            </w:r>
          </w:p>
        </w:tc>
      </w:tr>
    </w:tbl>
    <w:p/>
    <w:tbl>
      <w:tblPr>
        <w:tblStyle w:val="4"/>
        <w:tblW w:w="93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9"/>
        <w:gridCol w:w="1125"/>
        <w:gridCol w:w="2807"/>
        <w:gridCol w:w="1485"/>
        <w:gridCol w:w="2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default" w:ascii="方正小标宋简体" w:hAnsi="方正小标宋简体" w:eastAsia="方正小标宋简体" w:cs="方正小标宋简体"/>
                <w:i w:val="0"/>
                <w:iCs w:val="0"/>
                <w:color w:val="auto"/>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项目名称</w:t>
            </w:r>
          </w:p>
        </w:tc>
        <w:tc>
          <w:tcPr>
            <w:tcW w:w="6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老城区污水管网改造建设项目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主管部门及代码</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304-兴国县城市管理局</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实施单位</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项目资金</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（万元）</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年度资金总额</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17167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其中：财政拨款</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17167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其他资金</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上年结转</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2"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老城区铺设污水管网95公里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一级指标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二级指标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三级指标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成本指标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经济成本指标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2022年度资金总额</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≤17167万元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产出指标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按合同协议数量</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≤17167万元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质量指标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按合同协议约定质量达标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保质保量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时效指标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1年</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效益指标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经济效益指标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年度资金总额</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≤17167万元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社会效益指标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老城区市容市貌干净整洁</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有所提高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default" w:ascii="方正小标宋简体" w:hAnsi="方正小标宋简体" w:eastAsia="方正小标宋简体" w:cs="方正小标宋简体"/>
                <w:i w:val="0"/>
                <w:iCs w:val="0"/>
                <w:color w:val="auto"/>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项目名称</w:t>
            </w:r>
          </w:p>
        </w:tc>
        <w:tc>
          <w:tcPr>
            <w:tcW w:w="6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垃圾无害化处理建设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主管部门及代码</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304-兴国县城市管理局</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实施单位</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项目资金</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（万元）</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年度资金总额</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其中：财政拨款</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其他资金</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上年结转</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7"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2023年度项目履约金、质保金等其他资金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一级指标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二级指标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三级指标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成本指标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经济成本指标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年度资金总额</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产出指标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按合同协议数量</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质量指标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按合同协议约定质量达标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保质保量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时效指标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按时完成工作任务</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在预定时间内完成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8"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效益指标</w:t>
            </w:r>
          </w:p>
        </w:tc>
        <w:tc>
          <w:tcPr>
            <w:tcW w:w="11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社会效益指标</w:t>
            </w:r>
          </w:p>
        </w:tc>
        <w:tc>
          <w:tcPr>
            <w:tcW w:w="429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城区市容市貌干净整洁</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有所提高</w:t>
            </w:r>
          </w:p>
        </w:tc>
      </w:tr>
    </w:tbl>
    <w:p/>
    <w:tbl>
      <w:tblPr>
        <w:tblStyle w:val="4"/>
        <w:tblW w:w="93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9"/>
        <w:gridCol w:w="1125"/>
        <w:gridCol w:w="2807"/>
        <w:gridCol w:w="1485"/>
        <w:gridCol w:w="2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小街小巷提升改造工程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4"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如期完成2022年度相关小街小巷提升改造项目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2022年度</w:t>
            </w:r>
            <w:r>
              <w:rPr>
                <w:rFonts w:hint="eastAsia" w:ascii="宋体" w:hAnsi="宋体" w:eastAsia="宋体" w:cs="宋体"/>
                <w:i w:val="0"/>
                <w:iCs w:val="0"/>
                <w:color w:val="000000"/>
                <w:kern w:val="0"/>
                <w:sz w:val="24"/>
                <w:szCs w:val="24"/>
                <w:u w:val="none"/>
                <w:lang w:val="en-US" w:eastAsia="zh-CN" w:bidi="ar"/>
              </w:rPr>
              <w:t>小街小巷提升改造项目</w:t>
            </w:r>
            <w:r>
              <w:rPr>
                <w:rFonts w:hint="eastAsia" w:ascii="宋体" w:hAnsi="宋体" w:eastAsia="宋体" w:cs="宋体"/>
                <w:i w:val="0"/>
                <w:iCs w:val="0"/>
                <w:color w:val="000000"/>
                <w:sz w:val="24"/>
                <w:szCs w:val="24"/>
                <w:u w:val="none"/>
                <w:lang w:val="en-US" w:eastAsia="zh-CN"/>
              </w:rPr>
              <w:t>费用</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2022年度小街小巷提升改造数量</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按合同协议约定质量达标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保质保量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按时完成工作任务</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在预定时间内完成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8"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11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经济效益指标</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429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根据政府工作目标，逐步进行</w:t>
            </w:r>
            <w:r>
              <w:rPr>
                <w:rFonts w:hint="eastAsia" w:ascii="宋体" w:hAnsi="宋体" w:eastAsia="宋体" w:cs="宋体"/>
                <w:i w:val="0"/>
                <w:iCs w:val="0"/>
                <w:color w:val="000000"/>
                <w:kern w:val="0"/>
                <w:sz w:val="24"/>
                <w:szCs w:val="24"/>
                <w:u w:val="none"/>
                <w:lang w:val="en-US" w:eastAsia="zh-CN" w:bidi="ar"/>
              </w:rPr>
              <w:t>小街小巷提升改造</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提升城品味</w:t>
            </w:r>
          </w:p>
        </w:tc>
      </w:tr>
    </w:tbl>
    <w:p/>
    <w:tbl>
      <w:tblPr>
        <w:tblStyle w:val="4"/>
        <w:tblW w:w="93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9"/>
        <w:gridCol w:w="1125"/>
        <w:gridCol w:w="2807"/>
        <w:gridCol w:w="1485"/>
        <w:gridCol w:w="2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default" w:ascii="方正小标宋简体" w:hAnsi="方正小标宋简体" w:eastAsia="方正小标宋简体" w:cs="方正小标宋简体"/>
                <w:i w:val="0"/>
                <w:iCs w:val="0"/>
                <w:color w:val="auto"/>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项目名称</w:t>
            </w:r>
          </w:p>
        </w:tc>
        <w:tc>
          <w:tcPr>
            <w:tcW w:w="6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小游园、小广场、小绿地建设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主管部门及代码</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304-兴国县城市管理局</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实施单位</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项目资金</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（万元）</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年度资金总额</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其中：财政拨款</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其他资金</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上年结转</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2"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b w:val="0"/>
                <w:bCs w:val="0"/>
                <w:color w:val="auto"/>
                <w:sz w:val="24"/>
                <w:szCs w:val="24"/>
                <w:highlight w:val="none"/>
                <w:lang w:val="en-US" w:eastAsia="zh-CN"/>
              </w:rPr>
              <w:t>2022年投资1000万元，完成一批小游园小广场建设，提升居民环境。对县城区存量建设用地进行整理和拆除，新增小游园、小广场，实施将星路小游园、模范桥西侧南、北小游园新建及提升改造，新319党校旁小游园、凤凰桥节点旁游园及其他小游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一级指标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二级指标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三级指标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成本指标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经济成本指标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年度资金总额</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产出指标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b w:val="0"/>
                <w:bCs w:val="0"/>
                <w:color w:val="auto"/>
                <w:sz w:val="24"/>
                <w:szCs w:val="24"/>
                <w:highlight w:val="none"/>
                <w:lang w:val="en-US" w:eastAsia="zh-CN"/>
              </w:rPr>
              <w:t>绿化面积面积5703平方米，种植乔灌木678株，新增3个小游园，增加了城区绿量，努力实现</w:t>
            </w:r>
            <w:r>
              <w:rPr>
                <w:rFonts w:hint="eastAsia" w:ascii="宋体" w:hAnsi="宋体" w:eastAsia="宋体" w:cs="宋体"/>
                <w:color w:val="auto"/>
                <w:sz w:val="24"/>
                <w:szCs w:val="24"/>
                <w:lang w:val="en-US" w:eastAsia="zh-CN"/>
              </w:rPr>
              <w:t>居民出行“300米见绿、500米见园”的目标要求</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质量指标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按合同协议约定质量达标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保质保量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时效指标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按时完成工作任务</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在预定时间内完成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效益指标</w:t>
            </w:r>
          </w:p>
        </w:tc>
        <w:tc>
          <w:tcPr>
            <w:tcW w:w="11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社会效益指标</w:t>
            </w:r>
          </w:p>
        </w:tc>
        <w:tc>
          <w:tcPr>
            <w:tcW w:w="429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ind w:firstLine="480" w:firstLineChars="20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color w:val="auto"/>
                <w:sz w:val="24"/>
                <w:szCs w:val="24"/>
                <w:lang w:val="en-US" w:eastAsia="zh-CN"/>
              </w:rPr>
              <w:t>提升人均公园数量，为居民营造休闲、游乐、休憩的好场所</w:t>
            </w:r>
            <w:r>
              <w:rPr>
                <w:rFonts w:hint="eastAsia" w:ascii="宋体" w:hAnsi="宋体" w:eastAsia="宋体" w:cs="宋体"/>
                <w:b w:val="0"/>
                <w:bCs w:val="0"/>
                <w:color w:val="auto"/>
                <w:sz w:val="24"/>
                <w:szCs w:val="24"/>
                <w:highlight w:val="none"/>
                <w:lang w:val="en-US" w:eastAsia="zh-CN"/>
              </w:rPr>
              <w:t>，提升居民环境。</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有所提高</w:t>
            </w:r>
          </w:p>
        </w:tc>
      </w:tr>
    </w:tbl>
    <w:p/>
    <w:tbl>
      <w:tblPr>
        <w:tblStyle w:val="4"/>
        <w:tblW w:w="93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9"/>
        <w:gridCol w:w="1125"/>
        <w:gridCol w:w="2807"/>
        <w:gridCol w:w="1485"/>
        <w:gridCol w:w="2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933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城区环境综合整治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304-兴国县城市管理局</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兴国县城市管理局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24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40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便民利民、治安维稳、环境保护，为周边群众创造良好的环境，提升城区的总体形象和精神风貌</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2022年城区环境整治</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城区道路、市政设施、绿化、公共路灯、环境卫生、广告等市容市貌整治</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按合同协议约定质量达标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保质保量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4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改变城区居民的居住环境</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24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满意度</w:t>
            </w:r>
          </w:p>
        </w:tc>
        <w:tc>
          <w:tcPr>
            <w:tcW w:w="429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满意度</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≥96%</w:t>
            </w:r>
          </w:p>
        </w:tc>
      </w:tr>
    </w:tbl>
    <w:p/>
    <w:p>
      <w:pPr>
        <w:spacing w:line="334" w:lineRule="auto"/>
        <w:rPr>
          <w:rFonts w:ascii="Arial"/>
          <w:sz w:val="21"/>
        </w:rPr>
      </w:pPr>
    </w:p>
    <w:tbl>
      <w:tblPr>
        <w:tblStyle w:val="4"/>
        <w:tblW w:w="5000" w:type="pct"/>
        <w:tblInd w:w="0" w:type="dxa"/>
        <w:tblLayout w:type="autofit"/>
        <w:tblCellMar>
          <w:top w:w="0" w:type="dxa"/>
          <w:left w:w="0" w:type="dxa"/>
          <w:bottom w:w="0" w:type="dxa"/>
          <w:right w:w="0" w:type="dxa"/>
        </w:tblCellMar>
      </w:tblPr>
      <w:tblGrid>
        <w:gridCol w:w="1172"/>
        <w:gridCol w:w="1621"/>
        <w:gridCol w:w="2441"/>
        <w:gridCol w:w="1292"/>
        <w:gridCol w:w="2236"/>
      </w:tblGrid>
      <w:tr>
        <w:tblPrEx>
          <w:tblCellMar>
            <w:top w:w="0" w:type="dxa"/>
            <w:left w:w="0" w:type="dxa"/>
            <w:bottom w:w="0" w:type="dxa"/>
            <w:right w:w="0" w:type="dxa"/>
          </w:tblCellMar>
        </w:tblPrEx>
        <w:trPr>
          <w:trHeight w:val="799" w:hRule="atLeast"/>
        </w:trPr>
        <w:tc>
          <w:tcPr>
            <w:tcW w:w="5000" w:type="pct"/>
            <w:gridSpan w:val="5"/>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项目支出绩效目标表</w:t>
            </w:r>
          </w:p>
        </w:tc>
      </w:tr>
      <w:tr>
        <w:tblPrEx>
          <w:tblCellMar>
            <w:top w:w="0" w:type="dxa"/>
            <w:left w:w="0" w:type="dxa"/>
            <w:bottom w:w="0" w:type="dxa"/>
            <w:right w:w="0" w:type="dxa"/>
          </w:tblCellMar>
        </w:tblPrEx>
        <w:trPr>
          <w:trHeight w:val="462" w:hRule="atLeast"/>
        </w:trPr>
        <w:tc>
          <w:tcPr>
            <w:tcW w:w="5000" w:type="pct"/>
            <w:gridSpan w:val="5"/>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（2,022年度）</w:t>
            </w:r>
          </w:p>
        </w:tc>
      </w:tr>
      <w:tr>
        <w:tblPrEx>
          <w:tblCellMar>
            <w:top w:w="0" w:type="dxa"/>
            <w:left w:w="0" w:type="dxa"/>
            <w:bottom w:w="0" w:type="dxa"/>
            <w:right w:w="0" w:type="dxa"/>
          </w:tblCellMar>
        </w:tblPrEx>
        <w:trPr>
          <w:trHeight w:val="739" w:hRule="atLeast"/>
        </w:trPr>
        <w:tc>
          <w:tcPr>
            <w:tcW w:w="159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3405"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市政设施管养经费</w:t>
            </w:r>
          </w:p>
        </w:tc>
      </w:tr>
      <w:tr>
        <w:tblPrEx>
          <w:tblCellMar>
            <w:top w:w="0" w:type="dxa"/>
            <w:left w:w="0" w:type="dxa"/>
            <w:bottom w:w="0" w:type="dxa"/>
            <w:right w:w="0" w:type="dxa"/>
          </w:tblCellMar>
        </w:tblPrEx>
        <w:trPr>
          <w:trHeight w:val="739" w:hRule="atLeast"/>
        </w:trPr>
        <w:tc>
          <w:tcPr>
            <w:tcW w:w="159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主管部门及代码</w:t>
            </w: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304-兴国县城市管理局</w:t>
            </w:r>
          </w:p>
        </w:tc>
        <w:tc>
          <w:tcPr>
            <w:tcW w:w="7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实施单位</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兴国县市政公用事业服务中心</w:t>
            </w:r>
          </w:p>
        </w:tc>
      </w:tr>
      <w:tr>
        <w:tblPrEx>
          <w:tblCellMar>
            <w:top w:w="0" w:type="dxa"/>
            <w:left w:w="0" w:type="dxa"/>
            <w:bottom w:w="0" w:type="dxa"/>
            <w:right w:w="0" w:type="dxa"/>
          </w:tblCellMar>
        </w:tblPrEx>
        <w:trPr>
          <w:trHeight w:val="557" w:hRule="atLeast"/>
        </w:trPr>
        <w:tc>
          <w:tcPr>
            <w:tcW w:w="1594" w:type="pct"/>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年度资金总额</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3,000,000</w:t>
            </w:r>
          </w:p>
        </w:tc>
      </w:tr>
      <w:tr>
        <w:tblPrEx>
          <w:tblCellMar>
            <w:top w:w="0" w:type="dxa"/>
            <w:left w:w="0" w:type="dxa"/>
            <w:bottom w:w="0" w:type="dxa"/>
            <w:right w:w="0" w:type="dxa"/>
          </w:tblCellMar>
        </w:tblPrEx>
        <w:trPr>
          <w:trHeight w:val="631"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其中：财政拨款</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3,000,000</w:t>
            </w:r>
          </w:p>
        </w:tc>
      </w:tr>
      <w:tr>
        <w:tblPrEx>
          <w:tblCellMar>
            <w:top w:w="0" w:type="dxa"/>
            <w:left w:w="0" w:type="dxa"/>
            <w:bottom w:w="0" w:type="dxa"/>
            <w:right w:w="0" w:type="dxa"/>
          </w:tblCellMar>
        </w:tblPrEx>
        <w:trPr>
          <w:trHeight w:val="519"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其他资金</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556"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619" w:hRule="atLeast"/>
        </w:trPr>
        <w:tc>
          <w:tcPr>
            <w:tcW w:w="5000" w:type="pct"/>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年度绩效目标</w:t>
            </w:r>
          </w:p>
        </w:tc>
      </w:tr>
      <w:tr>
        <w:tblPrEx>
          <w:tblCellMar>
            <w:top w:w="0" w:type="dxa"/>
            <w:left w:w="0" w:type="dxa"/>
            <w:bottom w:w="0" w:type="dxa"/>
            <w:right w:w="0" w:type="dxa"/>
          </w:tblCellMar>
        </w:tblPrEx>
        <w:trPr>
          <w:trHeight w:val="887" w:hRule="atLeast"/>
        </w:trPr>
        <w:tc>
          <w:tcPr>
            <w:tcW w:w="5000"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市政设施管养经费</w:t>
            </w:r>
          </w:p>
        </w:tc>
      </w:tr>
      <w:tr>
        <w:tblPrEx>
          <w:tblCellMar>
            <w:top w:w="0" w:type="dxa"/>
            <w:left w:w="0" w:type="dxa"/>
            <w:bottom w:w="0" w:type="dxa"/>
            <w:right w:w="0" w:type="dxa"/>
          </w:tblCellMar>
        </w:tblPrEx>
        <w:trPr>
          <w:trHeight w:val="619" w:hRule="atLeast"/>
        </w:trPr>
        <w:tc>
          <w:tcPr>
            <w:tcW w:w="66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指标值</w:t>
            </w:r>
          </w:p>
        </w:tc>
      </w:tr>
      <w:tr>
        <w:tblPrEx>
          <w:tblCellMar>
            <w:top w:w="0" w:type="dxa"/>
            <w:left w:w="0" w:type="dxa"/>
            <w:bottom w:w="0" w:type="dxa"/>
            <w:right w:w="0" w:type="dxa"/>
          </w:tblCellMar>
        </w:tblPrEx>
        <w:trPr>
          <w:trHeight w:val="739" w:hRule="atLeast"/>
        </w:trPr>
        <w:tc>
          <w:tcPr>
            <w:tcW w:w="66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经济成本指标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市政设施管养经济成本</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≥300万元</w:t>
            </w:r>
          </w:p>
        </w:tc>
      </w:tr>
      <w:tr>
        <w:tblPrEx>
          <w:tblCellMar>
            <w:top w:w="0" w:type="dxa"/>
            <w:left w:w="0" w:type="dxa"/>
            <w:bottom w:w="0" w:type="dxa"/>
            <w:right w:w="0" w:type="dxa"/>
          </w:tblCellMar>
        </w:tblPrEx>
        <w:trPr>
          <w:trHeight w:val="739"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社会成本指标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市政设施管养社会成本</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≥300万元</w:t>
            </w:r>
          </w:p>
        </w:tc>
      </w:tr>
      <w:tr>
        <w:tblPrEx>
          <w:tblCellMar>
            <w:top w:w="0" w:type="dxa"/>
            <w:left w:w="0" w:type="dxa"/>
            <w:bottom w:w="0" w:type="dxa"/>
            <w:right w:w="0" w:type="dxa"/>
          </w:tblCellMar>
        </w:tblPrEx>
        <w:trPr>
          <w:trHeight w:val="739"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生态环境成本指标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项目生态环境成本</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≥300万元</w:t>
            </w:r>
          </w:p>
        </w:tc>
      </w:tr>
      <w:tr>
        <w:tblPrEx>
          <w:tblCellMar>
            <w:top w:w="0" w:type="dxa"/>
            <w:left w:w="0" w:type="dxa"/>
            <w:bottom w:w="0" w:type="dxa"/>
            <w:right w:w="0" w:type="dxa"/>
          </w:tblCellMar>
        </w:tblPrEx>
        <w:trPr>
          <w:trHeight w:val="739" w:hRule="atLeast"/>
        </w:trPr>
        <w:tc>
          <w:tcPr>
            <w:tcW w:w="66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产出指标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市政设施管养经费</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≥300万元</w:t>
            </w:r>
          </w:p>
        </w:tc>
      </w:tr>
      <w:tr>
        <w:tblPrEx>
          <w:tblCellMar>
            <w:top w:w="0" w:type="dxa"/>
            <w:left w:w="0" w:type="dxa"/>
            <w:bottom w:w="0" w:type="dxa"/>
            <w:right w:w="0" w:type="dxa"/>
          </w:tblCellMar>
        </w:tblPrEx>
        <w:trPr>
          <w:trHeight w:val="739"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市政设施管养达标率</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500"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市政设施管养及时性</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739" w:hRule="atLeast"/>
        </w:trPr>
        <w:tc>
          <w:tcPr>
            <w:tcW w:w="66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282" w:hRule="atLeast"/>
        </w:trPr>
        <w:tc>
          <w:tcPr>
            <w:tcW w:w="669" w:type="pct"/>
            <w:tcBorders>
              <w:top w:val="nil"/>
              <w:left w:val="nil"/>
              <w:bottom w:val="nil"/>
              <w:right w:val="nil"/>
            </w:tcBorders>
            <w:noWrap/>
            <w:tcMar>
              <w:top w:w="15" w:type="dxa"/>
              <w:left w:w="15" w:type="dxa"/>
              <w:right w:w="15" w:type="dxa"/>
            </w:tcMar>
            <w:vAlign w:val="bottom"/>
          </w:tcPr>
          <w:p>
            <w:pPr>
              <w:rPr>
                <w:rFonts w:hint="eastAsia" w:ascii="等线" w:hAnsi="等线" w:eastAsia="等线" w:cs="等线"/>
                <w:i w:val="0"/>
                <w:color w:val="000000"/>
                <w:sz w:val="22"/>
                <w:szCs w:val="22"/>
                <w:u w:val="none"/>
              </w:rPr>
            </w:pPr>
          </w:p>
        </w:tc>
        <w:tc>
          <w:tcPr>
            <w:tcW w:w="924"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1393"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736"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1275"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282" w:hRule="atLeast"/>
        </w:trPr>
        <w:tc>
          <w:tcPr>
            <w:tcW w:w="669"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924"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1393"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736"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c>
          <w:tcPr>
            <w:tcW w:w="1275" w:type="pct"/>
            <w:tcBorders>
              <w:top w:val="nil"/>
              <w:left w:val="nil"/>
              <w:bottom w:val="nil"/>
              <w:right w:val="nil"/>
            </w:tcBorders>
            <w:noWrap/>
            <w:tcMar>
              <w:top w:w="15" w:type="dxa"/>
              <w:left w:w="15" w:type="dxa"/>
              <w:right w:w="15" w:type="dxa"/>
            </w:tcMar>
            <w:vAlign w:val="bottom"/>
          </w:tcPr>
          <w:p>
            <w:pPr>
              <w:rPr>
                <w:rFonts w:hint="default" w:ascii="等线" w:hAnsi="等线" w:eastAsia="等线" w:cs="等线"/>
                <w:i w:val="0"/>
                <w:color w:val="000000"/>
                <w:sz w:val="22"/>
                <w:szCs w:val="22"/>
                <w:u w:val="none"/>
              </w:rPr>
            </w:pPr>
          </w:p>
        </w:tc>
      </w:tr>
    </w:tbl>
    <w:p>
      <w:pPr>
        <w:pStyle w:val="2"/>
        <w:rPr>
          <w:rFonts w:hint="eastAsia" w:ascii="黑体" w:hAnsi="黑体" w:eastAsia="黑体" w:cs="黑体"/>
          <w:sz w:val="32"/>
          <w:szCs w:val="32"/>
        </w:rPr>
      </w:pPr>
    </w:p>
    <w:tbl>
      <w:tblPr>
        <w:tblStyle w:val="4"/>
        <w:tblW w:w="5000" w:type="pct"/>
        <w:tblInd w:w="0" w:type="dxa"/>
        <w:tblLayout w:type="autofit"/>
        <w:tblCellMar>
          <w:top w:w="0" w:type="dxa"/>
          <w:left w:w="0" w:type="dxa"/>
          <w:bottom w:w="0" w:type="dxa"/>
          <w:right w:w="0" w:type="dxa"/>
        </w:tblCellMar>
      </w:tblPr>
      <w:tblGrid>
        <w:gridCol w:w="1172"/>
        <w:gridCol w:w="1621"/>
        <w:gridCol w:w="2441"/>
        <w:gridCol w:w="1292"/>
        <w:gridCol w:w="2236"/>
      </w:tblGrid>
      <w:tr>
        <w:tblPrEx>
          <w:tblCellMar>
            <w:top w:w="0" w:type="dxa"/>
            <w:left w:w="0" w:type="dxa"/>
            <w:bottom w:w="0" w:type="dxa"/>
            <w:right w:w="0" w:type="dxa"/>
          </w:tblCellMar>
        </w:tblPrEx>
        <w:trPr>
          <w:trHeight w:val="799" w:hRule="atLeast"/>
        </w:trPr>
        <w:tc>
          <w:tcPr>
            <w:tcW w:w="5000" w:type="pct"/>
            <w:gridSpan w:val="5"/>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项目支出绩效目标表</w:t>
            </w:r>
          </w:p>
        </w:tc>
      </w:tr>
      <w:tr>
        <w:tblPrEx>
          <w:tblCellMar>
            <w:top w:w="0" w:type="dxa"/>
            <w:left w:w="0" w:type="dxa"/>
            <w:bottom w:w="0" w:type="dxa"/>
            <w:right w:w="0" w:type="dxa"/>
          </w:tblCellMar>
        </w:tblPrEx>
        <w:trPr>
          <w:trHeight w:val="462" w:hRule="atLeast"/>
        </w:trPr>
        <w:tc>
          <w:tcPr>
            <w:tcW w:w="5000" w:type="pct"/>
            <w:gridSpan w:val="5"/>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（2,022年度）</w:t>
            </w:r>
          </w:p>
        </w:tc>
      </w:tr>
      <w:tr>
        <w:tblPrEx>
          <w:tblCellMar>
            <w:top w:w="0" w:type="dxa"/>
            <w:left w:w="0" w:type="dxa"/>
            <w:bottom w:w="0" w:type="dxa"/>
            <w:right w:w="0" w:type="dxa"/>
          </w:tblCellMar>
        </w:tblPrEx>
        <w:trPr>
          <w:trHeight w:val="739" w:hRule="atLeast"/>
        </w:trPr>
        <w:tc>
          <w:tcPr>
            <w:tcW w:w="159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3405"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龙口垃圾填埋费</w:t>
            </w:r>
          </w:p>
        </w:tc>
      </w:tr>
      <w:tr>
        <w:tblPrEx>
          <w:tblCellMar>
            <w:top w:w="0" w:type="dxa"/>
            <w:left w:w="0" w:type="dxa"/>
            <w:bottom w:w="0" w:type="dxa"/>
            <w:right w:w="0" w:type="dxa"/>
          </w:tblCellMar>
        </w:tblPrEx>
        <w:trPr>
          <w:trHeight w:val="739" w:hRule="atLeast"/>
        </w:trPr>
        <w:tc>
          <w:tcPr>
            <w:tcW w:w="159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主管部门及代码</w:t>
            </w: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304-兴国县城市管理局</w:t>
            </w:r>
          </w:p>
        </w:tc>
        <w:tc>
          <w:tcPr>
            <w:tcW w:w="7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实施单位</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兴国县市政公用事业服务中心</w:t>
            </w:r>
          </w:p>
        </w:tc>
      </w:tr>
      <w:tr>
        <w:tblPrEx>
          <w:tblCellMar>
            <w:top w:w="0" w:type="dxa"/>
            <w:left w:w="0" w:type="dxa"/>
            <w:bottom w:w="0" w:type="dxa"/>
            <w:right w:w="0" w:type="dxa"/>
          </w:tblCellMar>
        </w:tblPrEx>
        <w:trPr>
          <w:trHeight w:val="613" w:hRule="atLeast"/>
        </w:trPr>
        <w:tc>
          <w:tcPr>
            <w:tcW w:w="1594" w:type="pct"/>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年度资金总额</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184</w:t>
            </w:r>
          </w:p>
        </w:tc>
      </w:tr>
      <w:tr>
        <w:tblPrEx>
          <w:tblCellMar>
            <w:top w:w="0" w:type="dxa"/>
            <w:left w:w="0" w:type="dxa"/>
            <w:bottom w:w="0" w:type="dxa"/>
            <w:right w:w="0" w:type="dxa"/>
          </w:tblCellMar>
        </w:tblPrEx>
        <w:trPr>
          <w:trHeight w:val="576"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其中：财政拨款</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184</w:t>
            </w:r>
          </w:p>
        </w:tc>
      </w:tr>
      <w:tr>
        <w:tblPrEx>
          <w:tblCellMar>
            <w:top w:w="0" w:type="dxa"/>
            <w:left w:w="0" w:type="dxa"/>
            <w:bottom w:w="0" w:type="dxa"/>
            <w:right w:w="0" w:type="dxa"/>
          </w:tblCellMar>
        </w:tblPrEx>
        <w:trPr>
          <w:trHeight w:val="594"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其他资金</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575" w:hRule="atLeast"/>
        </w:trPr>
        <w:tc>
          <w:tcPr>
            <w:tcW w:w="1594"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201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619" w:hRule="atLeast"/>
        </w:trPr>
        <w:tc>
          <w:tcPr>
            <w:tcW w:w="5000" w:type="pct"/>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年度绩效目标</w:t>
            </w:r>
          </w:p>
        </w:tc>
      </w:tr>
      <w:tr>
        <w:tblPrEx>
          <w:tblCellMar>
            <w:top w:w="0" w:type="dxa"/>
            <w:left w:w="0" w:type="dxa"/>
            <w:bottom w:w="0" w:type="dxa"/>
            <w:right w:w="0" w:type="dxa"/>
          </w:tblCellMar>
        </w:tblPrEx>
        <w:trPr>
          <w:trHeight w:val="1010" w:hRule="atLeast"/>
        </w:trPr>
        <w:tc>
          <w:tcPr>
            <w:tcW w:w="5000"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龙口垃圾填埋场渗滤液委托运营全年完成28800吨、设备维修、消杀力争控制范围内</w:t>
            </w:r>
          </w:p>
        </w:tc>
      </w:tr>
      <w:tr>
        <w:tblPrEx>
          <w:tblCellMar>
            <w:top w:w="0" w:type="dxa"/>
            <w:left w:w="0" w:type="dxa"/>
            <w:bottom w:w="0" w:type="dxa"/>
            <w:right w:w="0" w:type="dxa"/>
          </w:tblCellMar>
        </w:tblPrEx>
        <w:trPr>
          <w:trHeight w:val="619" w:hRule="atLeast"/>
        </w:trPr>
        <w:tc>
          <w:tcPr>
            <w:tcW w:w="66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指标值</w:t>
            </w:r>
          </w:p>
        </w:tc>
      </w:tr>
      <w:tr>
        <w:tblPrEx>
          <w:tblCellMar>
            <w:top w:w="0" w:type="dxa"/>
            <w:left w:w="0" w:type="dxa"/>
            <w:bottom w:w="0" w:type="dxa"/>
            <w:right w:w="0" w:type="dxa"/>
          </w:tblCellMar>
        </w:tblPrEx>
        <w:trPr>
          <w:trHeight w:val="612" w:hRule="atLeast"/>
        </w:trPr>
        <w:tc>
          <w:tcPr>
            <w:tcW w:w="66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经济成本指标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龙口垃圾填埋运营经济成本</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≥184万元</w:t>
            </w:r>
          </w:p>
        </w:tc>
      </w:tr>
      <w:tr>
        <w:tblPrEx>
          <w:tblCellMar>
            <w:top w:w="0" w:type="dxa"/>
            <w:left w:w="0" w:type="dxa"/>
            <w:bottom w:w="0" w:type="dxa"/>
            <w:right w:w="0" w:type="dxa"/>
          </w:tblCellMar>
        </w:tblPrEx>
        <w:trPr>
          <w:trHeight w:val="650"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社会成本指标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龙口垃圾填埋运营社会成本</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≥184万元</w:t>
            </w:r>
          </w:p>
        </w:tc>
      </w:tr>
      <w:tr>
        <w:tblPrEx>
          <w:tblCellMar>
            <w:top w:w="0" w:type="dxa"/>
            <w:left w:w="0" w:type="dxa"/>
            <w:bottom w:w="0" w:type="dxa"/>
            <w:right w:w="0" w:type="dxa"/>
          </w:tblCellMar>
        </w:tblPrEx>
        <w:trPr>
          <w:trHeight w:val="651"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生态环境成本指标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项目生态环境成本</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≥184万元</w:t>
            </w:r>
          </w:p>
        </w:tc>
      </w:tr>
      <w:tr>
        <w:tblPrEx>
          <w:tblCellMar>
            <w:top w:w="0" w:type="dxa"/>
            <w:left w:w="0" w:type="dxa"/>
            <w:bottom w:w="0" w:type="dxa"/>
            <w:right w:w="0" w:type="dxa"/>
          </w:tblCellMar>
        </w:tblPrEx>
        <w:trPr>
          <w:trHeight w:val="557" w:hRule="atLeast"/>
        </w:trPr>
        <w:tc>
          <w:tcPr>
            <w:tcW w:w="66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产出指标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渗滤液处理量</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≥28800吨</w:t>
            </w:r>
          </w:p>
        </w:tc>
      </w:tr>
      <w:tr>
        <w:tblPrEx>
          <w:tblCellMar>
            <w:top w:w="0" w:type="dxa"/>
            <w:left w:w="0" w:type="dxa"/>
            <w:bottom w:w="0" w:type="dxa"/>
            <w:right w:w="0" w:type="dxa"/>
          </w:tblCellMar>
        </w:tblPrEx>
        <w:trPr>
          <w:trHeight w:val="538"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渗滤液处理达标率</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594" w:hRule="atLeast"/>
        </w:trPr>
        <w:tc>
          <w:tcPr>
            <w:tcW w:w="66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渗滤液处理及时性</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585" w:hRule="atLeast"/>
        </w:trPr>
        <w:tc>
          <w:tcPr>
            <w:tcW w:w="66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9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社会效益指标</w:t>
            </w:r>
          </w:p>
        </w:tc>
        <w:tc>
          <w:tcPr>
            <w:tcW w:w="21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w:t>
            </w:r>
          </w:p>
        </w:tc>
        <w:tc>
          <w:tcPr>
            <w:tcW w:w="127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bl>
    <w:tbl>
      <w:tblPr>
        <w:tblStyle w:val="4"/>
        <w:tblpPr w:leftFromText="180" w:rightFromText="180" w:vertAnchor="text" w:horzAnchor="page" w:tblpX="1537" w:tblpY="-83"/>
        <w:tblOverlap w:val="never"/>
        <w:tblW w:w="5000" w:type="pct"/>
        <w:tblInd w:w="0" w:type="dxa"/>
        <w:tblLayout w:type="autofit"/>
        <w:tblCellMar>
          <w:top w:w="0" w:type="dxa"/>
          <w:left w:w="0" w:type="dxa"/>
          <w:bottom w:w="0" w:type="dxa"/>
          <w:right w:w="0" w:type="dxa"/>
        </w:tblCellMar>
      </w:tblPr>
      <w:tblGrid>
        <w:gridCol w:w="1166"/>
        <w:gridCol w:w="1621"/>
        <w:gridCol w:w="2438"/>
        <w:gridCol w:w="1292"/>
        <w:gridCol w:w="2245"/>
      </w:tblGrid>
      <w:tr>
        <w:tblPrEx>
          <w:tblCellMar>
            <w:top w:w="0" w:type="dxa"/>
            <w:left w:w="0" w:type="dxa"/>
            <w:bottom w:w="0" w:type="dxa"/>
            <w:right w:w="0" w:type="dxa"/>
          </w:tblCellMar>
        </w:tblPrEx>
        <w:trPr>
          <w:trHeight w:val="799" w:hRule="atLeast"/>
        </w:trPr>
        <w:tc>
          <w:tcPr>
            <w:tcW w:w="5000" w:type="pct"/>
            <w:gridSpan w:val="5"/>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项目支出绩效目标表</w:t>
            </w:r>
          </w:p>
        </w:tc>
      </w:tr>
      <w:tr>
        <w:tblPrEx>
          <w:tblCellMar>
            <w:top w:w="0" w:type="dxa"/>
            <w:left w:w="0" w:type="dxa"/>
            <w:bottom w:w="0" w:type="dxa"/>
            <w:right w:w="0" w:type="dxa"/>
          </w:tblCellMar>
        </w:tblPrEx>
        <w:trPr>
          <w:trHeight w:val="462" w:hRule="atLeast"/>
        </w:trPr>
        <w:tc>
          <w:tcPr>
            <w:tcW w:w="5000" w:type="pct"/>
            <w:gridSpan w:val="5"/>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（2,022年度）</w:t>
            </w:r>
          </w:p>
        </w:tc>
      </w:tr>
      <w:tr>
        <w:tblPrEx>
          <w:tblCellMar>
            <w:top w:w="0" w:type="dxa"/>
            <w:left w:w="0" w:type="dxa"/>
            <w:bottom w:w="0" w:type="dxa"/>
            <w:right w:w="0" w:type="dxa"/>
          </w:tblCellMar>
        </w:tblPrEx>
        <w:trPr>
          <w:trHeight w:val="739" w:hRule="atLeast"/>
        </w:trPr>
        <w:tc>
          <w:tcPr>
            <w:tcW w:w="159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340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埠头垃圾填埋场费</w:t>
            </w:r>
          </w:p>
        </w:tc>
      </w:tr>
      <w:tr>
        <w:tblPrEx>
          <w:tblCellMar>
            <w:top w:w="0" w:type="dxa"/>
            <w:left w:w="0" w:type="dxa"/>
            <w:bottom w:w="0" w:type="dxa"/>
            <w:right w:w="0" w:type="dxa"/>
          </w:tblCellMar>
        </w:tblPrEx>
        <w:trPr>
          <w:trHeight w:val="739" w:hRule="atLeast"/>
        </w:trPr>
        <w:tc>
          <w:tcPr>
            <w:tcW w:w="159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主管部门及代码</w:t>
            </w:r>
          </w:p>
        </w:tc>
        <w:tc>
          <w:tcPr>
            <w:tcW w:w="13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304-兴国县城市管理局</w:t>
            </w:r>
          </w:p>
        </w:tc>
        <w:tc>
          <w:tcPr>
            <w:tcW w:w="7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实施单位</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兴国县市政公用事业服务中心</w:t>
            </w:r>
          </w:p>
        </w:tc>
      </w:tr>
      <w:tr>
        <w:tblPrEx>
          <w:tblCellMar>
            <w:top w:w="0" w:type="dxa"/>
            <w:left w:w="0" w:type="dxa"/>
            <w:bottom w:w="0" w:type="dxa"/>
            <w:right w:w="0" w:type="dxa"/>
          </w:tblCellMar>
        </w:tblPrEx>
        <w:trPr>
          <w:trHeight w:val="739" w:hRule="atLeast"/>
        </w:trPr>
        <w:tc>
          <w:tcPr>
            <w:tcW w:w="1591" w:type="pct"/>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c>
          <w:tcPr>
            <w:tcW w:w="13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年度资金总额</w:t>
            </w:r>
          </w:p>
        </w:tc>
        <w:tc>
          <w:tcPr>
            <w:tcW w:w="201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665.54</w:t>
            </w:r>
          </w:p>
        </w:tc>
      </w:tr>
      <w:tr>
        <w:tblPrEx>
          <w:tblCellMar>
            <w:top w:w="0" w:type="dxa"/>
            <w:left w:w="0" w:type="dxa"/>
            <w:bottom w:w="0" w:type="dxa"/>
            <w:right w:w="0" w:type="dxa"/>
          </w:tblCellMar>
        </w:tblPrEx>
        <w:trPr>
          <w:trHeight w:val="739" w:hRule="atLeast"/>
        </w:trPr>
        <w:tc>
          <w:tcPr>
            <w:tcW w:w="1591"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其中：财政拨款</w:t>
            </w:r>
          </w:p>
        </w:tc>
        <w:tc>
          <w:tcPr>
            <w:tcW w:w="201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665.54</w:t>
            </w:r>
          </w:p>
        </w:tc>
      </w:tr>
      <w:tr>
        <w:tblPrEx>
          <w:tblCellMar>
            <w:top w:w="0" w:type="dxa"/>
            <w:left w:w="0" w:type="dxa"/>
            <w:bottom w:w="0" w:type="dxa"/>
            <w:right w:w="0" w:type="dxa"/>
          </w:tblCellMar>
        </w:tblPrEx>
        <w:trPr>
          <w:trHeight w:val="739" w:hRule="atLeast"/>
        </w:trPr>
        <w:tc>
          <w:tcPr>
            <w:tcW w:w="1591"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其他资金</w:t>
            </w:r>
          </w:p>
        </w:tc>
        <w:tc>
          <w:tcPr>
            <w:tcW w:w="201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739" w:hRule="atLeast"/>
        </w:trPr>
        <w:tc>
          <w:tcPr>
            <w:tcW w:w="1591"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201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619" w:hRule="atLeast"/>
        </w:trPr>
        <w:tc>
          <w:tcPr>
            <w:tcW w:w="5000" w:type="pct"/>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年度绩效目标</w:t>
            </w:r>
          </w:p>
        </w:tc>
      </w:tr>
      <w:tr>
        <w:tblPrEx>
          <w:tblCellMar>
            <w:top w:w="0" w:type="dxa"/>
            <w:left w:w="0" w:type="dxa"/>
            <w:bottom w:w="0" w:type="dxa"/>
            <w:right w:w="0" w:type="dxa"/>
          </w:tblCellMar>
        </w:tblPrEx>
        <w:trPr>
          <w:trHeight w:val="945" w:hRule="atLeast"/>
        </w:trPr>
        <w:tc>
          <w:tcPr>
            <w:tcW w:w="5000"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埠头垃圾填埋场运行相关经费：处理站委托运营、在线监测、自行监测、水质、废水检测，房屋、车辆、机械维修等费用力争控制范围内</w:t>
            </w:r>
          </w:p>
        </w:tc>
      </w:tr>
      <w:tr>
        <w:tblPrEx>
          <w:tblCellMar>
            <w:top w:w="0" w:type="dxa"/>
            <w:left w:w="0" w:type="dxa"/>
            <w:bottom w:w="0" w:type="dxa"/>
            <w:right w:w="0" w:type="dxa"/>
          </w:tblCellMar>
        </w:tblPrEx>
        <w:trPr>
          <w:trHeight w:val="619" w:hRule="atLeast"/>
        </w:trPr>
        <w:tc>
          <w:tcPr>
            <w:tcW w:w="6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指标值</w:t>
            </w:r>
          </w:p>
        </w:tc>
      </w:tr>
      <w:tr>
        <w:tblPrEx>
          <w:tblCellMar>
            <w:top w:w="0" w:type="dxa"/>
            <w:left w:w="0" w:type="dxa"/>
            <w:bottom w:w="0" w:type="dxa"/>
            <w:right w:w="0" w:type="dxa"/>
          </w:tblCellMar>
        </w:tblPrEx>
        <w:trPr>
          <w:trHeight w:val="739" w:hRule="atLeast"/>
        </w:trPr>
        <w:tc>
          <w:tcPr>
            <w:tcW w:w="66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经济成本指标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埠头垃圾填埋场运营经济成本</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≥665.54万元</w:t>
            </w:r>
          </w:p>
        </w:tc>
      </w:tr>
      <w:tr>
        <w:tblPrEx>
          <w:tblCellMar>
            <w:top w:w="0" w:type="dxa"/>
            <w:left w:w="0" w:type="dxa"/>
            <w:bottom w:w="0" w:type="dxa"/>
            <w:right w:w="0" w:type="dxa"/>
          </w:tblCellMar>
        </w:tblPrEx>
        <w:trPr>
          <w:trHeight w:val="739" w:hRule="atLeast"/>
        </w:trPr>
        <w:tc>
          <w:tcPr>
            <w:tcW w:w="66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社会成本指标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埠头垃圾填埋场运营社会成本</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≥665.54万元</w:t>
            </w:r>
          </w:p>
        </w:tc>
      </w:tr>
      <w:tr>
        <w:tblPrEx>
          <w:tblCellMar>
            <w:top w:w="0" w:type="dxa"/>
            <w:left w:w="0" w:type="dxa"/>
            <w:bottom w:w="0" w:type="dxa"/>
            <w:right w:w="0" w:type="dxa"/>
          </w:tblCellMar>
        </w:tblPrEx>
        <w:trPr>
          <w:trHeight w:val="739" w:hRule="atLeast"/>
        </w:trPr>
        <w:tc>
          <w:tcPr>
            <w:tcW w:w="66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生态环境成本指标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项目生态环境成本</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739" w:hRule="atLeast"/>
        </w:trPr>
        <w:tc>
          <w:tcPr>
            <w:tcW w:w="66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产出指标</w:t>
            </w: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垃圾处理量</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≥77000吨</w:t>
            </w:r>
          </w:p>
        </w:tc>
      </w:tr>
      <w:tr>
        <w:tblPrEx>
          <w:tblCellMar>
            <w:top w:w="0" w:type="dxa"/>
            <w:left w:w="0" w:type="dxa"/>
            <w:bottom w:w="0" w:type="dxa"/>
            <w:right w:w="0" w:type="dxa"/>
          </w:tblCellMar>
        </w:tblPrEx>
        <w:trPr>
          <w:trHeight w:val="739" w:hRule="atLeast"/>
        </w:trPr>
        <w:tc>
          <w:tcPr>
            <w:tcW w:w="66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垃圾处理完成率</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739" w:hRule="atLeast"/>
        </w:trPr>
        <w:tc>
          <w:tcPr>
            <w:tcW w:w="66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垃圾处理及时性</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739" w:hRule="atLeast"/>
        </w:trPr>
        <w:tc>
          <w:tcPr>
            <w:tcW w:w="6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92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经济效益指标</w:t>
            </w:r>
          </w:p>
        </w:tc>
        <w:tc>
          <w:tcPr>
            <w:tcW w:w="21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埠头垃圾场经济指标</w:t>
            </w:r>
          </w:p>
        </w:tc>
        <w:tc>
          <w:tcPr>
            <w:tcW w:w="127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≥665.54万元</w:t>
            </w:r>
          </w:p>
        </w:tc>
      </w:tr>
    </w:tbl>
    <w:p>
      <w:pPr>
        <w:spacing w:line="560" w:lineRule="exact"/>
        <w:jc w:val="both"/>
        <w:rPr>
          <w:rFonts w:hint="eastAsia" w:ascii="黑体" w:hAnsi="黑体" w:eastAsia="黑体" w:cs="黑体"/>
          <w:sz w:val="32"/>
          <w:szCs w:val="32"/>
        </w:rPr>
      </w:pPr>
    </w:p>
    <w:tbl>
      <w:tblPr>
        <w:tblStyle w:val="4"/>
        <w:tblW w:w="5000" w:type="pct"/>
        <w:tblInd w:w="0" w:type="dxa"/>
        <w:tblLayout w:type="autofit"/>
        <w:tblCellMar>
          <w:top w:w="0" w:type="dxa"/>
          <w:left w:w="0" w:type="dxa"/>
          <w:bottom w:w="0" w:type="dxa"/>
          <w:right w:w="0" w:type="dxa"/>
        </w:tblCellMar>
      </w:tblPr>
      <w:tblGrid>
        <w:gridCol w:w="979"/>
        <w:gridCol w:w="172"/>
        <w:gridCol w:w="1493"/>
        <w:gridCol w:w="128"/>
        <w:gridCol w:w="1873"/>
        <w:gridCol w:w="556"/>
        <w:gridCol w:w="1122"/>
        <w:gridCol w:w="175"/>
        <w:gridCol w:w="1884"/>
        <w:gridCol w:w="380"/>
      </w:tblGrid>
      <w:tr>
        <w:tblPrEx>
          <w:tblCellMar>
            <w:top w:w="0" w:type="dxa"/>
            <w:left w:w="0" w:type="dxa"/>
            <w:bottom w:w="0" w:type="dxa"/>
            <w:right w:w="0" w:type="dxa"/>
          </w:tblCellMar>
        </w:tblPrEx>
        <w:trPr>
          <w:trHeight w:val="799" w:hRule="atLeast"/>
        </w:trPr>
        <w:tc>
          <w:tcPr>
            <w:tcW w:w="5000" w:type="pct"/>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项目支出绩效目标表</w:t>
            </w:r>
          </w:p>
        </w:tc>
      </w:tr>
      <w:tr>
        <w:tblPrEx>
          <w:tblCellMar>
            <w:top w:w="0" w:type="dxa"/>
            <w:left w:w="0" w:type="dxa"/>
            <w:bottom w:w="0" w:type="dxa"/>
            <w:right w:w="0" w:type="dxa"/>
          </w:tblCellMar>
        </w:tblPrEx>
        <w:trPr>
          <w:trHeight w:val="462" w:hRule="atLeast"/>
        </w:trPr>
        <w:tc>
          <w:tcPr>
            <w:tcW w:w="5000" w:type="pct"/>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（2,022年度）</w:t>
            </w:r>
          </w:p>
        </w:tc>
      </w:tr>
      <w:tr>
        <w:tblPrEx>
          <w:tblCellMar>
            <w:top w:w="0" w:type="dxa"/>
            <w:left w:w="0" w:type="dxa"/>
            <w:bottom w:w="0" w:type="dxa"/>
            <w:right w:w="0" w:type="dxa"/>
          </w:tblCellMar>
        </w:tblPrEx>
        <w:trPr>
          <w:trHeight w:val="739" w:hRule="atLeast"/>
        </w:trPr>
        <w:tc>
          <w:tcPr>
            <w:tcW w:w="1582"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3417"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城区路灯电费</w:t>
            </w:r>
          </w:p>
        </w:tc>
      </w:tr>
      <w:tr>
        <w:tblPrEx>
          <w:tblCellMar>
            <w:top w:w="0" w:type="dxa"/>
            <w:left w:w="0" w:type="dxa"/>
            <w:bottom w:w="0" w:type="dxa"/>
            <w:right w:w="0" w:type="dxa"/>
          </w:tblCellMar>
        </w:tblPrEx>
        <w:trPr>
          <w:trHeight w:val="739" w:hRule="atLeast"/>
        </w:trPr>
        <w:tc>
          <w:tcPr>
            <w:tcW w:w="1582"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主管部门及代码</w:t>
            </w:r>
          </w:p>
        </w:tc>
        <w:tc>
          <w:tcPr>
            <w:tcW w:w="1386"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304-兴国县城市管理局</w:t>
            </w:r>
          </w:p>
        </w:tc>
        <w:tc>
          <w:tcPr>
            <w:tcW w:w="74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实施单位</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兴国县市政公用事业服务中心</w:t>
            </w:r>
          </w:p>
        </w:tc>
      </w:tr>
      <w:tr>
        <w:tblPrEx>
          <w:tblCellMar>
            <w:top w:w="0" w:type="dxa"/>
            <w:left w:w="0" w:type="dxa"/>
            <w:bottom w:w="0" w:type="dxa"/>
            <w:right w:w="0" w:type="dxa"/>
          </w:tblCellMar>
        </w:tblPrEx>
        <w:trPr>
          <w:trHeight w:val="739" w:hRule="atLeast"/>
        </w:trPr>
        <w:tc>
          <w:tcPr>
            <w:tcW w:w="1582" w:type="pct"/>
            <w:gridSpan w:val="4"/>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c>
          <w:tcPr>
            <w:tcW w:w="1386"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年度资金总额</w:t>
            </w:r>
          </w:p>
        </w:tc>
        <w:tc>
          <w:tcPr>
            <w:tcW w:w="20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450</w:t>
            </w:r>
          </w:p>
        </w:tc>
      </w:tr>
      <w:tr>
        <w:tblPrEx>
          <w:tblCellMar>
            <w:top w:w="0" w:type="dxa"/>
            <w:left w:w="0" w:type="dxa"/>
            <w:bottom w:w="0" w:type="dxa"/>
            <w:right w:w="0" w:type="dxa"/>
          </w:tblCellMar>
        </w:tblPrEx>
        <w:trPr>
          <w:trHeight w:val="739" w:hRule="atLeast"/>
        </w:trPr>
        <w:tc>
          <w:tcPr>
            <w:tcW w:w="1582" w:type="pct"/>
            <w:gridSpan w:val="4"/>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86"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其中：财政拨款</w:t>
            </w:r>
          </w:p>
        </w:tc>
        <w:tc>
          <w:tcPr>
            <w:tcW w:w="20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450</w:t>
            </w:r>
          </w:p>
        </w:tc>
      </w:tr>
      <w:tr>
        <w:tblPrEx>
          <w:tblCellMar>
            <w:top w:w="0" w:type="dxa"/>
            <w:left w:w="0" w:type="dxa"/>
            <w:bottom w:w="0" w:type="dxa"/>
            <w:right w:w="0" w:type="dxa"/>
          </w:tblCellMar>
        </w:tblPrEx>
        <w:trPr>
          <w:trHeight w:val="739" w:hRule="atLeast"/>
        </w:trPr>
        <w:tc>
          <w:tcPr>
            <w:tcW w:w="1582" w:type="pct"/>
            <w:gridSpan w:val="4"/>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86"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其他资金</w:t>
            </w:r>
          </w:p>
        </w:tc>
        <w:tc>
          <w:tcPr>
            <w:tcW w:w="20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739" w:hRule="atLeast"/>
        </w:trPr>
        <w:tc>
          <w:tcPr>
            <w:tcW w:w="1582" w:type="pct"/>
            <w:gridSpan w:val="4"/>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86"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20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619" w:hRule="atLeast"/>
        </w:trPr>
        <w:tc>
          <w:tcPr>
            <w:tcW w:w="5000" w:type="pct"/>
            <w:gridSpan w:val="10"/>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年度绩效目标</w:t>
            </w:r>
          </w:p>
        </w:tc>
      </w:tr>
      <w:tr>
        <w:tblPrEx>
          <w:tblCellMar>
            <w:top w:w="0" w:type="dxa"/>
            <w:left w:w="0" w:type="dxa"/>
            <w:bottom w:w="0" w:type="dxa"/>
            <w:right w:w="0" w:type="dxa"/>
          </w:tblCellMar>
        </w:tblPrEx>
        <w:trPr>
          <w:trHeight w:val="860" w:hRule="atLeast"/>
        </w:trPr>
        <w:tc>
          <w:tcPr>
            <w:tcW w:w="5000" w:type="pct"/>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城区路灯电费</w:t>
            </w:r>
          </w:p>
        </w:tc>
      </w:tr>
      <w:tr>
        <w:tblPrEx>
          <w:tblCellMar>
            <w:top w:w="0" w:type="dxa"/>
            <w:left w:w="0" w:type="dxa"/>
            <w:bottom w:w="0" w:type="dxa"/>
            <w:right w:w="0" w:type="dxa"/>
          </w:tblCellMar>
        </w:tblPrEx>
        <w:trPr>
          <w:trHeight w:val="619" w:hRule="atLeast"/>
        </w:trPr>
        <w:tc>
          <w:tcPr>
            <w:tcW w:w="6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指标值</w:t>
            </w:r>
          </w:p>
        </w:tc>
      </w:tr>
      <w:tr>
        <w:tblPrEx>
          <w:tblCellMar>
            <w:top w:w="0" w:type="dxa"/>
            <w:left w:w="0" w:type="dxa"/>
            <w:bottom w:w="0" w:type="dxa"/>
            <w:right w:w="0" w:type="dxa"/>
          </w:tblCellMar>
        </w:tblPrEx>
        <w:trPr>
          <w:trHeight w:val="739" w:hRule="atLeast"/>
        </w:trPr>
        <w:tc>
          <w:tcPr>
            <w:tcW w:w="657" w:type="pct"/>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经济成本指标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城区路灯照明经济成本</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≥450万元</w:t>
            </w:r>
          </w:p>
        </w:tc>
      </w:tr>
      <w:tr>
        <w:tblPrEx>
          <w:tblCellMar>
            <w:top w:w="0" w:type="dxa"/>
            <w:left w:w="0" w:type="dxa"/>
            <w:bottom w:w="0" w:type="dxa"/>
            <w:right w:w="0" w:type="dxa"/>
          </w:tblCellMar>
        </w:tblPrEx>
        <w:trPr>
          <w:trHeight w:val="739" w:hRule="atLeast"/>
        </w:trPr>
        <w:tc>
          <w:tcPr>
            <w:tcW w:w="657"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社会成本指标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城区路灯照明社会成本</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≥450万元</w:t>
            </w:r>
          </w:p>
        </w:tc>
      </w:tr>
      <w:tr>
        <w:tblPrEx>
          <w:tblCellMar>
            <w:top w:w="0" w:type="dxa"/>
            <w:left w:w="0" w:type="dxa"/>
            <w:bottom w:w="0" w:type="dxa"/>
            <w:right w:w="0" w:type="dxa"/>
          </w:tblCellMar>
        </w:tblPrEx>
        <w:trPr>
          <w:trHeight w:val="739" w:hRule="atLeast"/>
        </w:trPr>
        <w:tc>
          <w:tcPr>
            <w:tcW w:w="657"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生态环境成本指标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项目生态环境成本</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≥450万元</w:t>
            </w:r>
          </w:p>
        </w:tc>
      </w:tr>
      <w:tr>
        <w:tblPrEx>
          <w:tblCellMar>
            <w:top w:w="0" w:type="dxa"/>
            <w:left w:w="0" w:type="dxa"/>
            <w:bottom w:w="0" w:type="dxa"/>
            <w:right w:w="0" w:type="dxa"/>
          </w:tblCellMar>
        </w:tblPrEx>
        <w:trPr>
          <w:trHeight w:val="557" w:hRule="atLeast"/>
        </w:trPr>
        <w:tc>
          <w:tcPr>
            <w:tcW w:w="657" w:type="pct"/>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产出指标</w:t>
            </w: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城区路灯电费</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≥450万元</w:t>
            </w:r>
          </w:p>
        </w:tc>
      </w:tr>
      <w:tr>
        <w:tblPrEx>
          <w:tblCellMar>
            <w:top w:w="0" w:type="dxa"/>
            <w:left w:w="0" w:type="dxa"/>
            <w:bottom w:w="0" w:type="dxa"/>
            <w:right w:w="0" w:type="dxa"/>
          </w:tblCellMar>
        </w:tblPrEx>
        <w:trPr>
          <w:trHeight w:val="739" w:hRule="atLeast"/>
        </w:trPr>
        <w:tc>
          <w:tcPr>
            <w:tcW w:w="657"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城区路灯照明达标率</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739" w:hRule="atLeast"/>
        </w:trPr>
        <w:tc>
          <w:tcPr>
            <w:tcW w:w="657" w:type="pct"/>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城区路灯照明及时性</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trHeight w:val="613" w:hRule="atLeast"/>
        </w:trPr>
        <w:tc>
          <w:tcPr>
            <w:tcW w:w="6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92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社会效益指标</w:t>
            </w:r>
          </w:p>
        </w:tc>
        <w:tc>
          <w:tcPr>
            <w:tcW w:w="2126"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w:t>
            </w:r>
          </w:p>
        </w:tc>
        <w:tc>
          <w:tcPr>
            <w:tcW w:w="12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gridAfter w:val="1"/>
          <w:wAfter w:w="216" w:type="pct"/>
          <w:trHeight w:val="799" w:hRule="atLeast"/>
        </w:trPr>
        <w:tc>
          <w:tcPr>
            <w:tcW w:w="4783" w:type="pct"/>
            <w:gridSpan w:val="9"/>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项目支出绩效目标表</w:t>
            </w:r>
          </w:p>
        </w:tc>
      </w:tr>
      <w:tr>
        <w:tblPrEx>
          <w:tblCellMar>
            <w:top w:w="0" w:type="dxa"/>
            <w:left w:w="0" w:type="dxa"/>
            <w:bottom w:w="0" w:type="dxa"/>
            <w:right w:w="0" w:type="dxa"/>
          </w:tblCellMar>
        </w:tblPrEx>
        <w:trPr>
          <w:gridAfter w:val="1"/>
          <w:wAfter w:w="216" w:type="pct"/>
          <w:trHeight w:val="462" w:hRule="atLeast"/>
        </w:trPr>
        <w:tc>
          <w:tcPr>
            <w:tcW w:w="4783" w:type="pct"/>
            <w:gridSpan w:val="9"/>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（2,022年度）</w:t>
            </w:r>
          </w:p>
        </w:tc>
      </w:tr>
      <w:tr>
        <w:tblPrEx>
          <w:tblCellMar>
            <w:top w:w="0" w:type="dxa"/>
            <w:left w:w="0" w:type="dxa"/>
            <w:bottom w:w="0" w:type="dxa"/>
            <w:right w:w="0" w:type="dxa"/>
          </w:tblCellMar>
        </w:tblPrEx>
        <w:trPr>
          <w:gridAfter w:val="1"/>
          <w:wAfter w:w="216" w:type="pct"/>
          <w:trHeight w:val="739" w:hRule="atLeast"/>
        </w:trPr>
        <w:tc>
          <w:tcPr>
            <w:tcW w:w="150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3274"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城区绿化养护服务费</w:t>
            </w:r>
          </w:p>
        </w:tc>
      </w:tr>
      <w:tr>
        <w:tblPrEx>
          <w:tblCellMar>
            <w:top w:w="0" w:type="dxa"/>
            <w:left w:w="0" w:type="dxa"/>
            <w:bottom w:w="0" w:type="dxa"/>
            <w:right w:w="0" w:type="dxa"/>
          </w:tblCellMar>
        </w:tblPrEx>
        <w:trPr>
          <w:gridAfter w:val="1"/>
          <w:wAfter w:w="216" w:type="pct"/>
          <w:trHeight w:val="739" w:hRule="atLeast"/>
        </w:trPr>
        <w:tc>
          <w:tcPr>
            <w:tcW w:w="150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主管部门及代码</w:t>
            </w:r>
          </w:p>
        </w:tc>
        <w:tc>
          <w:tcPr>
            <w:tcW w:w="114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304-兴国县城市管理局</w:t>
            </w:r>
          </w:p>
        </w:tc>
        <w:tc>
          <w:tcPr>
            <w:tcW w:w="95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实施单位</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兴国县市政公用事业服务中心</w:t>
            </w:r>
          </w:p>
        </w:tc>
      </w:tr>
      <w:tr>
        <w:tblPrEx>
          <w:tblCellMar>
            <w:top w:w="0" w:type="dxa"/>
            <w:left w:w="0" w:type="dxa"/>
            <w:bottom w:w="0" w:type="dxa"/>
            <w:right w:w="0" w:type="dxa"/>
          </w:tblCellMar>
        </w:tblPrEx>
        <w:trPr>
          <w:gridAfter w:val="1"/>
          <w:wAfter w:w="216" w:type="pct"/>
          <w:trHeight w:val="739" w:hRule="atLeast"/>
        </w:trPr>
        <w:tc>
          <w:tcPr>
            <w:tcW w:w="1509" w:type="pct"/>
            <w:gridSpan w:val="3"/>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c>
          <w:tcPr>
            <w:tcW w:w="114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年度资金总额</w:t>
            </w:r>
          </w:p>
        </w:tc>
        <w:tc>
          <w:tcPr>
            <w:tcW w:w="21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1560</w:t>
            </w:r>
          </w:p>
        </w:tc>
      </w:tr>
      <w:tr>
        <w:tblPrEx>
          <w:tblCellMar>
            <w:top w:w="0" w:type="dxa"/>
            <w:left w:w="0" w:type="dxa"/>
            <w:bottom w:w="0" w:type="dxa"/>
            <w:right w:w="0" w:type="dxa"/>
          </w:tblCellMar>
        </w:tblPrEx>
        <w:trPr>
          <w:gridAfter w:val="1"/>
          <w:wAfter w:w="216" w:type="pct"/>
          <w:trHeight w:val="739" w:hRule="atLeast"/>
        </w:trPr>
        <w:tc>
          <w:tcPr>
            <w:tcW w:w="1509"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4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其中：财政拨款</w:t>
            </w:r>
          </w:p>
        </w:tc>
        <w:tc>
          <w:tcPr>
            <w:tcW w:w="21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1560</w:t>
            </w:r>
          </w:p>
        </w:tc>
      </w:tr>
      <w:tr>
        <w:tblPrEx>
          <w:tblCellMar>
            <w:top w:w="0" w:type="dxa"/>
            <w:left w:w="0" w:type="dxa"/>
            <w:bottom w:w="0" w:type="dxa"/>
            <w:right w:w="0" w:type="dxa"/>
          </w:tblCellMar>
        </w:tblPrEx>
        <w:trPr>
          <w:gridAfter w:val="1"/>
          <w:wAfter w:w="216" w:type="pct"/>
          <w:trHeight w:val="739" w:hRule="atLeast"/>
        </w:trPr>
        <w:tc>
          <w:tcPr>
            <w:tcW w:w="1509"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4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其他资金</w:t>
            </w:r>
          </w:p>
        </w:tc>
        <w:tc>
          <w:tcPr>
            <w:tcW w:w="21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gridAfter w:val="1"/>
          <w:wAfter w:w="216" w:type="pct"/>
          <w:trHeight w:val="739" w:hRule="atLeast"/>
        </w:trPr>
        <w:tc>
          <w:tcPr>
            <w:tcW w:w="1509"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4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213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CellMar>
            <w:top w:w="0" w:type="dxa"/>
            <w:left w:w="0" w:type="dxa"/>
            <w:bottom w:w="0" w:type="dxa"/>
            <w:right w:w="0" w:type="dxa"/>
          </w:tblCellMar>
        </w:tblPrEx>
        <w:trPr>
          <w:gridAfter w:val="1"/>
          <w:wAfter w:w="216" w:type="pct"/>
          <w:trHeight w:val="619" w:hRule="atLeast"/>
        </w:trPr>
        <w:tc>
          <w:tcPr>
            <w:tcW w:w="4783"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年度绩效目标</w:t>
            </w:r>
          </w:p>
        </w:tc>
      </w:tr>
      <w:tr>
        <w:tblPrEx>
          <w:tblCellMar>
            <w:top w:w="0" w:type="dxa"/>
            <w:left w:w="0" w:type="dxa"/>
            <w:bottom w:w="0" w:type="dxa"/>
            <w:right w:w="0" w:type="dxa"/>
          </w:tblCellMar>
        </w:tblPrEx>
        <w:trPr>
          <w:gridAfter w:val="1"/>
          <w:wAfter w:w="216" w:type="pct"/>
          <w:trHeight w:val="982" w:hRule="atLeast"/>
        </w:trPr>
        <w:tc>
          <w:tcPr>
            <w:tcW w:w="4783" w:type="pct"/>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城区绿化养护服务费</w:t>
            </w:r>
          </w:p>
        </w:tc>
      </w:tr>
      <w:tr>
        <w:tblPrEx>
          <w:tblCellMar>
            <w:top w:w="0" w:type="dxa"/>
            <w:left w:w="0" w:type="dxa"/>
            <w:bottom w:w="0" w:type="dxa"/>
            <w:right w:w="0" w:type="dxa"/>
          </w:tblCellMar>
        </w:tblPrEx>
        <w:trPr>
          <w:gridAfter w:val="1"/>
          <w:wAfter w:w="216" w:type="pct"/>
          <w:trHeight w:val="619" w:hRule="atLeast"/>
        </w:trPr>
        <w:tc>
          <w:tcPr>
            <w:tcW w:w="55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指标值</w:t>
            </w:r>
          </w:p>
        </w:tc>
      </w:tr>
      <w:tr>
        <w:tblPrEx>
          <w:tblCellMar>
            <w:top w:w="0" w:type="dxa"/>
            <w:left w:w="0" w:type="dxa"/>
            <w:bottom w:w="0" w:type="dxa"/>
            <w:right w:w="0" w:type="dxa"/>
          </w:tblCellMar>
        </w:tblPrEx>
        <w:trPr>
          <w:gridAfter w:val="1"/>
          <w:wAfter w:w="216" w:type="pct"/>
          <w:trHeight w:val="739" w:hRule="atLeast"/>
        </w:trPr>
        <w:tc>
          <w:tcPr>
            <w:tcW w:w="55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经济成本指标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城区绿化养护服务经济成本</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≥1560万元</w:t>
            </w:r>
          </w:p>
        </w:tc>
      </w:tr>
      <w:tr>
        <w:tblPrEx>
          <w:tblCellMar>
            <w:top w:w="0" w:type="dxa"/>
            <w:left w:w="0" w:type="dxa"/>
            <w:bottom w:w="0" w:type="dxa"/>
            <w:right w:w="0" w:type="dxa"/>
          </w:tblCellMar>
        </w:tblPrEx>
        <w:trPr>
          <w:gridAfter w:val="1"/>
          <w:wAfter w:w="216" w:type="pct"/>
          <w:trHeight w:val="739" w:hRule="atLeast"/>
        </w:trPr>
        <w:tc>
          <w:tcPr>
            <w:tcW w:w="55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社会成本指标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城区绿化养护服务社会成本</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≥1560万元</w:t>
            </w:r>
          </w:p>
        </w:tc>
      </w:tr>
      <w:tr>
        <w:tblPrEx>
          <w:tblCellMar>
            <w:top w:w="0" w:type="dxa"/>
            <w:left w:w="0" w:type="dxa"/>
            <w:bottom w:w="0" w:type="dxa"/>
            <w:right w:w="0" w:type="dxa"/>
          </w:tblCellMar>
        </w:tblPrEx>
        <w:trPr>
          <w:gridAfter w:val="1"/>
          <w:wAfter w:w="216" w:type="pct"/>
          <w:trHeight w:val="739" w:hRule="atLeast"/>
        </w:trPr>
        <w:tc>
          <w:tcPr>
            <w:tcW w:w="55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生态环境成本指标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项目生态环境成本</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≥1560万元</w:t>
            </w:r>
          </w:p>
        </w:tc>
      </w:tr>
      <w:tr>
        <w:tblPrEx>
          <w:tblCellMar>
            <w:top w:w="0" w:type="dxa"/>
            <w:left w:w="0" w:type="dxa"/>
            <w:bottom w:w="0" w:type="dxa"/>
            <w:right w:w="0" w:type="dxa"/>
          </w:tblCellMar>
        </w:tblPrEx>
        <w:trPr>
          <w:gridAfter w:val="1"/>
          <w:wAfter w:w="216" w:type="pct"/>
          <w:trHeight w:val="739" w:hRule="atLeast"/>
        </w:trPr>
        <w:tc>
          <w:tcPr>
            <w:tcW w:w="55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产出指标</w:t>
            </w: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城区绿化养护服务费</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≥1560万元</w:t>
            </w:r>
          </w:p>
        </w:tc>
      </w:tr>
      <w:tr>
        <w:tblPrEx>
          <w:tblCellMar>
            <w:top w:w="0" w:type="dxa"/>
            <w:left w:w="0" w:type="dxa"/>
            <w:bottom w:w="0" w:type="dxa"/>
            <w:right w:w="0" w:type="dxa"/>
          </w:tblCellMar>
        </w:tblPrEx>
        <w:trPr>
          <w:gridAfter w:val="1"/>
          <w:wAfter w:w="216" w:type="pct"/>
          <w:trHeight w:val="739" w:hRule="atLeast"/>
        </w:trPr>
        <w:tc>
          <w:tcPr>
            <w:tcW w:w="55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城区绿化养护服务达标率</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gridAfter w:val="1"/>
          <w:wAfter w:w="216" w:type="pct"/>
          <w:trHeight w:val="739" w:hRule="atLeast"/>
        </w:trPr>
        <w:tc>
          <w:tcPr>
            <w:tcW w:w="55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城区绿化养护服务及时性</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r>
        <w:tblPrEx>
          <w:tblCellMar>
            <w:top w:w="0" w:type="dxa"/>
            <w:left w:w="0" w:type="dxa"/>
            <w:bottom w:w="0" w:type="dxa"/>
            <w:right w:w="0" w:type="dxa"/>
          </w:tblCellMar>
        </w:tblPrEx>
        <w:trPr>
          <w:gridAfter w:val="1"/>
          <w:wAfter w:w="216" w:type="pct"/>
          <w:trHeight w:val="739" w:hRule="atLeast"/>
        </w:trPr>
        <w:tc>
          <w:tcPr>
            <w:tcW w:w="55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9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社会效益指标</w:t>
            </w:r>
          </w:p>
        </w:tc>
        <w:tc>
          <w:tcPr>
            <w:tcW w:w="209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w:t>
            </w:r>
          </w:p>
        </w:tc>
        <w:tc>
          <w:tcPr>
            <w:tcW w:w="117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≥95百分比</w:t>
            </w:r>
          </w:p>
        </w:tc>
      </w:tr>
    </w:tbl>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pStyle w:val="2"/>
        <w:rPr>
          <w:rFonts w:hint="eastAsia"/>
        </w:rPr>
      </w:pP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wYmMyNWE3NzdlYTMzZDBmYzEyNTA3ZjE4OWU5ZjYifQ=="/>
  </w:docVars>
  <w:rsids>
    <w:rsidRoot w:val="445E02C8"/>
    <w:rsid w:val="00D074CA"/>
    <w:rsid w:val="012A6BDB"/>
    <w:rsid w:val="0168325F"/>
    <w:rsid w:val="030243E2"/>
    <w:rsid w:val="039842CF"/>
    <w:rsid w:val="05C50C80"/>
    <w:rsid w:val="063876A4"/>
    <w:rsid w:val="063F4ED6"/>
    <w:rsid w:val="070D0B30"/>
    <w:rsid w:val="072D05FA"/>
    <w:rsid w:val="07F12200"/>
    <w:rsid w:val="08514A4D"/>
    <w:rsid w:val="08D538D0"/>
    <w:rsid w:val="092959CA"/>
    <w:rsid w:val="0DDA67EA"/>
    <w:rsid w:val="0F735BF1"/>
    <w:rsid w:val="0FF02D9D"/>
    <w:rsid w:val="10756D15"/>
    <w:rsid w:val="10947BCD"/>
    <w:rsid w:val="1211524D"/>
    <w:rsid w:val="135E2714"/>
    <w:rsid w:val="14A966E2"/>
    <w:rsid w:val="157B57FF"/>
    <w:rsid w:val="177C760C"/>
    <w:rsid w:val="18AB01A9"/>
    <w:rsid w:val="19B65058"/>
    <w:rsid w:val="19C67996"/>
    <w:rsid w:val="19E73876"/>
    <w:rsid w:val="1B8D1DE8"/>
    <w:rsid w:val="1BC670A8"/>
    <w:rsid w:val="1C112A19"/>
    <w:rsid w:val="1CDA105D"/>
    <w:rsid w:val="1E026ABD"/>
    <w:rsid w:val="1F7E5722"/>
    <w:rsid w:val="20B87907"/>
    <w:rsid w:val="222A65E3"/>
    <w:rsid w:val="22FF181D"/>
    <w:rsid w:val="23B87C1E"/>
    <w:rsid w:val="2533755C"/>
    <w:rsid w:val="255D0A7D"/>
    <w:rsid w:val="2606465D"/>
    <w:rsid w:val="27BA5D13"/>
    <w:rsid w:val="28471F46"/>
    <w:rsid w:val="29736AC1"/>
    <w:rsid w:val="29F524E7"/>
    <w:rsid w:val="2BFC0FF0"/>
    <w:rsid w:val="2CA70830"/>
    <w:rsid w:val="2E2B796A"/>
    <w:rsid w:val="2FC5794B"/>
    <w:rsid w:val="2FE34275"/>
    <w:rsid w:val="301F2021"/>
    <w:rsid w:val="33D11B59"/>
    <w:rsid w:val="33D60378"/>
    <w:rsid w:val="363E2205"/>
    <w:rsid w:val="3694469A"/>
    <w:rsid w:val="36F01751"/>
    <w:rsid w:val="3760090F"/>
    <w:rsid w:val="379F4F25"/>
    <w:rsid w:val="3A667F7C"/>
    <w:rsid w:val="3B5A363D"/>
    <w:rsid w:val="3BAC2637"/>
    <w:rsid w:val="3C2123AD"/>
    <w:rsid w:val="3C5502A8"/>
    <w:rsid w:val="3C5A766D"/>
    <w:rsid w:val="3D915310"/>
    <w:rsid w:val="3DA9265A"/>
    <w:rsid w:val="3DE6565C"/>
    <w:rsid w:val="3EC84D62"/>
    <w:rsid w:val="41C45CB4"/>
    <w:rsid w:val="44446C38"/>
    <w:rsid w:val="445E02C8"/>
    <w:rsid w:val="449556E6"/>
    <w:rsid w:val="46C10A14"/>
    <w:rsid w:val="480F755D"/>
    <w:rsid w:val="48253225"/>
    <w:rsid w:val="48901F28"/>
    <w:rsid w:val="4A4A2ACF"/>
    <w:rsid w:val="4A985F30"/>
    <w:rsid w:val="4AF15640"/>
    <w:rsid w:val="4BE34F89"/>
    <w:rsid w:val="4CAA3CF8"/>
    <w:rsid w:val="4D6D0D6D"/>
    <w:rsid w:val="4D866514"/>
    <w:rsid w:val="4D8C5C8A"/>
    <w:rsid w:val="4DAB6C92"/>
    <w:rsid w:val="4E3F6BD5"/>
    <w:rsid w:val="4E612DB2"/>
    <w:rsid w:val="4F4F0AED"/>
    <w:rsid w:val="4F7B372A"/>
    <w:rsid w:val="4F831051"/>
    <w:rsid w:val="4F833B28"/>
    <w:rsid w:val="4FE6053C"/>
    <w:rsid w:val="51AE1918"/>
    <w:rsid w:val="51C15D6C"/>
    <w:rsid w:val="520914C1"/>
    <w:rsid w:val="53890B0C"/>
    <w:rsid w:val="54161C73"/>
    <w:rsid w:val="55937A20"/>
    <w:rsid w:val="56EB5C7A"/>
    <w:rsid w:val="571F4620"/>
    <w:rsid w:val="575256B8"/>
    <w:rsid w:val="57A75A04"/>
    <w:rsid w:val="58346B6C"/>
    <w:rsid w:val="59A6663F"/>
    <w:rsid w:val="5A821E78"/>
    <w:rsid w:val="5A987886"/>
    <w:rsid w:val="5ACB1A0A"/>
    <w:rsid w:val="5B4B22D5"/>
    <w:rsid w:val="5B800A46"/>
    <w:rsid w:val="5BBE50CA"/>
    <w:rsid w:val="5C593045"/>
    <w:rsid w:val="5D944335"/>
    <w:rsid w:val="5FF23021"/>
    <w:rsid w:val="602E669F"/>
    <w:rsid w:val="606D5311"/>
    <w:rsid w:val="608F34D9"/>
    <w:rsid w:val="611F660B"/>
    <w:rsid w:val="616E5333"/>
    <w:rsid w:val="61B256D1"/>
    <w:rsid w:val="633E32D9"/>
    <w:rsid w:val="635B1A77"/>
    <w:rsid w:val="639E415F"/>
    <w:rsid w:val="646625F9"/>
    <w:rsid w:val="64BB2AEF"/>
    <w:rsid w:val="66231A10"/>
    <w:rsid w:val="664F7993"/>
    <w:rsid w:val="673426E5"/>
    <w:rsid w:val="67620061"/>
    <w:rsid w:val="67693682"/>
    <w:rsid w:val="67FD341E"/>
    <w:rsid w:val="6808604B"/>
    <w:rsid w:val="68336E40"/>
    <w:rsid w:val="6874548F"/>
    <w:rsid w:val="6A271AEB"/>
    <w:rsid w:val="6A6D3A81"/>
    <w:rsid w:val="6C004BF4"/>
    <w:rsid w:val="6C6E6699"/>
    <w:rsid w:val="6CC30793"/>
    <w:rsid w:val="6DE9247B"/>
    <w:rsid w:val="6F643EC4"/>
    <w:rsid w:val="70F27F04"/>
    <w:rsid w:val="710E2ED9"/>
    <w:rsid w:val="712D6B22"/>
    <w:rsid w:val="715A543E"/>
    <w:rsid w:val="716B31A7"/>
    <w:rsid w:val="72404633"/>
    <w:rsid w:val="729F57FE"/>
    <w:rsid w:val="72FC49FE"/>
    <w:rsid w:val="72FD0776"/>
    <w:rsid w:val="73A91D83"/>
    <w:rsid w:val="744877CF"/>
    <w:rsid w:val="75E33C54"/>
    <w:rsid w:val="75E8126A"/>
    <w:rsid w:val="77AF6950"/>
    <w:rsid w:val="784C3D32"/>
    <w:rsid w:val="786D1C23"/>
    <w:rsid w:val="788A30E6"/>
    <w:rsid w:val="79081DA3"/>
    <w:rsid w:val="791F31F5"/>
    <w:rsid w:val="79406E32"/>
    <w:rsid w:val="79AE125E"/>
    <w:rsid w:val="7A6D1D3E"/>
    <w:rsid w:val="7AAD65DE"/>
    <w:rsid w:val="7AFA3914"/>
    <w:rsid w:val="7C2B3C5E"/>
    <w:rsid w:val="7CE87DA1"/>
    <w:rsid w:val="7D5316BF"/>
    <w:rsid w:val="7E503E50"/>
    <w:rsid w:val="7EA673E0"/>
    <w:rsid w:val="7F5636E8"/>
    <w:rsid w:val="7FC93EBA"/>
    <w:rsid w:val="7FD12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11644</Words>
  <Characters>15625</Characters>
  <Lines>0</Lines>
  <Paragraphs>0</Paragraphs>
  <TotalTime>21</TotalTime>
  <ScaleCrop>false</ScaleCrop>
  <LinksUpToDate>false</LinksUpToDate>
  <CharactersWithSpaces>16068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甘荀</cp:lastModifiedBy>
  <cp:lastPrinted>2023-06-21T02:49:00Z</cp:lastPrinted>
  <dcterms:modified xsi:type="dcterms:W3CDTF">2023-06-26T00:44:50Z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ED6C51FA99CA4BBD9B70DA4E66DF2F00_13</vt:lpwstr>
  </property>
</Properties>
</file>