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p>
    <w:p>
      <w:pPr>
        <w:spacing w:line="560" w:lineRule="exact"/>
        <w:jc w:val="center"/>
        <w:rPr>
          <w:rFonts w:hint="eastAsia" w:ascii="仿宋_GB2312" w:hAnsi="仿宋_GB2312" w:eastAsia="仿宋_GB2312" w:cs="仿宋_GB2312"/>
          <w:b/>
          <w:bCs w:val="0"/>
          <w:sz w:val="36"/>
          <w:szCs w:val="36"/>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sz w:val="44"/>
          <w:szCs w:val="44"/>
          <w:lang w:val="en-US" w:eastAsia="zh-CN"/>
          <w14:textFill>
            <w14:solidFill>
              <w14:schemeClr w14:val="tx1"/>
            </w14:solidFill>
          </w14:textFill>
        </w:rPr>
        <w:t xml:space="preserve"> </w:t>
      </w:r>
      <w:r>
        <w:rPr>
          <w:rFonts w:hint="eastAsia" w:ascii="仿宋_GB2312" w:hAnsi="仿宋_GB2312" w:eastAsia="仿宋_GB2312" w:cs="仿宋_GB2312"/>
          <w:b/>
          <w:bCs w:val="0"/>
          <w:color w:val="000000" w:themeColor="text1"/>
          <w:sz w:val="44"/>
          <w:szCs w:val="44"/>
          <w:lang w:eastAsia="zh-CN"/>
          <w14:textFill>
            <w14:solidFill>
              <w14:schemeClr w14:val="tx1"/>
            </w14:solidFill>
          </w14:textFill>
        </w:rPr>
        <w:t>江西兴国经济开发区管理委员会</w:t>
      </w:r>
      <w:r>
        <w:rPr>
          <w:rFonts w:hint="eastAsia" w:ascii="仿宋_GB2312" w:hAnsi="仿宋_GB2312" w:eastAsia="仿宋_GB2312" w:cs="仿宋_GB2312"/>
          <w:b/>
          <w:bCs w:val="0"/>
          <w:color w:val="000000" w:themeColor="text1"/>
          <w:sz w:val="44"/>
          <w:szCs w:val="44"/>
          <w14:textFill>
            <w14:solidFill>
              <w14:schemeClr w14:val="tx1"/>
            </w14:solidFill>
          </w14:textFill>
        </w:rPr>
        <w:t>2022年</w:t>
      </w:r>
      <w:r>
        <w:rPr>
          <w:rFonts w:hint="eastAsia" w:ascii="仿宋_GB2312" w:hAnsi="仿宋_GB2312" w:eastAsia="仿宋_GB2312" w:cs="仿宋_GB2312"/>
          <w:b/>
          <w:bCs w:val="0"/>
          <w:color w:val="000000" w:themeColor="text1"/>
          <w:sz w:val="44"/>
          <w:szCs w:val="44"/>
          <w:lang w:eastAsia="zh-CN"/>
          <w14:textFill>
            <w14:solidFill>
              <w14:schemeClr w14:val="tx1"/>
            </w14:solidFill>
          </w14:textFill>
        </w:rPr>
        <w:t>预</w:t>
      </w:r>
      <w:r>
        <w:rPr>
          <w:rFonts w:hint="eastAsia" w:ascii="仿宋_GB2312" w:hAnsi="仿宋_GB2312" w:eastAsia="仿宋_GB2312" w:cs="仿宋_GB2312"/>
          <w:b/>
          <w:bCs w:val="0"/>
          <w:color w:val="000000" w:themeColor="text1"/>
          <w:sz w:val="44"/>
          <w:szCs w:val="44"/>
          <w14:textFill>
            <w14:solidFill>
              <w14:schemeClr w14:val="tx1"/>
            </w14:solidFill>
          </w14:textFill>
        </w:rPr>
        <w:t>算编制说明</w:t>
      </w:r>
    </w:p>
    <w:p>
      <w:pPr>
        <w:spacing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  录</w:t>
      </w:r>
    </w:p>
    <w:p>
      <w:pPr>
        <w:spacing w:line="560" w:lineRule="exact"/>
        <w:jc w:val="center"/>
        <w:rPr>
          <w:rFonts w:hint="eastAsia" w:ascii="仿宋_GB2312" w:hAnsi="仿宋_GB2312" w:eastAsia="仿宋_GB2312" w:cs="仿宋_GB2312"/>
          <w:sz w:val="32"/>
          <w:szCs w:val="32"/>
        </w:rPr>
      </w:pPr>
    </w:p>
    <w:p>
      <w:pPr>
        <w:spacing w:line="560" w:lineRule="exact"/>
        <w:ind w:left="641" w:hanging="684" w:hangingChars="213"/>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第一部分</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lang w:eastAsia="zh-CN"/>
        </w:rPr>
        <w:t>江西兴国经济开发区管理委员会单位</w:t>
      </w:r>
      <w:r>
        <w:rPr>
          <w:rFonts w:hint="eastAsia" w:ascii="仿宋_GB2312" w:hAnsi="仿宋_GB2312" w:eastAsia="仿宋_GB2312" w:cs="仿宋_GB2312"/>
          <w:b/>
          <w:bCs/>
          <w:sz w:val="32"/>
          <w:szCs w:val="32"/>
        </w:rPr>
        <w:t>概况</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一、部门主要职责</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二、部门基本情况</w:t>
      </w:r>
    </w:p>
    <w:p>
      <w:pPr>
        <w:spacing w:line="560" w:lineRule="exact"/>
        <w:ind w:left="641" w:hanging="684" w:hangingChars="213"/>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第二部分</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lang w:eastAsia="zh-CN"/>
        </w:rPr>
        <w:t>江西兴国经济开发区管理委员会</w:t>
      </w:r>
      <w:r>
        <w:rPr>
          <w:rFonts w:hint="eastAsia" w:ascii="仿宋_GB2312" w:hAnsi="仿宋_GB2312" w:eastAsia="仿宋_GB2312" w:cs="仿宋_GB2312"/>
          <w:b/>
          <w:bCs/>
          <w:sz w:val="32"/>
          <w:szCs w:val="32"/>
        </w:rPr>
        <w:t>预算情况说明</w:t>
      </w:r>
    </w:p>
    <w:p>
      <w:pPr>
        <w:tabs>
          <w:tab w:val="left" w:pos="6178"/>
        </w:tabs>
        <w:spacing w:line="560" w:lineRule="exact"/>
        <w:ind w:left="634" w:leftChars="284" w:hanging="38" w:hangingChars="1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年部门预算收支情况说明</w:t>
      </w:r>
      <w:r>
        <w:rPr>
          <w:rFonts w:hint="eastAsia" w:ascii="仿宋_GB2312" w:hAnsi="仿宋_GB2312" w:eastAsia="仿宋_GB2312" w:cs="仿宋_GB2312"/>
          <w:sz w:val="32"/>
          <w:szCs w:val="32"/>
          <w:lang w:eastAsia="zh-CN"/>
        </w:rPr>
        <w:tab/>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年“三公”经费预算情况说明</w:t>
      </w:r>
    </w:p>
    <w:p>
      <w:pPr>
        <w:spacing w:line="560" w:lineRule="exact"/>
        <w:ind w:left="641" w:hanging="684" w:hangingChars="213"/>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第三部分</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lang w:eastAsia="zh-CN"/>
        </w:rPr>
        <w:t>江西兴国经济开发区管理委员会</w:t>
      </w:r>
      <w:r>
        <w:rPr>
          <w:rFonts w:hint="eastAsia" w:ascii="仿宋_GB2312" w:hAnsi="仿宋_GB2312" w:eastAsia="仿宋_GB2312" w:cs="仿宋_GB2312"/>
          <w:b/>
          <w:bCs/>
          <w:sz w:val="32"/>
          <w:szCs w:val="32"/>
        </w:rPr>
        <w:t>预算表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一、《收支预算总表》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二、《部门收入总表》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三、《部门支出总表》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四、《财政拨款收支总表》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五、《一般公共预算支出表》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六、《一般公共预算基本支出表》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七、《一般公共预算“三公”经费支出表》</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八、《政府性基金预算支出表》</w:t>
      </w:r>
    </w:p>
    <w:p>
      <w:pPr>
        <w:spacing w:line="560" w:lineRule="exact"/>
        <w:ind w:left="634" w:leftChars="284" w:hanging="38" w:hangingChars="12"/>
        <w:rPr>
          <w:rFonts w:hint="eastAsia" w:eastAsia="仿宋_GB2312"/>
          <w:lang w:eastAsia="zh-CN"/>
        </w:rPr>
      </w:pPr>
      <w:r>
        <w:rPr>
          <w:rFonts w:hint="eastAsia" w:ascii="仿宋_GB2312" w:hAnsi="仿宋_GB2312" w:eastAsia="仿宋_GB2312" w:cs="仿宋_GB2312"/>
          <w:sz w:val="32"/>
          <w:szCs w:val="32"/>
          <w:lang w:eastAsia="zh-CN"/>
        </w:rPr>
        <w:t>九</w:t>
      </w:r>
      <w:r>
        <w:rPr>
          <w:rFonts w:hint="eastAsia"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国有资本经营情况说明</w:t>
      </w:r>
      <w:r>
        <w:rPr>
          <w:rFonts w:hint="eastAsia" w:ascii="仿宋_GB2312" w:hAnsi="仿宋_GB2312" w:eastAsia="仿宋_GB2312" w:cs="仿宋_GB2312"/>
          <w:sz w:val="32"/>
          <w:szCs w:val="32"/>
        </w:rPr>
        <w:t>》</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、《部门整体支出绩效目标表》</w:t>
      </w:r>
    </w:p>
    <w:p>
      <w:pPr>
        <w:spacing w:line="56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、《项目支出绩效目标表》</w:t>
      </w:r>
      <w:r>
        <w:rPr>
          <w:rFonts w:hint="eastAsia" w:ascii="仿宋_GB2312" w:hAnsi="仿宋_GB2312" w:eastAsia="仿宋_GB2312" w:cs="仿宋_GB2312"/>
          <w:sz w:val="32"/>
          <w:szCs w:val="32"/>
        </w:rPr>
        <w:cr/>
      </w:r>
      <w:r>
        <w:rPr>
          <w:rFonts w:hint="eastAsia" w:ascii="仿宋_GB2312" w:hAnsi="仿宋_GB2312" w:eastAsia="仿宋_GB2312" w:cs="仿宋_GB2312"/>
          <w:b/>
          <w:bCs/>
          <w:sz w:val="32"/>
          <w:szCs w:val="32"/>
        </w:rPr>
        <w:t>第四部分 名词解释</w:t>
      </w:r>
    </w:p>
    <w:p>
      <w:pPr>
        <w:spacing w:line="560" w:lineRule="exact"/>
        <w:jc w:val="center"/>
        <w:rPr>
          <w:rFonts w:hint="eastAsia" w:ascii="仿宋_GB2312" w:hAnsi="仿宋_GB2312" w:eastAsia="仿宋_GB2312" w:cs="仿宋_GB2312"/>
          <w:b/>
          <w:bCs/>
          <w:sz w:val="32"/>
          <w:szCs w:val="32"/>
        </w:rPr>
      </w:pPr>
    </w:p>
    <w:p>
      <w:pPr>
        <w:spacing w:line="56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第一部</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lang w:eastAsia="zh-CN"/>
        </w:rPr>
        <w:t>江西兴国经济开发区管理委员会</w:t>
      </w:r>
      <w:r>
        <w:rPr>
          <w:rFonts w:hint="eastAsia" w:ascii="仿宋_GB2312" w:hAnsi="仿宋_GB2312" w:eastAsia="仿宋_GB2312" w:cs="仿宋_GB2312"/>
          <w:b/>
          <w:bCs/>
          <w:sz w:val="32"/>
          <w:szCs w:val="32"/>
        </w:rPr>
        <w:t>单位概况</w:t>
      </w:r>
    </w:p>
    <w:p>
      <w:pPr>
        <w:spacing w:line="560" w:lineRule="exact"/>
        <w:jc w:val="center"/>
        <w:rPr>
          <w:rFonts w:hint="eastAsia" w:ascii="仿宋_GB2312" w:hAnsi="仿宋_GB2312" w:eastAsia="仿宋_GB2312" w:cs="仿宋_GB2312"/>
          <w:b/>
          <w:bCs/>
          <w:sz w:val="32"/>
          <w:szCs w:val="32"/>
        </w:rPr>
      </w:pPr>
    </w:p>
    <w:p>
      <w:pPr>
        <w:spacing w:line="560" w:lineRule="exact"/>
        <w:ind w:left="10" w:leftChars="5"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一、单位主要职责</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受县人民政府委托，对开发区实行统一领导和管理，促进开发区工业发展。</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在服从县总体规划的前提下，编制开发区经济和社会发展总体规划、控制性详细规划、环境保护规划、产业发展规划以及加快开发区发展步伐的各系优惠政策、措施，经批准后组织实施。</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贯彻落实国家、省、市制定的有关开发区建设的各项方针政策、法律法规。依法制订并实施开发区各项管理制度。</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配合有关部门做好开发区土地的规划、征用、开发、出让和管理。</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负责开发区基础设施和公益设施的规划、设计、建设和管理。</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负责开发区招商引资工作，配合有关部门对入园项目规划建设情况进行监督管理。</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负责对开发区内各类企业、单位的监督、管理、指导和服务工作。</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负责开发区的财政、统计和国有资产管理工作。</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承办县委、县政府交办的其他事项。</w:t>
      </w:r>
    </w:p>
    <w:p>
      <w:pPr>
        <w:spacing w:line="560" w:lineRule="exact"/>
        <w:ind w:firstLine="640" w:firstLineChars="200"/>
        <w:rPr>
          <w:rFonts w:hint="eastAsia" w:ascii="仿宋_GB2312" w:hAnsi="仿宋_GB2312" w:eastAsia="仿宋_GB2312" w:cs="仿宋_GB2312"/>
          <w:sz w:val="32"/>
          <w:szCs w:val="32"/>
        </w:rPr>
      </w:pPr>
    </w:p>
    <w:p>
      <w:pPr>
        <w:spacing w:line="560" w:lineRule="exact"/>
        <w:ind w:left="10" w:leftChars="5"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二、单位基本情况</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纳入本套部门决算汇编范围的单位共  </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个，包括：</w:t>
      </w:r>
      <w:r>
        <w:rPr>
          <w:rFonts w:hint="eastAsia" w:ascii="仿宋_GB2312" w:hAnsi="仿宋_GB2312" w:eastAsia="仿宋_GB2312" w:cs="仿宋_GB2312"/>
          <w:sz w:val="32"/>
          <w:szCs w:val="32"/>
          <w:lang w:eastAsia="zh-CN"/>
        </w:rPr>
        <w:t>江西兴国经济开发区管理委员会。</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 xml:space="preserve">年实有人数 </w:t>
      </w:r>
      <w:r>
        <w:rPr>
          <w:rFonts w:hint="eastAsia" w:ascii="仿宋_GB2312" w:hAnsi="仿宋_GB2312" w:eastAsia="仿宋_GB2312" w:cs="仿宋_GB2312"/>
          <w:sz w:val="32"/>
          <w:szCs w:val="32"/>
          <w:lang w:val="en-US" w:eastAsia="zh-CN"/>
        </w:rPr>
        <w:t>39</w:t>
      </w:r>
      <w:r>
        <w:rPr>
          <w:rFonts w:hint="eastAsia" w:ascii="仿宋_GB2312" w:hAnsi="仿宋_GB2312" w:eastAsia="仿宋_GB2312" w:cs="仿宋_GB2312"/>
          <w:sz w:val="32"/>
          <w:szCs w:val="32"/>
        </w:rPr>
        <w:t xml:space="preserve"> 人，其中在职人员</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 xml:space="preserve">人，离休人员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人，退休人员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 人；年末其他人员 </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 xml:space="preserve"> 人；年末学生人数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人。</w:t>
      </w:r>
    </w:p>
    <w:p>
      <w:pPr>
        <w:spacing w:line="560" w:lineRule="exact"/>
        <w:jc w:val="center"/>
        <w:rPr>
          <w:rFonts w:hint="eastAsia" w:ascii="仿宋_GB2312" w:hAnsi="仿宋_GB2312" w:eastAsia="仿宋_GB2312" w:cs="仿宋_GB2312"/>
          <w:b w:val="0"/>
          <w:bCs w:val="0"/>
          <w:sz w:val="32"/>
          <w:szCs w:val="32"/>
        </w:rPr>
      </w:pPr>
    </w:p>
    <w:p>
      <w:pPr>
        <w:spacing w:line="56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第二部分 </w:t>
      </w:r>
      <w:r>
        <w:rPr>
          <w:rFonts w:hint="eastAsia" w:ascii="仿宋_GB2312" w:hAnsi="仿宋_GB2312" w:eastAsia="仿宋_GB2312" w:cs="仿宋_GB2312"/>
          <w:b/>
          <w:bCs/>
          <w:sz w:val="32"/>
          <w:szCs w:val="32"/>
          <w:lang w:eastAsia="zh-CN"/>
        </w:rPr>
        <w:t>江西兴国经济开发区管理委员会</w:t>
      </w:r>
      <w:r>
        <w:rPr>
          <w:rFonts w:hint="eastAsia" w:ascii="仿宋_GB2312" w:hAnsi="仿宋_GB2312" w:eastAsia="仿宋_GB2312" w:cs="仿宋_GB2312"/>
          <w:b/>
          <w:bCs/>
          <w:sz w:val="32"/>
          <w:szCs w:val="32"/>
          <w:lang w:val="en-US" w:eastAsia="zh-CN"/>
        </w:rPr>
        <w:t>2022</w:t>
      </w:r>
      <w:r>
        <w:rPr>
          <w:rFonts w:hint="eastAsia" w:ascii="仿宋_GB2312" w:hAnsi="仿宋_GB2312" w:eastAsia="仿宋_GB2312" w:cs="仿宋_GB2312"/>
          <w:b/>
          <w:bCs/>
          <w:sz w:val="32"/>
          <w:szCs w:val="32"/>
        </w:rPr>
        <w:t>年预算情况说明</w:t>
      </w:r>
    </w:p>
    <w:p>
      <w:pPr>
        <w:spacing w:line="560" w:lineRule="exact"/>
        <w:jc w:val="center"/>
        <w:rPr>
          <w:rFonts w:hint="eastAsia" w:ascii="仿宋_GB2312" w:hAnsi="仿宋_GB2312" w:eastAsia="仿宋_GB2312" w:cs="仿宋_GB2312"/>
          <w:b/>
          <w:bCs/>
          <w:sz w:val="32"/>
          <w:szCs w:val="32"/>
        </w:rPr>
      </w:pPr>
    </w:p>
    <w:p>
      <w:pPr>
        <w:spacing w:line="560" w:lineRule="exact"/>
        <w:ind w:left="10" w:leftChars="5"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w:t>
      </w:r>
      <w:r>
        <w:rPr>
          <w:rFonts w:hint="eastAsia" w:ascii="仿宋_GB2312" w:hAnsi="仿宋_GB2312" w:eastAsia="仿宋_GB2312" w:cs="仿宋_GB2312"/>
          <w:b/>
          <w:bCs/>
          <w:sz w:val="32"/>
          <w:szCs w:val="32"/>
          <w:lang w:val="en-US" w:eastAsia="zh-CN"/>
        </w:rPr>
        <w:t>2022</w:t>
      </w:r>
      <w:r>
        <w:rPr>
          <w:rFonts w:hint="eastAsia" w:ascii="仿宋_GB2312" w:hAnsi="仿宋_GB2312" w:eastAsia="仿宋_GB2312" w:cs="仿宋_GB2312"/>
          <w:b/>
          <w:bCs/>
          <w:sz w:val="32"/>
          <w:szCs w:val="32"/>
        </w:rPr>
        <w:t>年部门预算收支情况说明</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（一）收入预算情况</w:t>
      </w:r>
    </w:p>
    <w:p>
      <w:pPr>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lang w:eastAsia="zh-CN"/>
        </w:rPr>
        <w:t>年经开区收入预算总额为</w:t>
      </w:r>
      <w:r>
        <w:rPr>
          <w:rFonts w:hint="eastAsia" w:ascii="仿宋_GB2312" w:hAnsi="仿宋_GB2312" w:eastAsia="仿宋_GB2312" w:cs="仿宋_GB2312"/>
          <w:sz w:val="32"/>
          <w:szCs w:val="32"/>
          <w:lang w:val="en-US" w:eastAsia="zh-CN"/>
        </w:rPr>
        <w:t>11815.68万元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较上年预算安排增加10358.47万元（主要原因其他资金预算增加）增加710.84%。</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lang w:eastAsia="zh-CN"/>
        </w:rPr>
        <w:t>其中：财政拨款收入</w:t>
      </w:r>
      <w:r>
        <w:rPr>
          <w:rFonts w:hint="eastAsia" w:ascii="仿宋_GB2312" w:hAnsi="仿宋_GB2312" w:eastAsia="仿宋_GB2312" w:cs="仿宋_GB2312"/>
          <w:sz w:val="32"/>
          <w:szCs w:val="32"/>
          <w:lang w:val="en-US" w:eastAsia="zh-CN"/>
        </w:rPr>
        <w:t>1040.93</w:t>
      </w:r>
      <w:r>
        <w:rPr>
          <w:rFonts w:hint="eastAsia" w:ascii="仿宋_GB2312" w:hAnsi="仿宋_GB2312" w:eastAsia="仿宋_GB2312" w:cs="仿宋_GB2312"/>
          <w:sz w:val="32"/>
          <w:szCs w:val="32"/>
          <w:lang w:eastAsia="zh-CN"/>
        </w:rPr>
        <w:t>万元，占收入预算总额的</w:t>
      </w:r>
      <w:r>
        <w:rPr>
          <w:rFonts w:hint="eastAsia" w:ascii="仿宋_GB2312" w:hAnsi="仿宋_GB2312" w:eastAsia="仿宋_GB2312" w:cs="仿宋_GB2312"/>
          <w:sz w:val="32"/>
          <w:szCs w:val="32"/>
          <w:lang w:val="en-US" w:eastAsia="zh-CN"/>
        </w:rPr>
        <w:t>8.81 %</w:t>
      </w:r>
      <w:r>
        <w:rPr>
          <w:rFonts w:hint="eastAsia" w:ascii="仿宋_GB2312" w:hAnsi="仿宋_GB2312" w:eastAsia="仿宋_GB2312" w:cs="仿宋_GB2312"/>
          <w:sz w:val="32"/>
          <w:szCs w:val="32"/>
          <w:lang w:eastAsia="zh-CN"/>
        </w:rPr>
        <w:t>，纳入预算管理的非税收入0万元；事业收入0万元，占收入预算总额的0%；事业单位经营收入0万元，占收入预算总额的0%；其他收入</w:t>
      </w:r>
      <w:r>
        <w:rPr>
          <w:rFonts w:hint="eastAsia" w:ascii="仿宋_GB2312" w:hAnsi="仿宋_GB2312" w:eastAsia="仿宋_GB2312" w:cs="仿宋_GB2312"/>
          <w:sz w:val="32"/>
          <w:szCs w:val="32"/>
          <w:lang w:val="en-US" w:eastAsia="zh-CN"/>
        </w:rPr>
        <w:t>7023.52</w:t>
      </w:r>
      <w:r>
        <w:rPr>
          <w:rFonts w:hint="eastAsia" w:ascii="仿宋_GB2312" w:hAnsi="仿宋_GB2312" w:eastAsia="仿宋_GB2312" w:cs="仿宋_GB2312"/>
          <w:sz w:val="32"/>
          <w:szCs w:val="32"/>
          <w:lang w:eastAsia="zh-CN"/>
        </w:rPr>
        <w:t>万元，占收入预算总额的</w:t>
      </w:r>
      <w:r>
        <w:rPr>
          <w:rFonts w:hint="eastAsia" w:ascii="仿宋_GB2312" w:hAnsi="仿宋_GB2312" w:eastAsia="仿宋_GB2312" w:cs="仿宋_GB2312"/>
          <w:sz w:val="32"/>
          <w:szCs w:val="32"/>
          <w:lang w:val="en-US" w:eastAsia="zh-CN"/>
        </w:rPr>
        <w:t xml:space="preserve">59.44 </w:t>
      </w:r>
      <w:r>
        <w:rPr>
          <w:rFonts w:hint="eastAsia" w:ascii="仿宋_GB2312" w:hAnsi="仿宋_GB2312" w:eastAsia="仿宋_GB2312" w:cs="仿宋_GB2312"/>
          <w:sz w:val="32"/>
          <w:szCs w:val="32"/>
          <w:lang w:eastAsia="zh-CN"/>
        </w:rPr>
        <w:t>%；上年结转（结余）</w:t>
      </w:r>
      <w:r>
        <w:rPr>
          <w:rFonts w:hint="eastAsia" w:ascii="仿宋_GB2312" w:hAnsi="仿宋_GB2312" w:eastAsia="仿宋_GB2312" w:cs="仿宋_GB2312"/>
          <w:sz w:val="32"/>
          <w:szCs w:val="32"/>
          <w:lang w:val="en-US" w:eastAsia="zh-CN"/>
        </w:rPr>
        <w:t>3751.23万元，</w:t>
      </w:r>
      <w:r>
        <w:rPr>
          <w:rFonts w:hint="eastAsia" w:ascii="仿宋_GB2312" w:hAnsi="仿宋_GB2312" w:eastAsia="仿宋_GB2312" w:cs="仿宋_GB2312"/>
          <w:sz w:val="32"/>
          <w:szCs w:val="32"/>
          <w:lang w:eastAsia="zh-CN"/>
        </w:rPr>
        <w:t>占收入预算总额的</w:t>
      </w:r>
      <w:r>
        <w:rPr>
          <w:rFonts w:hint="eastAsia" w:ascii="仿宋_GB2312" w:hAnsi="仿宋_GB2312" w:eastAsia="仿宋_GB2312" w:cs="仿宋_GB2312"/>
          <w:sz w:val="32"/>
          <w:szCs w:val="32"/>
          <w:lang w:val="en-US" w:eastAsia="zh-CN"/>
        </w:rPr>
        <w:t>31.75</w:t>
      </w:r>
      <w:r>
        <w:rPr>
          <w:rFonts w:hint="eastAsia" w:ascii="仿宋_GB2312" w:hAnsi="仿宋_GB2312" w:eastAsia="仿宋_GB2312" w:cs="仿宋_GB2312"/>
          <w:sz w:val="32"/>
          <w:szCs w:val="32"/>
          <w:lang w:eastAsia="zh-CN"/>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（二）支出预算情况</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2022年经开区支出预算总额为11815.68万元;较上年预算安排增加10358.47万元，增加710.84%。其中：</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按支出项目类别划分：</w:t>
      </w:r>
      <w:r>
        <w:rPr>
          <w:rFonts w:hint="default" w:ascii="仿宋_GB2312" w:hAnsi="仿宋_GB2312" w:eastAsia="仿宋_GB2312" w:cs="仿宋_GB2312"/>
          <w:sz w:val="32"/>
          <w:szCs w:val="32"/>
          <w:lang w:val="en-US" w:eastAsia="zh-CN"/>
        </w:rPr>
        <w:t>基本支出</w:t>
      </w:r>
      <w:r>
        <w:rPr>
          <w:rFonts w:hint="eastAsia" w:ascii="仿宋_GB2312" w:hAnsi="仿宋_GB2312" w:eastAsia="仿宋_GB2312" w:cs="仿宋_GB2312"/>
          <w:sz w:val="32"/>
          <w:szCs w:val="32"/>
          <w:lang w:val="en-US" w:eastAsia="zh-CN"/>
        </w:rPr>
        <w:t>237.</w:t>
      </w:r>
      <w:r>
        <w:rPr>
          <w:rFonts w:hint="default"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US" w:eastAsia="zh-CN"/>
        </w:rPr>
        <w:t>0</w:t>
      </w:r>
      <w:r>
        <w:rPr>
          <w:rFonts w:hint="default" w:ascii="仿宋_GB2312" w:hAnsi="仿宋_GB2312" w:eastAsia="仿宋_GB2312" w:cs="仿宋_GB2312"/>
          <w:sz w:val="32"/>
          <w:szCs w:val="32"/>
          <w:lang w:val="en-US" w:eastAsia="zh-CN"/>
        </w:rPr>
        <w:t>万元,项目支出</w:t>
      </w:r>
      <w:r>
        <w:rPr>
          <w:rFonts w:hint="eastAsia" w:ascii="仿宋_GB2312" w:hAnsi="仿宋_GB2312" w:eastAsia="仿宋_GB2312" w:cs="仿宋_GB2312"/>
          <w:sz w:val="32"/>
          <w:szCs w:val="32"/>
          <w:lang w:val="en-US" w:eastAsia="zh-CN"/>
        </w:rPr>
        <w:t>11578.17</w:t>
      </w:r>
      <w:r>
        <w:rPr>
          <w:rFonts w:hint="default"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lang w:val="en-US" w:eastAsia="zh-CN"/>
        </w:rPr>
        <w:t>。</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按支出功能科目类别划分：一般公共服务支出543.45万元，较上年预算安排减少46.73万元；社会保障和就业33.02万元，较上年预算安排增加14.06万元；卫生健康支出9.79万元，较上年预算安排减少4.25万元；住房保障支出24.71万元，较上年预算安排增加11.2万元；城乡社区支出4772.65万元，较上年预算安排增加4772.65万元；其他支出6432.06万元，较上年预算安排增加6432.06万元。</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按支出经济分类划分：工资福利支出200.95万元，商品和服务支出26.78万元，其他相关支出11587.95万元。</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（三）财政拨款支出情况</w:t>
      </w:r>
    </w:p>
    <w:p>
      <w:pPr>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sz w:val="32"/>
          <w:szCs w:val="32"/>
          <w:lang w:val="en-US" w:eastAsia="zh-CN"/>
        </w:rPr>
        <w:t>2022年经开区财政拨款支出预算1040.93万元，占支出预算总额的12.91%；较上年预算安排减少199.28万元，减少16.07 %。具体为：一般公共服务支出395.39 万元</w:t>
      </w:r>
      <w:r>
        <w:rPr>
          <w:rFonts w:hint="eastAsia" w:ascii="仿宋_GB2312" w:hAnsi="仿宋_GB2312" w:eastAsia="仿宋_GB2312" w:cs="仿宋_GB2312"/>
          <w:color w:val="auto"/>
          <w:sz w:val="32"/>
          <w:szCs w:val="32"/>
          <w:lang w:val="en-US" w:eastAsia="zh-CN"/>
        </w:rPr>
        <w:t>，较上年预算安排增加22.21万元</w:t>
      </w:r>
      <w:r>
        <w:rPr>
          <w:rFonts w:hint="eastAsia" w:ascii="仿宋_GB2312" w:hAnsi="仿宋_GB2312" w:eastAsia="仿宋_GB2312" w:cs="仿宋_GB2312"/>
          <w:sz w:val="32"/>
          <w:szCs w:val="32"/>
          <w:lang w:val="en-US" w:eastAsia="zh-CN"/>
        </w:rPr>
        <w:t>，占财政拨款支出的37.99%；社会保障和就业29.84万元</w:t>
      </w:r>
      <w:r>
        <w:rPr>
          <w:rFonts w:hint="eastAsia" w:ascii="仿宋_GB2312" w:hAnsi="仿宋_GB2312" w:eastAsia="仿宋_GB2312" w:cs="仿宋_GB2312"/>
          <w:color w:val="auto"/>
          <w:sz w:val="32"/>
          <w:szCs w:val="32"/>
          <w:lang w:val="en-US" w:eastAsia="zh-CN"/>
        </w:rPr>
        <w:t>，较上年预算安排增加10.88万元</w:t>
      </w:r>
      <w:r>
        <w:rPr>
          <w:rFonts w:hint="eastAsia" w:ascii="仿宋_GB2312" w:hAnsi="仿宋_GB2312" w:eastAsia="仿宋_GB2312" w:cs="仿宋_GB2312"/>
          <w:sz w:val="32"/>
          <w:szCs w:val="32"/>
          <w:lang w:val="en-US" w:eastAsia="zh-CN"/>
        </w:rPr>
        <w:t>，占财政拨款支出的2.87%；卫生健康支出9.79万元，</w:t>
      </w:r>
      <w:r>
        <w:rPr>
          <w:rFonts w:hint="eastAsia" w:ascii="仿宋_GB2312" w:hAnsi="仿宋_GB2312" w:eastAsia="仿宋_GB2312" w:cs="仿宋_GB2312"/>
          <w:color w:val="auto"/>
          <w:sz w:val="32"/>
          <w:szCs w:val="32"/>
          <w:lang w:val="en-US" w:eastAsia="zh-CN"/>
        </w:rPr>
        <w:t>较上年预算安排减少4.25万元，</w:t>
      </w:r>
      <w:r>
        <w:rPr>
          <w:rFonts w:hint="eastAsia" w:ascii="仿宋_GB2312" w:hAnsi="仿宋_GB2312" w:eastAsia="仿宋_GB2312" w:cs="仿宋_GB2312"/>
          <w:sz w:val="32"/>
          <w:szCs w:val="32"/>
          <w:lang w:val="en-US" w:eastAsia="zh-CN"/>
        </w:rPr>
        <w:t>占财政拨款支出的0.94%；城乡社区支出581.2万元</w:t>
      </w:r>
      <w:r>
        <w:rPr>
          <w:rFonts w:hint="eastAsia" w:ascii="仿宋_GB2312" w:hAnsi="仿宋_GB2312" w:eastAsia="仿宋_GB2312" w:cs="仿宋_GB2312"/>
          <w:color w:val="auto"/>
          <w:sz w:val="32"/>
          <w:szCs w:val="32"/>
          <w:lang w:val="en-US" w:eastAsia="zh-CN"/>
        </w:rPr>
        <w:t>，较上年预算安排增加</w:t>
      </w:r>
      <w:r>
        <w:rPr>
          <w:rFonts w:hint="eastAsia" w:ascii="仿宋_GB2312" w:hAnsi="仿宋_GB2312" w:eastAsia="仿宋_GB2312" w:cs="仿宋_GB2312"/>
          <w:sz w:val="32"/>
          <w:szCs w:val="32"/>
          <w:lang w:val="en-US" w:eastAsia="zh-CN"/>
        </w:rPr>
        <w:t>581.2</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sz w:val="32"/>
          <w:szCs w:val="32"/>
          <w:lang w:val="en-US" w:eastAsia="zh-CN"/>
        </w:rPr>
        <w:t>，占财政拨款支出的55.83%；住房保障支出24.71万元</w:t>
      </w:r>
      <w:r>
        <w:rPr>
          <w:rFonts w:hint="eastAsia" w:ascii="仿宋_GB2312" w:hAnsi="仿宋_GB2312" w:eastAsia="仿宋_GB2312" w:cs="仿宋_GB2312"/>
          <w:color w:val="auto"/>
          <w:sz w:val="32"/>
          <w:szCs w:val="32"/>
          <w:lang w:val="en-US" w:eastAsia="zh-CN"/>
        </w:rPr>
        <w:t>，较上年预算安排增加11.2万元</w:t>
      </w:r>
      <w:r>
        <w:rPr>
          <w:rFonts w:hint="eastAsia" w:ascii="仿宋_GB2312" w:hAnsi="仿宋_GB2312" w:eastAsia="仿宋_GB2312" w:cs="仿宋_GB2312"/>
          <w:sz w:val="32"/>
          <w:szCs w:val="32"/>
          <w:lang w:val="en-US" w:eastAsia="zh-CN"/>
        </w:rPr>
        <w:t>，占财政拨款支出的2.37%；按支出项目类别划分：</w:t>
      </w:r>
      <w:r>
        <w:rPr>
          <w:rFonts w:hint="default" w:ascii="仿宋_GB2312" w:hAnsi="仿宋_GB2312" w:eastAsia="仿宋_GB2312" w:cs="仿宋_GB2312"/>
          <w:sz w:val="32"/>
          <w:szCs w:val="32"/>
          <w:lang w:val="en-US" w:eastAsia="zh-CN"/>
        </w:rPr>
        <w:t>基本支出</w:t>
      </w:r>
      <w:r>
        <w:rPr>
          <w:rFonts w:hint="eastAsia" w:ascii="仿宋_GB2312" w:hAnsi="仿宋_GB2312" w:eastAsia="仿宋_GB2312" w:cs="仿宋_GB2312"/>
          <w:sz w:val="32"/>
          <w:szCs w:val="32"/>
          <w:lang w:val="en-US" w:eastAsia="zh-CN"/>
        </w:rPr>
        <w:t>227.73</w:t>
      </w:r>
      <w:r>
        <w:rPr>
          <w:rFonts w:hint="default" w:ascii="仿宋_GB2312" w:hAnsi="仿宋_GB2312" w:eastAsia="仿宋_GB2312" w:cs="仿宋_GB2312"/>
          <w:sz w:val="32"/>
          <w:szCs w:val="32"/>
          <w:lang w:val="en-US" w:eastAsia="zh-CN"/>
        </w:rPr>
        <w:t>万元,项目支出</w:t>
      </w:r>
      <w:r>
        <w:rPr>
          <w:rFonts w:hint="eastAsia" w:ascii="仿宋_GB2312" w:hAnsi="仿宋_GB2312" w:eastAsia="仿宋_GB2312" w:cs="仿宋_GB2312"/>
          <w:sz w:val="32"/>
          <w:szCs w:val="32"/>
          <w:lang w:val="en-US" w:eastAsia="zh-CN"/>
        </w:rPr>
        <w:t>232.00</w:t>
      </w:r>
      <w:r>
        <w:rPr>
          <w:rFonts w:hint="default"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lang w:val="en-US" w:eastAsia="zh-CN"/>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（四）政府性基金情况</w:t>
      </w:r>
    </w:p>
    <w:p>
      <w:p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2022年</w:t>
      </w:r>
      <w:r>
        <w:rPr>
          <w:rFonts w:hint="eastAsia" w:ascii="仿宋_GB2312" w:hAnsi="仿宋_GB2312" w:eastAsia="仿宋_GB2312" w:cs="仿宋_GB2312"/>
          <w:b w:val="0"/>
          <w:bCs w:val="0"/>
          <w:sz w:val="30"/>
          <w:szCs w:val="30"/>
        </w:rPr>
        <w:t>政府性基金</w:t>
      </w:r>
      <w:r>
        <w:rPr>
          <w:rFonts w:hint="eastAsia" w:ascii="仿宋_GB2312" w:hAnsi="仿宋_GB2312" w:eastAsia="仿宋_GB2312" w:cs="仿宋_GB2312"/>
          <w:sz w:val="30"/>
          <w:szCs w:val="30"/>
          <w:lang w:val="en-US" w:eastAsia="zh-CN"/>
        </w:rPr>
        <w:t>预算支出总额为581.2万元;</w:t>
      </w:r>
      <w:r>
        <w:rPr>
          <w:rFonts w:hint="eastAsia" w:ascii="仿宋_GB2312" w:hAnsi="仿宋_GB2312" w:eastAsia="仿宋_GB2312" w:cs="仿宋_GB2312"/>
          <w:sz w:val="32"/>
          <w:szCs w:val="32"/>
          <w:lang w:val="en-US" w:eastAsia="zh-CN"/>
        </w:rPr>
        <w:t>较上年预算安排增加13.68万元，增加2.41%。</w:t>
      </w:r>
      <w:r>
        <w:rPr>
          <w:rFonts w:hint="eastAsia" w:ascii="仿宋_GB2312" w:hAnsi="仿宋_GB2312" w:eastAsia="仿宋_GB2312" w:cs="仿宋_GB2312"/>
          <w:sz w:val="30"/>
          <w:szCs w:val="30"/>
          <w:lang w:val="en-US" w:eastAsia="zh-CN"/>
        </w:rPr>
        <w:t>其中：</w:t>
      </w:r>
    </w:p>
    <w:p>
      <w:pPr>
        <w:ind w:firstLine="426" w:firstLineChars="142"/>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按支出功能科目类别划分：其他国有土地使用权出让收入安排的支出147万元;污水处理设施建设运营434.2万元。</w:t>
      </w:r>
    </w:p>
    <w:p>
      <w:pPr>
        <w:ind w:firstLine="643" w:firstLineChars="200"/>
        <w:rPr>
          <w:rStyle w:val="10"/>
          <w:rFonts w:ascii="Adobe 仿宋 Std R" w:hAnsi="Adobe 仿宋 Std R" w:eastAsia="Adobe 仿宋 Std R"/>
          <w:b/>
          <w:sz w:val="32"/>
          <w:szCs w:val="32"/>
        </w:rPr>
      </w:pPr>
      <w:r>
        <w:rPr>
          <w:rStyle w:val="10"/>
          <w:rFonts w:hint="eastAsia" w:ascii="Adobe 仿宋 Std R" w:hAnsi="Adobe 仿宋 Std R" w:eastAsia="Adobe 仿宋 Std R"/>
          <w:b/>
          <w:sz w:val="32"/>
          <w:szCs w:val="32"/>
        </w:rPr>
        <w:t>（</w:t>
      </w:r>
      <w:r>
        <w:rPr>
          <w:rStyle w:val="10"/>
          <w:rFonts w:hint="eastAsia" w:ascii="Adobe 仿宋 Std R" w:hAnsi="Adobe 仿宋 Std R" w:eastAsia="Adobe 仿宋 Std R"/>
          <w:b/>
          <w:sz w:val="32"/>
          <w:szCs w:val="32"/>
          <w:lang w:eastAsia="zh-CN"/>
        </w:rPr>
        <w:t>五</w:t>
      </w:r>
      <w:r>
        <w:rPr>
          <w:rStyle w:val="10"/>
          <w:rFonts w:hint="eastAsia" w:ascii="Adobe 仿宋 Std R" w:hAnsi="Adobe 仿宋 Std R" w:eastAsia="Adobe 仿宋 Std R"/>
          <w:b/>
          <w:sz w:val="32"/>
          <w:szCs w:val="32"/>
        </w:rPr>
        <w:t>）国有资本经营情况</w:t>
      </w:r>
    </w:p>
    <w:p>
      <w:pPr>
        <w:ind w:firstLine="426" w:firstLineChars="142"/>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2022年江西兴国经济开发区管理委员会没有国有资本经营支出预算安排的支出。</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）机关运行经费等重要事项的说明</w:t>
      </w:r>
    </w:p>
    <w:p>
      <w:pPr>
        <w:spacing w:line="56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rPr>
        <w:t>单位机关运行费预算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26.78</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万元，比</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年预算增加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5.72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21.36</w:t>
      </w:r>
      <w:r>
        <w:rPr>
          <w:rFonts w:hint="eastAsia" w:ascii="仿宋_GB2312" w:hAnsi="仿宋_GB2312" w:eastAsia="仿宋_GB2312" w:cs="仿宋_GB2312"/>
          <w:sz w:val="32"/>
          <w:szCs w:val="32"/>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）政府采购情况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年政府采购总额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16.47</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万元，其中：政府采购货物预算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16.47</w:t>
      </w:r>
      <w:r>
        <w:rPr>
          <w:rFonts w:hint="eastAsia" w:ascii="仿宋_GB2312" w:hAnsi="仿宋_GB2312" w:eastAsia="仿宋_GB2312" w:cs="仿宋_GB2312"/>
          <w:sz w:val="32"/>
          <w:szCs w:val="32"/>
        </w:rPr>
        <w:t>万元、政府采购工程预算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万元、政府采购服务预算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）国有资产占有使用情况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年12月31日、部门共有车辆</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辆、其中、一般公务用车</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辆。</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年部门或单位预算安排购置车辆</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rPr>
        <w:t>辆，安排购置单位价值200万元以上大型设备具体为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）绩效目标设置情况</w:t>
      </w:r>
    </w:p>
    <w:p>
      <w:pPr>
        <w:spacing w:line="560" w:lineRule="exact"/>
        <w:ind w:firstLine="604" w:firstLineChars="18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年实行绩效目标管理的项目</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个，涉及资金</w:t>
      </w:r>
      <w:r>
        <w:rPr>
          <w:rFonts w:hint="eastAsia" w:ascii="仿宋_GB2312" w:hAnsi="仿宋_GB2312" w:eastAsia="仿宋_GB2312" w:cs="仿宋_GB2312"/>
          <w:color w:val="auto"/>
          <w:sz w:val="32"/>
          <w:szCs w:val="32"/>
          <w:lang w:val="en-US" w:eastAsia="zh-CN"/>
        </w:rPr>
        <w:t>160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lang w:val="en-US" w:eastAsia="zh-CN"/>
        </w:rPr>
        <w:t>其中：</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项目名称：村土地租赁费</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1.项目概述：租赁费按当年稻谷收购保护价格计算，支付四个村土地租赁费用</w:t>
      </w:r>
    </w:p>
    <w:p>
      <w:p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2.立项依据：兴办字【2002】133号</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3.实施主体：江西兴国经济开发区管理委员会</w:t>
      </w:r>
    </w:p>
    <w:p>
      <w:p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4.实施周期：2022年度</w:t>
      </w:r>
      <w:bookmarkStart w:id="0" w:name="_GoBack"/>
      <w:bookmarkEnd w:id="0"/>
    </w:p>
    <w:p>
      <w:p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5.年度预算安排：160万元</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6.年度绩效目标：按时支付四个村的土地租赁费用</w:t>
      </w:r>
    </w:p>
    <w:p>
      <w:p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7.实施方案：四个村的土地租赁费用，及时支付保障村民的利益</w:t>
      </w:r>
    </w:p>
    <w:p>
      <w:pPr>
        <w:pStyle w:val="2"/>
        <w:ind w:firstLine="640" w:firstLineChars="200"/>
        <w:rPr>
          <w:rFonts w:hint="default" w:cs="仿宋_GB2312"/>
          <w:color w:val="auto"/>
          <w:sz w:val="32"/>
          <w:szCs w:val="32"/>
          <w:lang w:val="en-US" w:eastAsia="zh-CN"/>
        </w:rPr>
      </w:pPr>
      <w:r>
        <w:rPr>
          <w:rFonts w:hint="eastAsia" w:cs="仿宋_GB2312"/>
          <w:color w:val="auto"/>
          <w:sz w:val="32"/>
          <w:szCs w:val="32"/>
          <w:lang w:val="en-US" w:eastAsia="zh-CN"/>
        </w:rPr>
        <w:t>8.</w:t>
      </w:r>
      <w:r>
        <w:rPr>
          <w:rFonts w:hint="default" w:cs="仿宋_GB2312"/>
          <w:color w:val="auto"/>
          <w:sz w:val="32"/>
          <w:szCs w:val="32"/>
          <w:lang w:val="en-US" w:eastAsia="zh-CN"/>
        </w:rPr>
        <w:t>绩效目标和指标</w:t>
      </w:r>
      <w:r>
        <w:rPr>
          <w:rFonts w:hint="eastAsia" w:cs="仿宋_GB2312"/>
          <w:color w:val="auto"/>
          <w:sz w:val="32"/>
          <w:szCs w:val="32"/>
          <w:lang w:val="en-US" w:eastAsia="zh-CN"/>
        </w:rPr>
        <w:t>：确保按照当年稻谷收购保护价格计算，如期支付；保障农民收入;满意度达到100%。</w:t>
      </w:r>
    </w:p>
    <w:p>
      <w:pPr>
        <w:spacing w:line="560" w:lineRule="exact"/>
        <w:ind w:left="10" w:leftChars="5"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2022</w:t>
      </w:r>
      <w:r>
        <w:rPr>
          <w:rFonts w:hint="eastAsia" w:ascii="仿宋_GB2312" w:hAnsi="仿宋_GB2312" w:eastAsia="仿宋_GB2312" w:cs="仿宋_GB2312"/>
          <w:b/>
          <w:bCs/>
          <w:sz w:val="32"/>
          <w:szCs w:val="32"/>
        </w:rPr>
        <w:t>年“三公”经费预算情况说明</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年兴国县</w:t>
      </w:r>
      <w:r>
        <w:rPr>
          <w:rFonts w:hint="eastAsia" w:ascii="仿宋_GB2312" w:hAnsi="仿宋_GB2312" w:eastAsia="仿宋_GB2312" w:cs="仿宋_GB2312"/>
          <w:color w:val="auto"/>
          <w:sz w:val="32"/>
          <w:szCs w:val="32"/>
          <w:lang w:eastAsia="zh-CN"/>
        </w:rPr>
        <w:t>经开区</w:t>
      </w:r>
      <w:r>
        <w:rPr>
          <w:rFonts w:hint="eastAsia" w:ascii="仿宋_GB2312" w:hAnsi="仿宋_GB2312" w:eastAsia="仿宋_GB2312" w:cs="仿宋_GB2312"/>
          <w:color w:val="auto"/>
          <w:sz w:val="32"/>
          <w:szCs w:val="32"/>
        </w:rPr>
        <w:t>“三公”经费一般公共预算安排</w:t>
      </w:r>
      <w:r>
        <w:rPr>
          <w:rFonts w:hint="eastAsia" w:ascii="仿宋_GB2312" w:hAnsi="仿宋_GB2312" w:eastAsia="仿宋_GB2312" w:cs="仿宋_GB2312"/>
          <w:color w:val="auto"/>
          <w:sz w:val="32"/>
          <w:szCs w:val="32"/>
          <w:lang w:val="en-US" w:eastAsia="zh-CN"/>
        </w:rPr>
        <w:t>32</w:t>
      </w:r>
      <w:r>
        <w:rPr>
          <w:rFonts w:hint="eastAsia" w:ascii="仿宋_GB2312" w:hAnsi="仿宋_GB2312" w:eastAsia="仿宋_GB2312" w:cs="仿宋_GB2312"/>
          <w:color w:val="auto"/>
          <w:sz w:val="32"/>
          <w:szCs w:val="32"/>
        </w:rPr>
        <w:t>万元。其中：</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因公出国（境）费</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万元，比上年增（减）</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万元，主</w:t>
      </w:r>
    </w:p>
    <w:p>
      <w:pPr>
        <w:spacing w:line="56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要原因是：</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公务接待费</w:t>
      </w:r>
      <w:r>
        <w:rPr>
          <w:rFonts w:hint="eastAsia" w:ascii="仿宋_GB2312" w:hAnsi="仿宋_GB2312" w:eastAsia="仿宋_GB2312" w:cs="仿宋_GB2312"/>
          <w:color w:val="auto"/>
          <w:sz w:val="32"/>
          <w:szCs w:val="32"/>
          <w:lang w:val="en-US" w:eastAsia="zh-CN"/>
        </w:rPr>
        <w:t>32</w:t>
      </w:r>
      <w:r>
        <w:rPr>
          <w:rFonts w:hint="eastAsia" w:ascii="仿宋_GB2312" w:hAnsi="仿宋_GB2312" w:eastAsia="仿宋_GB2312" w:cs="仿宋_GB2312"/>
          <w:color w:val="auto"/>
          <w:sz w:val="32"/>
          <w:szCs w:val="32"/>
        </w:rPr>
        <w:t>万元，比上年增</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万元，主要原因</w:t>
      </w:r>
    </w:p>
    <w:p>
      <w:pPr>
        <w:spacing w:line="56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是：</w:t>
      </w:r>
      <w:r>
        <w:rPr>
          <w:rFonts w:hint="eastAsia" w:ascii="仿宋_GB2312" w:hAnsi="仿宋_GB2312" w:eastAsia="仿宋_GB2312" w:cs="仿宋_GB2312"/>
          <w:color w:val="auto"/>
          <w:sz w:val="32"/>
          <w:szCs w:val="32"/>
          <w:lang w:eastAsia="zh-CN"/>
        </w:rPr>
        <w:t>主攻工业，加大招商引资</w:t>
      </w:r>
      <w:r>
        <w:rPr>
          <w:rFonts w:hint="eastAsia" w:ascii="仿宋_GB2312" w:hAnsi="仿宋_GB2312" w:eastAsia="仿宋_GB2312" w:cs="仿宋_GB2312"/>
          <w:color w:val="auto"/>
          <w:sz w:val="32"/>
          <w:szCs w:val="32"/>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公务用车运行维护费</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万元，比上年增（减）</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w:t>
      </w:r>
    </w:p>
    <w:p>
      <w:pPr>
        <w:spacing w:line="56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主要原因是：</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公务用车购置费</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万元，比上年增（减）</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万元，主要</w:t>
      </w:r>
    </w:p>
    <w:p>
      <w:pPr>
        <w:spacing w:line="56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原因是：</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w:t>
      </w:r>
    </w:p>
    <w:p>
      <w:pPr>
        <w:spacing w:line="56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第三部分</w:t>
      </w:r>
      <w:r>
        <w:rPr>
          <w:rFonts w:hint="eastAsia" w:ascii="仿宋_GB2312" w:hAnsi="仿宋_GB2312" w:eastAsia="仿宋_GB2312" w:cs="仿宋_GB2312"/>
          <w:b/>
          <w:bCs/>
          <w:sz w:val="32"/>
          <w:szCs w:val="32"/>
          <w:lang w:eastAsia="zh-CN"/>
        </w:rPr>
        <w:t>江西兴国经济开发区管理委员会</w:t>
      </w:r>
      <w:r>
        <w:rPr>
          <w:rFonts w:hint="eastAsia" w:ascii="仿宋_GB2312" w:hAnsi="仿宋_GB2312" w:eastAsia="仿宋_GB2312" w:cs="仿宋_GB2312"/>
          <w:b/>
          <w:bCs/>
          <w:sz w:val="32"/>
          <w:szCs w:val="32"/>
          <w:lang w:val="en-US" w:eastAsia="zh-CN"/>
        </w:rPr>
        <w:t>2022年</w:t>
      </w:r>
      <w:r>
        <w:rPr>
          <w:rFonts w:hint="eastAsia" w:ascii="仿宋_GB2312" w:hAnsi="仿宋_GB2312" w:eastAsia="仿宋_GB2312" w:cs="仿宋_GB2312"/>
          <w:b/>
          <w:bCs/>
          <w:sz w:val="32"/>
          <w:szCs w:val="32"/>
        </w:rPr>
        <w:t>预算表</w:t>
      </w:r>
    </w:p>
    <w:p>
      <w:pPr>
        <w:spacing w:line="560" w:lineRule="exact"/>
        <w:ind w:firstLine="2880" w:firstLineChars="9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（详见附表）</w:t>
      </w:r>
    </w:p>
    <w:p>
      <w:pPr>
        <w:spacing w:line="560" w:lineRule="exact"/>
        <w:ind w:firstLine="640" w:firstLineChars="200"/>
        <w:rPr>
          <w:rFonts w:hint="eastAsia" w:ascii="仿宋_GB2312" w:hAnsi="仿宋_GB2312" w:eastAsia="仿宋_GB2312" w:cs="仿宋_GB2312"/>
          <w:color w:val="auto"/>
          <w:sz w:val="32"/>
          <w:szCs w:val="32"/>
        </w:rPr>
      </w:pPr>
    </w:p>
    <w:p>
      <w:pPr>
        <w:spacing w:line="560" w:lineRule="exact"/>
        <w:ind w:firstLine="0" w:firstLineChars="0"/>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第四部分</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名词解释</w:t>
      </w:r>
    </w:p>
    <w:p>
      <w:pPr>
        <w:spacing w:line="560" w:lineRule="exact"/>
        <w:ind w:firstLine="604" w:firstLineChars="189"/>
        <w:jc w:val="center"/>
        <w:rPr>
          <w:rFonts w:hint="eastAsia" w:ascii="仿宋_GB2312" w:hAnsi="仿宋_GB2312" w:eastAsia="仿宋_GB2312" w:cs="仿宋_GB2312"/>
          <w:sz w:val="32"/>
          <w:szCs w:val="32"/>
        </w:rPr>
      </w:pP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一、收入科目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各部门结合实际进行解释。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（七）使用非财政拨款结余：填列历年滚存的非限定用途的非统计财政拨款结余弥补XX年收支差额的数额。</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二、支出科目</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（四）行政单位医疗：反映行政事业单位基本医疗保险缴费经费。</w:t>
      </w:r>
    </w:p>
    <w:p>
      <w:pPr>
        <w:spacing w:line="560" w:lineRule="exact"/>
        <w:ind w:firstLine="681" w:firstLineChars="213"/>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（五）事业单位医疗：反映财政部门集中安排的事业单位基本医疗保险缴费经费。</w:t>
      </w:r>
    </w:p>
    <w:p>
      <w:pPr>
        <w:spacing w:line="560" w:lineRule="exact"/>
        <w:ind w:firstLine="640" w:firstLineChars="200"/>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1B25289"/>
    <w:rsid w:val="00A56452"/>
    <w:rsid w:val="016917D4"/>
    <w:rsid w:val="017E7BF8"/>
    <w:rsid w:val="01991F9B"/>
    <w:rsid w:val="01B25289"/>
    <w:rsid w:val="01BF5089"/>
    <w:rsid w:val="01D40557"/>
    <w:rsid w:val="02BC5768"/>
    <w:rsid w:val="033223EF"/>
    <w:rsid w:val="043E366F"/>
    <w:rsid w:val="04533D65"/>
    <w:rsid w:val="047F23F9"/>
    <w:rsid w:val="04D87AD6"/>
    <w:rsid w:val="050A7562"/>
    <w:rsid w:val="05A644D3"/>
    <w:rsid w:val="05B346B3"/>
    <w:rsid w:val="05DB4785"/>
    <w:rsid w:val="05E46E9F"/>
    <w:rsid w:val="0604116E"/>
    <w:rsid w:val="0606660F"/>
    <w:rsid w:val="066F6A70"/>
    <w:rsid w:val="06753176"/>
    <w:rsid w:val="077274FC"/>
    <w:rsid w:val="077A38BE"/>
    <w:rsid w:val="07B54C24"/>
    <w:rsid w:val="07C44D05"/>
    <w:rsid w:val="0915288B"/>
    <w:rsid w:val="09452F9A"/>
    <w:rsid w:val="09D068BE"/>
    <w:rsid w:val="09E80B5D"/>
    <w:rsid w:val="0A0A7CBD"/>
    <w:rsid w:val="0A1D57C7"/>
    <w:rsid w:val="0ABB3A0F"/>
    <w:rsid w:val="0ACB5964"/>
    <w:rsid w:val="0AF81679"/>
    <w:rsid w:val="0B5B5944"/>
    <w:rsid w:val="0B65570D"/>
    <w:rsid w:val="0B827F52"/>
    <w:rsid w:val="0B8F6F8B"/>
    <w:rsid w:val="0C576427"/>
    <w:rsid w:val="0C5A57CB"/>
    <w:rsid w:val="0CD06C42"/>
    <w:rsid w:val="0CFF6AA8"/>
    <w:rsid w:val="0DAC48E7"/>
    <w:rsid w:val="0DF16568"/>
    <w:rsid w:val="0E290D33"/>
    <w:rsid w:val="0E2F0CCE"/>
    <w:rsid w:val="0E6E3205"/>
    <w:rsid w:val="0EAC2573"/>
    <w:rsid w:val="0EAD76A9"/>
    <w:rsid w:val="0F485D2A"/>
    <w:rsid w:val="0F4D7D0C"/>
    <w:rsid w:val="0F577123"/>
    <w:rsid w:val="0F637577"/>
    <w:rsid w:val="0F71553E"/>
    <w:rsid w:val="0F9E7083"/>
    <w:rsid w:val="0FBD6BC6"/>
    <w:rsid w:val="0FDD5789"/>
    <w:rsid w:val="0FF43021"/>
    <w:rsid w:val="1003756C"/>
    <w:rsid w:val="101B17A9"/>
    <w:rsid w:val="102D61CD"/>
    <w:rsid w:val="108D50E1"/>
    <w:rsid w:val="11046C9F"/>
    <w:rsid w:val="1117547F"/>
    <w:rsid w:val="118A66F1"/>
    <w:rsid w:val="11A70BC0"/>
    <w:rsid w:val="12307D31"/>
    <w:rsid w:val="129133B8"/>
    <w:rsid w:val="134C4B71"/>
    <w:rsid w:val="13A21EED"/>
    <w:rsid w:val="13DB4E97"/>
    <w:rsid w:val="13E650F5"/>
    <w:rsid w:val="140A24E5"/>
    <w:rsid w:val="142E3203"/>
    <w:rsid w:val="14302C5E"/>
    <w:rsid w:val="144017F2"/>
    <w:rsid w:val="149D4E02"/>
    <w:rsid w:val="14A31BC2"/>
    <w:rsid w:val="14CA01C4"/>
    <w:rsid w:val="15974F37"/>
    <w:rsid w:val="15F755B6"/>
    <w:rsid w:val="16271D36"/>
    <w:rsid w:val="163331A3"/>
    <w:rsid w:val="16394F13"/>
    <w:rsid w:val="164F48E3"/>
    <w:rsid w:val="166C0E77"/>
    <w:rsid w:val="16A53B89"/>
    <w:rsid w:val="16F01198"/>
    <w:rsid w:val="175223E4"/>
    <w:rsid w:val="175B7792"/>
    <w:rsid w:val="17C74793"/>
    <w:rsid w:val="17DC444D"/>
    <w:rsid w:val="188237C8"/>
    <w:rsid w:val="18977E48"/>
    <w:rsid w:val="1901393B"/>
    <w:rsid w:val="19072771"/>
    <w:rsid w:val="19485513"/>
    <w:rsid w:val="196559F5"/>
    <w:rsid w:val="19812E2C"/>
    <w:rsid w:val="199351DA"/>
    <w:rsid w:val="199F6E60"/>
    <w:rsid w:val="19E57DD5"/>
    <w:rsid w:val="19F65DE1"/>
    <w:rsid w:val="1A571062"/>
    <w:rsid w:val="1AAC79F6"/>
    <w:rsid w:val="1B054D07"/>
    <w:rsid w:val="1B242D72"/>
    <w:rsid w:val="1B5709B6"/>
    <w:rsid w:val="1BBE0F9E"/>
    <w:rsid w:val="1C192028"/>
    <w:rsid w:val="1C1B4994"/>
    <w:rsid w:val="1C2C1AA2"/>
    <w:rsid w:val="1C497F7B"/>
    <w:rsid w:val="1D6A4FA1"/>
    <w:rsid w:val="1DCF760A"/>
    <w:rsid w:val="1DF52C0B"/>
    <w:rsid w:val="1DF6189D"/>
    <w:rsid w:val="1E454C6E"/>
    <w:rsid w:val="1E925088"/>
    <w:rsid w:val="1EE23BB6"/>
    <w:rsid w:val="1EF5307B"/>
    <w:rsid w:val="1FD42D15"/>
    <w:rsid w:val="20305919"/>
    <w:rsid w:val="20F07AC0"/>
    <w:rsid w:val="22213D43"/>
    <w:rsid w:val="22DF20B9"/>
    <w:rsid w:val="22E67194"/>
    <w:rsid w:val="22F971B1"/>
    <w:rsid w:val="23487E4D"/>
    <w:rsid w:val="234F73FD"/>
    <w:rsid w:val="23BF375E"/>
    <w:rsid w:val="23EF18AC"/>
    <w:rsid w:val="24842977"/>
    <w:rsid w:val="24BA161E"/>
    <w:rsid w:val="254D4741"/>
    <w:rsid w:val="26373DA1"/>
    <w:rsid w:val="26563700"/>
    <w:rsid w:val="268F63DC"/>
    <w:rsid w:val="26C144C1"/>
    <w:rsid w:val="26D41070"/>
    <w:rsid w:val="27715736"/>
    <w:rsid w:val="27821D8E"/>
    <w:rsid w:val="27A433B5"/>
    <w:rsid w:val="27D77216"/>
    <w:rsid w:val="28512BFD"/>
    <w:rsid w:val="28855D33"/>
    <w:rsid w:val="28A80742"/>
    <w:rsid w:val="28CE066A"/>
    <w:rsid w:val="29210C6D"/>
    <w:rsid w:val="294A1F4A"/>
    <w:rsid w:val="295D0F00"/>
    <w:rsid w:val="29E11EC5"/>
    <w:rsid w:val="29F20D9D"/>
    <w:rsid w:val="2A187FD3"/>
    <w:rsid w:val="2A4E34D9"/>
    <w:rsid w:val="2A7269FA"/>
    <w:rsid w:val="2A86377B"/>
    <w:rsid w:val="2ABC59C5"/>
    <w:rsid w:val="2ADD71B9"/>
    <w:rsid w:val="2AE2307A"/>
    <w:rsid w:val="2AFB47D0"/>
    <w:rsid w:val="2B5C6B1E"/>
    <w:rsid w:val="2B9B6463"/>
    <w:rsid w:val="2BD113CF"/>
    <w:rsid w:val="2BD673B0"/>
    <w:rsid w:val="2C675E95"/>
    <w:rsid w:val="2C8A59A1"/>
    <w:rsid w:val="2CA409B8"/>
    <w:rsid w:val="2CC76F7C"/>
    <w:rsid w:val="2D8B233D"/>
    <w:rsid w:val="2DBB5DA9"/>
    <w:rsid w:val="2DF45780"/>
    <w:rsid w:val="2E0D0B5F"/>
    <w:rsid w:val="2E9F5813"/>
    <w:rsid w:val="2EC3359B"/>
    <w:rsid w:val="2EFA2FF1"/>
    <w:rsid w:val="303C1056"/>
    <w:rsid w:val="30DB5233"/>
    <w:rsid w:val="31483022"/>
    <w:rsid w:val="31592AE8"/>
    <w:rsid w:val="31A10701"/>
    <w:rsid w:val="322C33B0"/>
    <w:rsid w:val="32501A67"/>
    <w:rsid w:val="32762BC0"/>
    <w:rsid w:val="32DC076B"/>
    <w:rsid w:val="3328144A"/>
    <w:rsid w:val="33F34BA7"/>
    <w:rsid w:val="34215545"/>
    <w:rsid w:val="345B664C"/>
    <w:rsid w:val="347A0BC7"/>
    <w:rsid w:val="354E0C67"/>
    <w:rsid w:val="355D5424"/>
    <w:rsid w:val="35DD151B"/>
    <w:rsid w:val="361138EA"/>
    <w:rsid w:val="36BE456B"/>
    <w:rsid w:val="36C21AC5"/>
    <w:rsid w:val="36D2247A"/>
    <w:rsid w:val="37110AB8"/>
    <w:rsid w:val="37331209"/>
    <w:rsid w:val="37755CA0"/>
    <w:rsid w:val="37994501"/>
    <w:rsid w:val="37B8448A"/>
    <w:rsid w:val="37E01F24"/>
    <w:rsid w:val="382E1A58"/>
    <w:rsid w:val="38F96C05"/>
    <w:rsid w:val="39925BCB"/>
    <w:rsid w:val="39DD470A"/>
    <w:rsid w:val="39EE6680"/>
    <w:rsid w:val="3A01225C"/>
    <w:rsid w:val="3A5311B0"/>
    <w:rsid w:val="3B227488"/>
    <w:rsid w:val="3B8211CD"/>
    <w:rsid w:val="3BED79D8"/>
    <w:rsid w:val="3C3E6FB5"/>
    <w:rsid w:val="3CE621DE"/>
    <w:rsid w:val="3D5B47A5"/>
    <w:rsid w:val="3D815FC2"/>
    <w:rsid w:val="3DDD6432"/>
    <w:rsid w:val="3DFF33E8"/>
    <w:rsid w:val="3E7831DB"/>
    <w:rsid w:val="3EC270C7"/>
    <w:rsid w:val="3F1326BB"/>
    <w:rsid w:val="3FB32093"/>
    <w:rsid w:val="3FE70EFD"/>
    <w:rsid w:val="3FF76682"/>
    <w:rsid w:val="404247DF"/>
    <w:rsid w:val="40997AE9"/>
    <w:rsid w:val="409A555D"/>
    <w:rsid w:val="410E6231"/>
    <w:rsid w:val="41251651"/>
    <w:rsid w:val="413D181D"/>
    <w:rsid w:val="417525DF"/>
    <w:rsid w:val="41770F2C"/>
    <w:rsid w:val="41ED3580"/>
    <w:rsid w:val="42126939"/>
    <w:rsid w:val="42457080"/>
    <w:rsid w:val="42D23EC3"/>
    <w:rsid w:val="42F164A3"/>
    <w:rsid w:val="430527FB"/>
    <w:rsid w:val="43B03B2E"/>
    <w:rsid w:val="43BC5855"/>
    <w:rsid w:val="443D21F4"/>
    <w:rsid w:val="44AF4E59"/>
    <w:rsid w:val="452847AC"/>
    <w:rsid w:val="454465E1"/>
    <w:rsid w:val="459642BB"/>
    <w:rsid w:val="45A5483E"/>
    <w:rsid w:val="45A7735B"/>
    <w:rsid w:val="45BA2240"/>
    <w:rsid w:val="45BB0508"/>
    <w:rsid w:val="45D261C2"/>
    <w:rsid w:val="45FB159F"/>
    <w:rsid w:val="462B515D"/>
    <w:rsid w:val="462D5C80"/>
    <w:rsid w:val="467F6F05"/>
    <w:rsid w:val="4682672C"/>
    <w:rsid w:val="4727294E"/>
    <w:rsid w:val="47D0078F"/>
    <w:rsid w:val="47EE6DCD"/>
    <w:rsid w:val="484E679E"/>
    <w:rsid w:val="487D3E31"/>
    <w:rsid w:val="488F250B"/>
    <w:rsid w:val="489B53A5"/>
    <w:rsid w:val="48CD443F"/>
    <w:rsid w:val="48F25662"/>
    <w:rsid w:val="49591366"/>
    <w:rsid w:val="49EA51BC"/>
    <w:rsid w:val="49F3379D"/>
    <w:rsid w:val="4A283563"/>
    <w:rsid w:val="4A3338DB"/>
    <w:rsid w:val="4AA83009"/>
    <w:rsid w:val="4ABD1AAD"/>
    <w:rsid w:val="4B3C4763"/>
    <w:rsid w:val="4B631331"/>
    <w:rsid w:val="4C0E7075"/>
    <w:rsid w:val="4C250441"/>
    <w:rsid w:val="4C2757BD"/>
    <w:rsid w:val="4C627C49"/>
    <w:rsid w:val="4C7209CF"/>
    <w:rsid w:val="4E08743B"/>
    <w:rsid w:val="4E23410C"/>
    <w:rsid w:val="4E2C08CA"/>
    <w:rsid w:val="4E416FC0"/>
    <w:rsid w:val="4E4B0C4B"/>
    <w:rsid w:val="4E4E4730"/>
    <w:rsid w:val="4E942B71"/>
    <w:rsid w:val="4EAC3E8B"/>
    <w:rsid w:val="4ED97106"/>
    <w:rsid w:val="4EEA32B0"/>
    <w:rsid w:val="4F111963"/>
    <w:rsid w:val="4F2210CB"/>
    <w:rsid w:val="4F672731"/>
    <w:rsid w:val="4FEF2F3F"/>
    <w:rsid w:val="503433D8"/>
    <w:rsid w:val="5039352F"/>
    <w:rsid w:val="50747262"/>
    <w:rsid w:val="508C409E"/>
    <w:rsid w:val="50B14313"/>
    <w:rsid w:val="50CF73F1"/>
    <w:rsid w:val="51065FEC"/>
    <w:rsid w:val="51291F34"/>
    <w:rsid w:val="513329D5"/>
    <w:rsid w:val="519F113C"/>
    <w:rsid w:val="51B630B1"/>
    <w:rsid w:val="51E54772"/>
    <w:rsid w:val="520E1601"/>
    <w:rsid w:val="52172869"/>
    <w:rsid w:val="52547713"/>
    <w:rsid w:val="52753534"/>
    <w:rsid w:val="529E31C3"/>
    <w:rsid w:val="52BB5EFF"/>
    <w:rsid w:val="52F55DC8"/>
    <w:rsid w:val="532406FC"/>
    <w:rsid w:val="53291D29"/>
    <w:rsid w:val="53901234"/>
    <w:rsid w:val="53C52FFB"/>
    <w:rsid w:val="540C0088"/>
    <w:rsid w:val="5446624F"/>
    <w:rsid w:val="54EB03C1"/>
    <w:rsid w:val="551470C0"/>
    <w:rsid w:val="55356F02"/>
    <w:rsid w:val="55B76EC3"/>
    <w:rsid w:val="55DC7CAE"/>
    <w:rsid w:val="56096786"/>
    <w:rsid w:val="56257E46"/>
    <w:rsid w:val="56300099"/>
    <w:rsid w:val="56700C3F"/>
    <w:rsid w:val="567A0586"/>
    <w:rsid w:val="5686508A"/>
    <w:rsid w:val="571D37BF"/>
    <w:rsid w:val="575B5515"/>
    <w:rsid w:val="576F5DD3"/>
    <w:rsid w:val="577A453C"/>
    <w:rsid w:val="57C70A5F"/>
    <w:rsid w:val="57D94C15"/>
    <w:rsid w:val="57E546ED"/>
    <w:rsid w:val="581C4A61"/>
    <w:rsid w:val="58415A0E"/>
    <w:rsid w:val="58487FE1"/>
    <w:rsid w:val="586C012E"/>
    <w:rsid w:val="58FE3011"/>
    <w:rsid w:val="592D5EE4"/>
    <w:rsid w:val="592E3ACC"/>
    <w:rsid w:val="59426E66"/>
    <w:rsid w:val="594818EE"/>
    <w:rsid w:val="59D72764"/>
    <w:rsid w:val="59DA6A21"/>
    <w:rsid w:val="59E5320E"/>
    <w:rsid w:val="59E629D6"/>
    <w:rsid w:val="5A264088"/>
    <w:rsid w:val="5ADD2C7E"/>
    <w:rsid w:val="5B57071B"/>
    <w:rsid w:val="5B613167"/>
    <w:rsid w:val="5B97430C"/>
    <w:rsid w:val="5C3073D5"/>
    <w:rsid w:val="5C8A17CB"/>
    <w:rsid w:val="5D163AA9"/>
    <w:rsid w:val="5D325D70"/>
    <w:rsid w:val="5D7F3AE7"/>
    <w:rsid w:val="5DCB5A60"/>
    <w:rsid w:val="5DCC126D"/>
    <w:rsid w:val="5E2A2AE4"/>
    <w:rsid w:val="5E6D1521"/>
    <w:rsid w:val="5E934B37"/>
    <w:rsid w:val="5EEA36B4"/>
    <w:rsid w:val="5F0533E4"/>
    <w:rsid w:val="5F32696A"/>
    <w:rsid w:val="5F4C7306"/>
    <w:rsid w:val="5FB53A3A"/>
    <w:rsid w:val="5FC11983"/>
    <w:rsid w:val="602C3548"/>
    <w:rsid w:val="60D13C66"/>
    <w:rsid w:val="60EE0C0F"/>
    <w:rsid w:val="61064E65"/>
    <w:rsid w:val="611200EC"/>
    <w:rsid w:val="61195F22"/>
    <w:rsid w:val="61B80843"/>
    <w:rsid w:val="6231631B"/>
    <w:rsid w:val="62452BA5"/>
    <w:rsid w:val="624B30DC"/>
    <w:rsid w:val="62B9162E"/>
    <w:rsid w:val="62C175C8"/>
    <w:rsid w:val="630F5467"/>
    <w:rsid w:val="633437DA"/>
    <w:rsid w:val="636A650A"/>
    <w:rsid w:val="639E2A45"/>
    <w:rsid w:val="63AD4E98"/>
    <w:rsid w:val="64230F0C"/>
    <w:rsid w:val="6531360B"/>
    <w:rsid w:val="659A6676"/>
    <w:rsid w:val="66D41034"/>
    <w:rsid w:val="678D73CB"/>
    <w:rsid w:val="67BE3883"/>
    <w:rsid w:val="67D160A9"/>
    <w:rsid w:val="67FF02A8"/>
    <w:rsid w:val="680C65AC"/>
    <w:rsid w:val="68C130C0"/>
    <w:rsid w:val="68CF7474"/>
    <w:rsid w:val="68F4490D"/>
    <w:rsid w:val="695A0CEB"/>
    <w:rsid w:val="699144A4"/>
    <w:rsid w:val="69B85171"/>
    <w:rsid w:val="69CC1B66"/>
    <w:rsid w:val="6A52197F"/>
    <w:rsid w:val="6B98730C"/>
    <w:rsid w:val="6BF06061"/>
    <w:rsid w:val="6BFD15B6"/>
    <w:rsid w:val="6BFE6872"/>
    <w:rsid w:val="6C0D793C"/>
    <w:rsid w:val="6C4E618A"/>
    <w:rsid w:val="6C73077B"/>
    <w:rsid w:val="6C7A4746"/>
    <w:rsid w:val="6D451B06"/>
    <w:rsid w:val="6D4530AD"/>
    <w:rsid w:val="6D5C5CE4"/>
    <w:rsid w:val="6E6D0DDA"/>
    <w:rsid w:val="6EEA77E7"/>
    <w:rsid w:val="6EFB35A4"/>
    <w:rsid w:val="6F826DAF"/>
    <w:rsid w:val="6FA741EB"/>
    <w:rsid w:val="70242E70"/>
    <w:rsid w:val="707B2247"/>
    <w:rsid w:val="70FF33A6"/>
    <w:rsid w:val="7109606B"/>
    <w:rsid w:val="710A729A"/>
    <w:rsid w:val="711E6733"/>
    <w:rsid w:val="72E97885"/>
    <w:rsid w:val="73A465DC"/>
    <w:rsid w:val="73CD12AD"/>
    <w:rsid w:val="74312D07"/>
    <w:rsid w:val="74735E7A"/>
    <w:rsid w:val="748E0E70"/>
    <w:rsid w:val="751F2C26"/>
    <w:rsid w:val="757F1AAA"/>
    <w:rsid w:val="759C52F2"/>
    <w:rsid w:val="76026056"/>
    <w:rsid w:val="76AA7784"/>
    <w:rsid w:val="76C31D9A"/>
    <w:rsid w:val="7723019B"/>
    <w:rsid w:val="780124F9"/>
    <w:rsid w:val="786938F7"/>
    <w:rsid w:val="7A565C6A"/>
    <w:rsid w:val="7A635E8C"/>
    <w:rsid w:val="7A6764CD"/>
    <w:rsid w:val="7AA6023F"/>
    <w:rsid w:val="7AD31611"/>
    <w:rsid w:val="7B68169D"/>
    <w:rsid w:val="7BB0072B"/>
    <w:rsid w:val="7C9D01B0"/>
    <w:rsid w:val="7CE47A01"/>
    <w:rsid w:val="7D086F84"/>
    <w:rsid w:val="7D826739"/>
    <w:rsid w:val="7D9A7190"/>
    <w:rsid w:val="7DA50711"/>
    <w:rsid w:val="7DCE28FC"/>
    <w:rsid w:val="7E5F0713"/>
    <w:rsid w:val="7F29370E"/>
    <w:rsid w:val="7F602E10"/>
    <w:rsid w:val="7F745D7D"/>
    <w:rsid w:val="7FB81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spacing w:after="0" w:line="360" w:lineRule="auto"/>
      <w:ind w:left="0" w:leftChars="0" w:firstLine="1040" w:firstLineChars="200"/>
    </w:pPr>
    <w:rPr>
      <w:sz w:val="24"/>
    </w:rPr>
  </w:style>
  <w:style w:type="character" w:customStyle="1" w:styleId="8">
    <w:name w:val="font21"/>
    <w:basedOn w:val="7"/>
    <w:qFormat/>
    <w:uiPriority w:val="0"/>
    <w:rPr>
      <w:rFonts w:hint="eastAsia" w:ascii="宋体" w:hAnsi="宋体" w:eastAsia="宋体" w:cs="宋体"/>
      <w:color w:val="000000"/>
      <w:sz w:val="24"/>
      <w:szCs w:val="24"/>
      <w:u w:val="none"/>
    </w:rPr>
  </w:style>
  <w:style w:type="character" w:customStyle="1" w:styleId="9">
    <w:name w:val="font01"/>
    <w:basedOn w:val="7"/>
    <w:qFormat/>
    <w:uiPriority w:val="0"/>
    <w:rPr>
      <w:rFonts w:hint="default" w:ascii="Times New Roman" w:hAnsi="Times New Roman" w:cs="Times New Roman"/>
      <w:color w:val="000000"/>
      <w:sz w:val="24"/>
      <w:szCs w:val="24"/>
      <w:u w:val="none"/>
    </w:rPr>
  </w:style>
  <w:style w:type="character" w:customStyle="1" w:styleId="10">
    <w:name w:val="row_tree_level_4"/>
    <w:basedOn w:val="7"/>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2869</Words>
  <Characters>3243</Characters>
  <Lines>0</Lines>
  <Paragraphs>0</Paragraphs>
  <TotalTime>6</TotalTime>
  <ScaleCrop>false</ScaleCrop>
  <LinksUpToDate>false</LinksUpToDate>
  <CharactersWithSpaces>3299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2021-09-27T08:04:00Z</dcterms:created>
  <dc:creator>Administrator</dc:creator>
  <cp:lastModifiedBy>李甘顺</cp:lastModifiedBy>
  <cp:lastPrinted>2022-01-30T02:21:00Z</cp:lastPrinted>
  <dcterms:modified xsi:type="dcterms:W3CDTF">2023-07-14T01:11:08Z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9E0BBA10B6524005A0D74B2F0BCF66B4</vt:lpwstr>
  </property>
</Properties>
</file>