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880" w:firstLineChars="200"/>
        <w:jc w:val="both"/>
        <w:rPr>
          <w:rFonts w:hint="eastAsia" w:ascii="黑体" w:hAnsi="黑体" w:eastAsia="黑体" w:cs="黑体"/>
          <w:sz w:val="36"/>
          <w:szCs w:val="36"/>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 xml:space="preserve"> </w:t>
      </w: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民政</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局2022年部门预算编制说明</w:t>
      </w: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2" w:hangingChars="213"/>
        <w:rPr>
          <w:rFonts w:hint="eastAsia" w:ascii="仿宋" w:hAnsi="仿宋" w:eastAsia="仿宋" w:cs="仿宋"/>
          <w:b/>
          <w:bCs/>
          <w:sz w:val="32"/>
          <w:szCs w:val="32"/>
        </w:rPr>
      </w:pPr>
      <w:r>
        <w:rPr>
          <w:rFonts w:hint="eastAsia" w:ascii="仿宋" w:hAnsi="仿宋" w:eastAsia="仿宋" w:cs="仿宋"/>
          <w:b/>
          <w:bCs/>
          <w:sz w:val="32"/>
          <w:szCs w:val="32"/>
        </w:rPr>
        <w:t>第一部分 兴国县</w:t>
      </w:r>
      <w:r>
        <w:rPr>
          <w:rFonts w:hint="eastAsia" w:ascii="仿宋" w:hAnsi="仿宋" w:eastAsia="仿宋" w:cs="仿宋"/>
          <w:b/>
          <w:bCs/>
          <w:sz w:val="32"/>
          <w:szCs w:val="32"/>
          <w:lang w:eastAsia="zh-CN"/>
        </w:rPr>
        <w:t>民政</w:t>
      </w:r>
      <w:r>
        <w:rPr>
          <w:rFonts w:hint="eastAsia" w:ascii="仿宋" w:hAnsi="仿宋" w:eastAsia="仿宋" w:cs="仿宋"/>
          <w:b/>
          <w:bCs/>
          <w:sz w:val="32"/>
          <w:szCs w:val="32"/>
        </w:rPr>
        <w:t>部门概况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2"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民政</w:t>
      </w:r>
      <w:r>
        <w:rPr>
          <w:rFonts w:hint="eastAsia" w:ascii="仿宋" w:hAnsi="仿宋" w:eastAsia="仿宋" w:cs="仿宋"/>
          <w:b/>
          <w:bCs/>
          <w:sz w:val="32"/>
          <w:szCs w:val="32"/>
        </w:rPr>
        <w:t>部门</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2022</w:t>
      </w:r>
      <w:r>
        <w:rPr>
          <w:rFonts w:hint="eastAsia" w:ascii="仿宋" w:hAnsi="仿宋" w:eastAsia="仿宋" w:cs="仿宋"/>
          <w:sz w:val="32"/>
          <w:szCs w:val="32"/>
        </w:rPr>
        <w:t>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2022</w:t>
      </w:r>
      <w:r>
        <w:rPr>
          <w:rFonts w:hint="eastAsia" w:ascii="仿宋" w:hAnsi="仿宋" w:eastAsia="仿宋" w:cs="仿宋"/>
          <w:sz w:val="32"/>
          <w:szCs w:val="32"/>
        </w:rPr>
        <w:t>年“三公”经费预算情况说明</w:t>
      </w:r>
    </w:p>
    <w:p>
      <w:pPr>
        <w:spacing w:line="560" w:lineRule="exact"/>
        <w:ind w:left="641" w:hanging="682"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民政</w:t>
      </w:r>
      <w:r>
        <w:rPr>
          <w:rFonts w:hint="eastAsia" w:ascii="仿宋" w:hAnsi="仿宋" w:eastAsia="仿宋" w:cs="仿宋"/>
          <w:b/>
          <w:bCs/>
          <w:sz w:val="32"/>
          <w:szCs w:val="32"/>
        </w:rPr>
        <w:t>部门</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年部门或单位预算表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八、《政府性基金预算支出表》</w:t>
      </w:r>
    </w:p>
    <w:p>
      <w:pPr>
        <w:pStyle w:val="2"/>
        <w:rPr>
          <w:rFonts w:hint="eastAsia" w:eastAsia="仿宋"/>
          <w:lang w:val="en-US" w:eastAsia="zh-CN"/>
        </w:rPr>
      </w:pPr>
      <w:r>
        <w:rPr>
          <w:rFonts w:hint="eastAsia" w:ascii="仿宋" w:hAnsi="仿宋" w:eastAsia="仿宋" w:cs="仿宋"/>
          <w:sz w:val="32"/>
          <w:szCs w:val="32"/>
          <w:lang w:val="en-US" w:eastAsia="zh-CN"/>
        </w:rPr>
        <w:t xml:space="preserve">    九、《国有资本经营预算支出表》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bookmarkStart w:id="0" w:name="_GoBack"/>
      <w:bookmarkEnd w:id="0"/>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兴国县</w:t>
      </w:r>
      <w:r>
        <w:rPr>
          <w:rFonts w:hint="eastAsia" w:ascii="黑体" w:hAnsi="黑体" w:eastAsia="黑体" w:cs="黑体"/>
          <w:b w:val="0"/>
          <w:bCs w:val="0"/>
          <w:sz w:val="32"/>
          <w:szCs w:val="32"/>
          <w:lang w:eastAsia="zh-CN"/>
        </w:rPr>
        <w:t>民政</w:t>
      </w:r>
      <w:r>
        <w:rPr>
          <w:rFonts w:hint="eastAsia" w:ascii="黑体" w:hAnsi="黑体" w:eastAsia="黑体" w:cs="黑体"/>
          <w:b w:val="0"/>
          <w:bCs w:val="0"/>
          <w:sz w:val="32"/>
          <w:szCs w:val="32"/>
        </w:rPr>
        <w:t>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民政局是主管民政工作的县委（县政府）组成部门，</w:t>
      </w:r>
      <w:r>
        <w:rPr>
          <w:rFonts w:hint="eastAsia" w:ascii="仿宋" w:hAnsi="仿宋" w:eastAsia="仿宋" w:cs="仿宋"/>
          <w:sz w:val="32"/>
          <w:szCs w:val="32"/>
          <w:lang w:eastAsia="zh-CN"/>
        </w:rPr>
        <w:t>下属</w:t>
      </w:r>
      <w:r>
        <w:rPr>
          <w:rFonts w:hint="eastAsia" w:ascii="仿宋" w:hAnsi="仿宋" w:eastAsia="仿宋" w:cs="仿宋"/>
          <w:sz w:val="32"/>
          <w:szCs w:val="32"/>
          <w:lang w:val="en-US" w:eastAsia="zh-CN"/>
        </w:rPr>
        <w:t>一个事业单位：兴国县精神病人福利院。</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主要职责是：组织拟订城乡社会救助规划、政策和标准；健全城乡社会救助体系，负责城乡居民最低生活保障、临时救助、城市生活无着的流浪乞讨人员救助工作；负责城乡特困人员供养；拟订城乡基层群众自治建设具体办法，并组织实施；提出加强和改进城乡基层政权建设的建议，推动基层民主政治建设；参与拟订社区建设总体规划；拟订社区建设的相关配套政策并组织实施；指导社区服务站建设；拟订社会福利事业发展规划、政策和标准；拟订社会福利机构管理办法和福利彩票销售管理办法；指导福利彩票销售及彩票公益金的使用管理；组织拟订促进慈善事业发展的政策，组织、指导社会捐助工作；指导老年人、孤儿和残疾人等特殊困难群体的权益保障工作；承担依法对社会团体、民办非企业单位、基金会进行登记和监督管理责任；拟订婚姻管理、殡葬管理和儿童收养的政策，负责推进婚俗和殡葬改革，指导婚姻、殡葬、收养、救助服务机构管理工作；拟订行政区划管理政策；负责行政区域的设立、命名、变更和政府驻地迁移的审核工作；负责行政区域界线的管理工作；负责区县边界争议调处工作</w:t>
      </w:r>
      <w:r>
        <w:rPr>
          <w:rFonts w:hint="eastAsia" w:ascii="仿宋" w:hAnsi="仿宋" w:eastAsia="仿宋" w:cs="仿宋"/>
          <w:sz w:val="32"/>
          <w:szCs w:val="32"/>
          <w:lang w:eastAsia="zh-CN"/>
        </w:rPr>
        <w:t>；负责精神病人的救治工作</w:t>
      </w:r>
      <w:r>
        <w:rPr>
          <w:rFonts w:hint="eastAsia" w:ascii="仿宋" w:hAnsi="仿宋" w:eastAsia="仿宋" w:cs="仿宋"/>
          <w:sz w:val="32"/>
          <w:szCs w:val="32"/>
        </w:rPr>
        <w:t>等。</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局机关内部设：办公室、养老服务股、社会事务股、社会救助股，包涵</w:t>
      </w:r>
      <w:r>
        <w:rPr>
          <w:rFonts w:hint="eastAsia" w:ascii="仿宋" w:hAnsi="仿宋" w:eastAsia="仿宋" w:cs="仿宋"/>
          <w:sz w:val="32"/>
          <w:szCs w:val="32"/>
          <w:lang w:val="en-US" w:eastAsia="zh-CN"/>
        </w:rPr>
        <w:t>1个下属事业单位，精神病人福利院（10人）。</w:t>
      </w:r>
      <w:r>
        <w:rPr>
          <w:rFonts w:hint="eastAsia" w:ascii="仿宋" w:hAnsi="仿宋" w:eastAsia="仿宋" w:cs="仿宋"/>
          <w:sz w:val="32"/>
          <w:szCs w:val="32"/>
        </w:rPr>
        <w:t>民政</w:t>
      </w:r>
      <w:r>
        <w:rPr>
          <w:rFonts w:hint="eastAsia" w:ascii="仿宋" w:hAnsi="仿宋" w:eastAsia="仿宋" w:cs="仿宋"/>
          <w:sz w:val="32"/>
          <w:szCs w:val="32"/>
          <w:lang w:eastAsia="zh-CN"/>
        </w:rPr>
        <w:t>部门</w:t>
      </w:r>
      <w:r>
        <w:rPr>
          <w:rFonts w:hint="eastAsia" w:ascii="仿宋" w:hAnsi="仿宋" w:eastAsia="仿宋" w:cs="仿宋"/>
          <w:sz w:val="32"/>
          <w:szCs w:val="32"/>
        </w:rPr>
        <w:t>编制数</w:t>
      </w:r>
      <w:r>
        <w:rPr>
          <w:rFonts w:hint="eastAsia" w:ascii="仿宋" w:hAnsi="仿宋" w:eastAsia="仿宋" w:cs="仿宋"/>
          <w:sz w:val="32"/>
          <w:szCs w:val="32"/>
          <w:lang w:val="en-US" w:eastAsia="zh-CN"/>
        </w:rPr>
        <w:t>83</w:t>
      </w:r>
      <w:r>
        <w:rPr>
          <w:rFonts w:hint="eastAsia" w:ascii="仿宋" w:hAnsi="仿宋" w:eastAsia="仿宋" w:cs="仿宋"/>
          <w:sz w:val="32"/>
          <w:szCs w:val="32"/>
        </w:rPr>
        <w:t>人，</w:t>
      </w:r>
      <w:r>
        <w:rPr>
          <w:rFonts w:hint="eastAsia" w:ascii="仿宋" w:hAnsi="仿宋" w:eastAsia="仿宋" w:cs="仿宋"/>
          <w:sz w:val="32"/>
          <w:szCs w:val="32"/>
          <w:lang w:eastAsia="zh-CN"/>
        </w:rPr>
        <w:t>实有人数</w:t>
      </w:r>
      <w:r>
        <w:rPr>
          <w:rFonts w:hint="eastAsia" w:ascii="仿宋" w:hAnsi="仿宋" w:eastAsia="仿宋" w:cs="仿宋"/>
          <w:sz w:val="32"/>
          <w:szCs w:val="32"/>
          <w:lang w:val="en-US" w:eastAsia="zh-CN"/>
        </w:rPr>
        <w:t>109人，</w:t>
      </w:r>
      <w:r>
        <w:rPr>
          <w:rFonts w:hint="eastAsia" w:ascii="仿宋" w:hAnsi="仿宋" w:eastAsia="仿宋" w:cs="仿宋"/>
          <w:sz w:val="32"/>
          <w:szCs w:val="32"/>
        </w:rPr>
        <w:t>其中</w:t>
      </w:r>
      <w:r>
        <w:rPr>
          <w:rFonts w:hint="eastAsia" w:ascii="仿宋" w:hAnsi="仿宋" w:eastAsia="仿宋" w:cs="仿宋"/>
          <w:sz w:val="32"/>
          <w:szCs w:val="32"/>
          <w:lang w:eastAsia="zh-CN"/>
        </w:rPr>
        <w:t>：在职人员</w:t>
      </w:r>
      <w:r>
        <w:rPr>
          <w:rFonts w:hint="eastAsia" w:ascii="仿宋" w:hAnsi="仿宋" w:eastAsia="仿宋" w:cs="仿宋"/>
          <w:sz w:val="32"/>
          <w:szCs w:val="32"/>
          <w:lang w:val="en-US" w:eastAsia="zh-CN"/>
        </w:rPr>
        <w:t>69人，</w:t>
      </w:r>
      <w:r>
        <w:rPr>
          <w:rFonts w:hint="eastAsia" w:ascii="仿宋" w:hAnsi="仿宋" w:eastAsia="仿宋" w:cs="仿宋"/>
          <w:sz w:val="32"/>
          <w:szCs w:val="32"/>
        </w:rPr>
        <w:t>退休人员</w:t>
      </w:r>
      <w:r>
        <w:rPr>
          <w:rFonts w:hint="eastAsia" w:ascii="仿宋" w:hAnsi="仿宋" w:eastAsia="仿宋" w:cs="仿宋"/>
          <w:sz w:val="32"/>
          <w:szCs w:val="32"/>
          <w:lang w:val="en-US" w:eastAsia="zh-CN"/>
        </w:rPr>
        <w:t>40</w:t>
      </w:r>
      <w:r>
        <w:rPr>
          <w:rFonts w:hint="eastAsia" w:ascii="仿宋" w:hAnsi="仿宋" w:eastAsia="仿宋" w:cs="仿宋"/>
          <w:sz w:val="32"/>
          <w:szCs w:val="32"/>
        </w:rPr>
        <w:t>人</w:t>
      </w:r>
      <w:r>
        <w:rPr>
          <w:rFonts w:hint="eastAsia" w:ascii="仿宋" w:hAnsi="仿宋" w:eastAsia="仿宋" w:cs="仿宋"/>
          <w:sz w:val="32"/>
          <w:szCs w:val="32"/>
          <w:lang w:eastAsia="zh-CN"/>
        </w:rPr>
        <w:t>。在职人员中：</w:t>
      </w:r>
      <w:r>
        <w:rPr>
          <w:rFonts w:hint="eastAsia" w:ascii="仿宋" w:hAnsi="仿宋" w:eastAsia="仿宋" w:cs="仿宋"/>
          <w:sz w:val="32"/>
          <w:szCs w:val="32"/>
        </w:rPr>
        <w:t>行政编制</w:t>
      </w:r>
      <w:r>
        <w:rPr>
          <w:rFonts w:hint="eastAsia" w:ascii="仿宋" w:hAnsi="仿宋" w:eastAsia="仿宋" w:cs="仿宋"/>
          <w:sz w:val="32"/>
          <w:szCs w:val="32"/>
          <w:lang w:val="en-US" w:eastAsia="zh-CN"/>
        </w:rPr>
        <w:t>10</w:t>
      </w:r>
      <w:r>
        <w:rPr>
          <w:rFonts w:hint="eastAsia" w:ascii="仿宋" w:hAnsi="仿宋" w:eastAsia="仿宋" w:cs="仿宋"/>
          <w:sz w:val="32"/>
          <w:szCs w:val="32"/>
        </w:rPr>
        <w:t>人、</w:t>
      </w:r>
      <w:r>
        <w:rPr>
          <w:rFonts w:hint="eastAsia" w:ascii="仿宋" w:hAnsi="仿宋" w:eastAsia="仿宋" w:cs="仿宋"/>
          <w:sz w:val="32"/>
          <w:szCs w:val="32"/>
          <w:lang w:eastAsia="zh-CN"/>
        </w:rPr>
        <w:t>全额事业编制</w:t>
      </w:r>
      <w:r>
        <w:rPr>
          <w:rFonts w:hint="eastAsia" w:ascii="仿宋" w:hAnsi="仿宋" w:eastAsia="仿宋" w:cs="仿宋"/>
          <w:sz w:val="32"/>
          <w:szCs w:val="32"/>
          <w:lang w:val="en-US" w:eastAsia="zh-CN"/>
        </w:rPr>
        <w:t>44</w:t>
      </w:r>
      <w:r>
        <w:rPr>
          <w:rFonts w:hint="eastAsia" w:ascii="仿宋" w:hAnsi="仿宋" w:eastAsia="仿宋" w:cs="仿宋"/>
          <w:sz w:val="32"/>
          <w:szCs w:val="32"/>
        </w:rPr>
        <w:t>人、差额事业编制15人</w:t>
      </w:r>
      <w:r>
        <w:rPr>
          <w:rFonts w:hint="eastAsia" w:ascii="仿宋" w:hAnsi="仿宋" w:eastAsia="仿宋" w:cs="仿宋"/>
          <w:sz w:val="32"/>
          <w:szCs w:val="32"/>
          <w:lang w:eastAsia="zh-CN"/>
        </w:rPr>
        <w:t>，</w:t>
      </w:r>
      <w:r>
        <w:rPr>
          <w:rFonts w:hint="eastAsia" w:ascii="仿宋" w:hAnsi="仿宋" w:eastAsia="仿宋" w:cs="仿宋"/>
          <w:sz w:val="32"/>
          <w:szCs w:val="32"/>
        </w:rPr>
        <w:t>。</w:t>
      </w:r>
    </w:p>
    <w:p>
      <w:pPr>
        <w:spacing w:line="560" w:lineRule="exact"/>
        <w:rPr>
          <w:rFonts w:ascii="仿宋" w:hAnsi="仿宋" w:eastAsia="仿宋" w:cs="仿宋"/>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兴国县</w:t>
      </w:r>
      <w:r>
        <w:rPr>
          <w:rFonts w:hint="eastAsia" w:ascii="黑体" w:hAnsi="黑体" w:eastAsia="黑体" w:cs="黑体"/>
          <w:b w:val="0"/>
          <w:bCs w:val="0"/>
          <w:sz w:val="32"/>
          <w:szCs w:val="32"/>
          <w:lang w:eastAsia="zh-CN"/>
        </w:rPr>
        <w:t>民政</w:t>
      </w:r>
      <w:r>
        <w:rPr>
          <w:rFonts w:hint="eastAsia" w:ascii="黑体" w:hAnsi="黑体" w:eastAsia="黑体" w:cs="黑体"/>
          <w:b w:val="0"/>
          <w:bCs w:val="0"/>
          <w:sz w:val="32"/>
          <w:szCs w:val="32"/>
        </w:rPr>
        <w:t>部门</w:t>
      </w:r>
      <w:r>
        <w:rPr>
          <w:rFonts w:hint="eastAsia" w:ascii="黑体" w:hAnsi="黑体" w:eastAsia="黑体" w:cs="黑体"/>
          <w:b w:val="0"/>
          <w:bCs w:val="0"/>
          <w:sz w:val="32"/>
          <w:szCs w:val="32"/>
          <w:lang w:val="en-US" w:eastAsia="zh-CN"/>
        </w:rPr>
        <w:t>2022</w:t>
      </w:r>
      <w:r>
        <w:rPr>
          <w:rFonts w:hint="eastAsia" w:ascii="黑体" w:hAnsi="黑体" w:eastAsia="黑体" w:cs="黑体"/>
          <w:b w:val="0"/>
          <w:bCs w:val="0"/>
          <w:sz w:val="32"/>
          <w:szCs w:val="32"/>
        </w:rPr>
        <w:t>年部门预算情况说明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年部门预算收支情况说明</w:t>
      </w:r>
    </w:p>
    <w:p>
      <w:pPr>
        <w:spacing w:line="56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年民政局</w:t>
      </w:r>
      <w:r>
        <w:rPr>
          <w:rFonts w:hint="eastAsia" w:ascii="仿宋" w:hAnsi="仿宋" w:eastAsia="仿宋" w:cs="仿宋"/>
          <w:sz w:val="32"/>
          <w:szCs w:val="32"/>
          <w:lang w:eastAsia="zh-CN"/>
        </w:rPr>
        <w:t>部门</w:t>
      </w:r>
      <w:r>
        <w:rPr>
          <w:rFonts w:hint="eastAsia" w:ascii="仿宋" w:hAnsi="仿宋" w:eastAsia="仿宋" w:cs="仿宋"/>
          <w:sz w:val="32"/>
          <w:szCs w:val="32"/>
        </w:rPr>
        <w:t>收入预算总额为</w:t>
      </w:r>
      <w:r>
        <w:rPr>
          <w:rFonts w:hint="eastAsia" w:ascii="仿宋" w:hAnsi="仿宋" w:eastAsia="仿宋" w:cs="仿宋"/>
          <w:sz w:val="32"/>
          <w:szCs w:val="32"/>
          <w:lang w:val="en-US" w:eastAsia="zh-CN"/>
        </w:rPr>
        <w:t>21767.08</w:t>
      </w:r>
      <w:r>
        <w:rPr>
          <w:rFonts w:hint="eastAsia" w:ascii="仿宋" w:hAnsi="仿宋" w:eastAsia="仿宋" w:cs="仿宋"/>
          <w:sz w:val="32"/>
          <w:szCs w:val="32"/>
        </w:rPr>
        <w:t>万元，较上年增长</w:t>
      </w:r>
      <w:r>
        <w:rPr>
          <w:rFonts w:hint="eastAsia" w:ascii="仿宋" w:hAnsi="仿宋" w:eastAsia="仿宋" w:cs="仿宋"/>
          <w:sz w:val="32"/>
          <w:szCs w:val="32"/>
          <w:lang w:val="en-US" w:eastAsia="zh-CN"/>
        </w:rPr>
        <w:t>61</w:t>
      </w:r>
      <w:r>
        <w:rPr>
          <w:rFonts w:hint="eastAsia" w:ascii="仿宋" w:hAnsi="仿宋" w:eastAsia="仿宋" w:cs="仿宋"/>
          <w:sz w:val="32"/>
          <w:szCs w:val="32"/>
        </w:rPr>
        <w:t>%。</w:t>
      </w:r>
      <w:r>
        <w:rPr>
          <w:rFonts w:hint="eastAsia" w:ascii="仿宋" w:hAnsi="仿宋" w:eastAsia="仿宋" w:cs="仿宋"/>
          <w:sz w:val="32"/>
          <w:szCs w:val="32"/>
          <w:lang w:eastAsia="zh-CN"/>
        </w:rPr>
        <w:t>主要原因：困难群众生活救助保障标准提高，敬老院改扩建资金增加。</w:t>
      </w:r>
      <w:r>
        <w:rPr>
          <w:rFonts w:hint="eastAsia" w:ascii="仿宋" w:hAnsi="仿宋" w:eastAsia="仿宋" w:cs="仿宋"/>
          <w:sz w:val="32"/>
          <w:szCs w:val="32"/>
        </w:rPr>
        <w:t>其中：财政拨款收入</w:t>
      </w:r>
      <w:r>
        <w:rPr>
          <w:rFonts w:hint="eastAsia" w:ascii="仿宋" w:hAnsi="仿宋" w:eastAsia="仿宋" w:cs="仿宋"/>
          <w:sz w:val="32"/>
          <w:szCs w:val="32"/>
          <w:lang w:val="en-US" w:eastAsia="zh-CN"/>
        </w:rPr>
        <w:t>13204.45</w:t>
      </w:r>
      <w:r>
        <w:rPr>
          <w:rFonts w:hint="eastAsia" w:ascii="仿宋" w:hAnsi="仿宋" w:eastAsia="仿宋" w:cs="仿宋"/>
          <w:sz w:val="32"/>
          <w:szCs w:val="32"/>
        </w:rPr>
        <w:t>万元，占收入预算总额的</w:t>
      </w:r>
      <w:r>
        <w:rPr>
          <w:rFonts w:hint="eastAsia" w:ascii="仿宋" w:hAnsi="仿宋" w:eastAsia="仿宋" w:cs="仿宋"/>
          <w:sz w:val="32"/>
          <w:szCs w:val="32"/>
          <w:lang w:val="en-US" w:eastAsia="zh-CN"/>
        </w:rPr>
        <w:t>60</w:t>
      </w:r>
      <w:r>
        <w:rPr>
          <w:rFonts w:hint="eastAsia" w:ascii="仿宋" w:hAnsi="仿宋" w:eastAsia="仿宋" w:cs="仿宋"/>
          <w:sz w:val="32"/>
          <w:szCs w:val="32"/>
        </w:rPr>
        <w:t>%，其他资金</w:t>
      </w:r>
      <w:r>
        <w:rPr>
          <w:rFonts w:hint="eastAsia" w:ascii="仿宋" w:hAnsi="仿宋" w:eastAsia="仿宋" w:cs="仿宋"/>
          <w:sz w:val="32"/>
          <w:szCs w:val="32"/>
          <w:lang w:val="en-US" w:eastAsia="zh-CN"/>
        </w:rPr>
        <w:t>7282.54</w:t>
      </w:r>
      <w:r>
        <w:rPr>
          <w:rFonts w:hint="eastAsia" w:ascii="仿宋" w:hAnsi="仿宋" w:eastAsia="仿宋" w:cs="仿宋"/>
          <w:sz w:val="32"/>
          <w:szCs w:val="32"/>
        </w:rPr>
        <w:t>万元</w:t>
      </w:r>
      <w:r>
        <w:rPr>
          <w:rFonts w:hint="eastAsia" w:ascii="仿宋" w:hAnsi="仿宋" w:eastAsia="仿宋" w:cs="仿宋"/>
          <w:sz w:val="32"/>
          <w:szCs w:val="32"/>
          <w:lang w:eastAsia="zh-CN"/>
        </w:rPr>
        <w:t>，上年结转</w:t>
      </w:r>
      <w:r>
        <w:rPr>
          <w:rFonts w:hint="eastAsia" w:ascii="仿宋" w:hAnsi="仿宋" w:eastAsia="仿宋" w:cs="仿宋"/>
          <w:sz w:val="32"/>
          <w:szCs w:val="32"/>
          <w:lang w:val="en-US" w:eastAsia="zh-CN"/>
        </w:rPr>
        <w:t>1280.09万元</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年民政局</w:t>
      </w:r>
      <w:r>
        <w:rPr>
          <w:rFonts w:hint="eastAsia" w:ascii="仿宋" w:hAnsi="仿宋" w:eastAsia="仿宋" w:cs="仿宋"/>
          <w:sz w:val="32"/>
          <w:szCs w:val="32"/>
          <w:lang w:eastAsia="zh-CN"/>
        </w:rPr>
        <w:t>部门</w:t>
      </w:r>
      <w:r>
        <w:rPr>
          <w:rFonts w:hint="eastAsia" w:ascii="仿宋" w:hAnsi="仿宋" w:eastAsia="仿宋" w:cs="仿宋"/>
          <w:sz w:val="32"/>
          <w:szCs w:val="32"/>
        </w:rPr>
        <w:t>支出预算总额为</w:t>
      </w:r>
      <w:r>
        <w:rPr>
          <w:rFonts w:hint="eastAsia" w:ascii="仿宋" w:hAnsi="仿宋" w:eastAsia="仿宋" w:cs="仿宋"/>
          <w:sz w:val="32"/>
          <w:szCs w:val="32"/>
          <w:lang w:val="en-US" w:eastAsia="zh-CN"/>
        </w:rPr>
        <w:t>21767.08</w:t>
      </w:r>
      <w:r>
        <w:rPr>
          <w:rFonts w:hint="eastAsia" w:ascii="仿宋" w:hAnsi="仿宋" w:eastAsia="仿宋" w:cs="仿宋"/>
          <w:sz w:val="32"/>
          <w:szCs w:val="32"/>
        </w:rPr>
        <w:t>万元，较上年增长</w:t>
      </w:r>
      <w:r>
        <w:rPr>
          <w:rFonts w:hint="eastAsia" w:ascii="仿宋" w:hAnsi="仿宋" w:eastAsia="仿宋" w:cs="仿宋"/>
          <w:sz w:val="32"/>
          <w:szCs w:val="32"/>
          <w:lang w:val="en-US" w:eastAsia="zh-CN"/>
        </w:rPr>
        <w:t>61</w:t>
      </w:r>
      <w:r>
        <w:rPr>
          <w:rFonts w:hint="eastAsia" w:ascii="仿宋" w:hAnsi="仿宋" w:eastAsia="仿宋" w:cs="仿宋"/>
          <w:sz w:val="32"/>
          <w:szCs w:val="32"/>
        </w:rPr>
        <w:t>%。</w:t>
      </w:r>
      <w:r>
        <w:rPr>
          <w:rFonts w:hint="eastAsia" w:ascii="仿宋" w:hAnsi="仿宋" w:eastAsia="仿宋" w:cs="仿宋"/>
          <w:sz w:val="32"/>
          <w:szCs w:val="32"/>
          <w:lang w:eastAsia="zh-CN"/>
        </w:rPr>
        <w:t>主要原因：困难群众生活救助保障标准提高，敬老院改扩建资金增。</w:t>
      </w:r>
      <w:r>
        <w:rPr>
          <w:rFonts w:hint="eastAsia" w:ascii="仿宋" w:hAnsi="仿宋" w:eastAsia="仿宋" w:cs="仿宋"/>
          <w:sz w:val="32"/>
          <w:szCs w:val="32"/>
        </w:rPr>
        <w:t>其中：</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按资金性质划分：财政拨款支出13204.45万元,占预算总支出的60%，其他收入支出7282.54万元，占预算总支支出的33%,上年结转1280.09万元，占预算总支出的7%。</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按支出功能分类划分：</w:t>
      </w:r>
      <w:r>
        <w:rPr>
          <w:rFonts w:hint="eastAsia" w:ascii="仿宋" w:hAnsi="仿宋" w:eastAsia="仿宋" w:cs="仿宋"/>
          <w:color w:val="auto"/>
          <w:sz w:val="32"/>
          <w:szCs w:val="32"/>
          <w:lang w:eastAsia="zh-CN"/>
        </w:rPr>
        <w:t>社会保障和就业支出</w:t>
      </w:r>
      <w:r>
        <w:rPr>
          <w:rFonts w:hint="eastAsia" w:ascii="仿宋" w:hAnsi="仿宋" w:eastAsia="仿宋" w:cs="仿宋"/>
          <w:color w:val="auto"/>
          <w:sz w:val="32"/>
          <w:szCs w:val="32"/>
          <w:lang w:val="en-US" w:eastAsia="zh-CN"/>
        </w:rPr>
        <w:t>20387.65万元，占总支出的93%；卫生健康支出62.34万元，占总支出的1%；住房保障支出60.65万，占总支出的1%；其他支出1256.44万，占总支出的5%。</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按经济科目划分：基本支出922.77万元，占总支出的4%，其中：工资福利支出550.81万元，商品和服务支出44.72万元，对个人和家庭的补助支出327.24万元；项目支出20844.31万元，占总支出的96%。</w:t>
      </w:r>
    </w:p>
    <w:p>
      <w:pPr>
        <w:spacing w:line="560" w:lineRule="exact"/>
        <w:ind w:firstLine="640"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2022年民政局财政拨款（补助）支出预算13204.45万元，占支出预算总额的61%，较上年增长16%。</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具体为：行政运行支出342.83万元，占支出预算总额的2%；一般行政管理事务支出140万元，占支出预算总额的1%；其他民政管理事务支出1890.41万元，占支出预算总额的14%；老年人福利支出1720万元，占支出预算总额的13%；特困人员救</w:t>
      </w:r>
      <w:r>
        <w:rPr>
          <w:rFonts w:hint="eastAsia" w:ascii="仿宋" w:hAnsi="仿宋" w:eastAsia="仿宋" w:cs="仿宋"/>
          <w:sz w:val="32"/>
          <w:szCs w:val="32"/>
          <w:lang w:val="en-US" w:eastAsia="zh-CN"/>
        </w:rPr>
        <w:t>助供养支出1609.44万元，占支出预算总额的12%；殡葬880万元，占支出预算总额的6%；残疾人生活和护理补贴874.56万元，占支出预算总额的6%；儿童福利359万元，占支出预算总额的2%；临时救助支出85万元；城市最低生活保障支出605万元，占支出预算总额的5%；农村最低生活保障支出3461万元，占支出预算总额的26%；流浪乞讨人员救助支出3万元；住房公积金60.65万元；行政事业单位医疗61.91万元；机关单位事业单位基本养老保险支出68.22万元；公益性岗位补贴62.4万元；社会福利事业单位73.45万元；养老服务907.57万元，占支出预算总额的6%。</w:t>
      </w:r>
    </w:p>
    <w:p>
      <w:pPr>
        <w:spacing w:line="56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2022年无政府性基金支出。</w:t>
      </w:r>
    </w:p>
    <w:p>
      <w:pPr>
        <w:spacing w:line="56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年部门机关运行费预算</w:t>
      </w:r>
      <w:r>
        <w:rPr>
          <w:rFonts w:hint="eastAsia" w:ascii="仿宋" w:hAnsi="仿宋" w:eastAsia="仿宋" w:cs="仿宋"/>
          <w:sz w:val="32"/>
          <w:szCs w:val="32"/>
          <w:u w:val="single"/>
          <w:lang w:val="en-US" w:eastAsia="zh-CN"/>
        </w:rPr>
        <w:t>44.72</w:t>
      </w:r>
      <w:r>
        <w:rPr>
          <w:rFonts w:hint="eastAsia" w:ascii="仿宋" w:hAnsi="仿宋" w:eastAsia="仿宋" w:cs="仿宋"/>
          <w:sz w:val="32"/>
          <w:szCs w:val="32"/>
        </w:rPr>
        <w:t>万元，比</w:t>
      </w:r>
      <w:r>
        <w:rPr>
          <w:rFonts w:hint="eastAsia" w:ascii="仿宋" w:hAnsi="仿宋" w:eastAsia="仿宋" w:cs="仿宋"/>
          <w:sz w:val="32"/>
          <w:szCs w:val="32"/>
          <w:lang w:val="en-US" w:eastAsia="zh-CN"/>
        </w:rPr>
        <w:t>2021</w:t>
      </w:r>
      <w:r>
        <w:rPr>
          <w:rFonts w:hint="eastAsia" w:ascii="仿宋" w:hAnsi="仿宋" w:eastAsia="仿宋" w:cs="仿宋"/>
          <w:sz w:val="32"/>
          <w:szCs w:val="32"/>
        </w:rPr>
        <w:t>年(上一年度）预算减少</w:t>
      </w:r>
      <w:r>
        <w:rPr>
          <w:rFonts w:hint="eastAsia" w:ascii="仿宋" w:hAnsi="仿宋" w:eastAsia="仿宋" w:cs="仿宋"/>
          <w:sz w:val="32"/>
          <w:szCs w:val="32"/>
          <w:u w:val="single"/>
          <w:lang w:val="en-US" w:eastAsia="zh-CN"/>
        </w:rPr>
        <w:t>416.73</w:t>
      </w:r>
      <w:r>
        <w:rPr>
          <w:rFonts w:hint="eastAsia" w:ascii="仿宋" w:hAnsi="仿宋" w:eastAsia="仿宋" w:cs="仿宋"/>
          <w:sz w:val="32"/>
          <w:szCs w:val="32"/>
        </w:rPr>
        <w:t>万元，下降</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90</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年部门所属各单位政府采购总额</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319.8</w:t>
      </w:r>
      <w:r>
        <w:rPr>
          <w:rFonts w:hint="eastAsia" w:ascii="仿宋" w:hAnsi="仿宋" w:eastAsia="仿宋" w:cs="仿宋"/>
          <w:sz w:val="32"/>
          <w:szCs w:val="32"/>
          <w:u w:val="single"/>
        </w:rPr>
        <w:t xml:space="preserve">   </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257.4</w:t>
      </w:r>
      <w:r>
        <w:rPr>
          <w:rFonts w:hint="eastAsia" w:ascii="仿宋" w:hAnsi="仿宋" w:eastAsia="仿宋" w:cs="仿宋"/>
          <w:sz w:val="32"/>
          <w:szCs w:val="32"/>
          <w:u w:val="single"/>
        </w:rPr>
        <w:t xml:space="preserve">   </w:t>
      </w:r>
      <w:r>
        <w:rPr>
          <w:rFonts w:hint="eastAsia" w:ascii="仿宋" w:hAnsi="仿宋" w:eastAsia="仿宋" w:cs="仿宋"/>
          <w:sz w:val="32"/>
          <w:szCs w:val="32"/>
        </w:rPr>
        <w:t>万元、政府采购工程预算</w:t>
      </w:r>
      <w:r>
        <w:rPr>
          <w:rFonts w:hint="eastAsia" w:ascii="仿宋" w:hAnsi="仿宋" w:eastAsia="仿宋" w:cs="仿宋"/>
          <w:sz w:val="32"/>
          <w:szCs w:val="32"/>
          <w:u w:val="single"/>
        </w:rPr>
        <w:t xml:space="preserve">     </w:t>
      </w:r>
      <w:r>
        <w:rPr>
          <w:rFonts w:hint="eastAsia" w:ascii="仿宋" w:hAnsi="仿宋" w:eastAsia="仿宋" w:cs="仿宋"/>
          <w:sz w:val="32"/>
          <w:szCs w:val="32"/>
        </w:rPr>
        <w:t>万元、</w:t>
      </w:r>
      <w:r>
        <w:rPr>
          <w:rFonts w:hint="eastAsia" w:ascii="仿宋" w:hAnsi="仿宋" w:eastAsia="仿宋" w:cs="仿宋"/>
          <w:color w:val="auto"/>
          <w:sz w:val="32"/>
          <w:szCs w:val="32"/>
        </w:rPr>
        <w:t>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62.4</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numPr>
          <w:ilvl w:val="0"/>
          <w:numId w:val="0"/>
        </w:numPr>
        <w:ind w:left="0" w:leftChars="0"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w:t>
      </w:r>
      <w:r>
        <w:rPr>
          <w:rFonts w:hint="eastAsia" w:ascii="仿宋" w:hAnsi="仿宋" w:eastAsia="仿宋" w:cs="仿宋"/>
          <w:sz w:val="32"/>
          <w:szCs w:val="32"/>
        </w:rPr>
        <w:t>年12月31日、部门共有车辆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3</w:t>
      </w:r>
      <w:r>
        <w:rPr>
          <w:rFonts w:hint="eastAsia" w:ascii="仿宋" w:hAnsi="仿宋" w:eastAsia="仿宋" w:cs="仿宋"/>
          <w:sz w:val="32"/>
          <w:szCs w:val="32"/>
          <w:u w:val="single"/>
        </w:rPr>
        <w:t xml:space="preserve">   </w:t>
      </w:r>
      <w:r>
        <w:rPr>
          <w:rFonts w:hint="eastAsia" w:ascii="仿宋" w:hAnsi="仿宋" w:eastAsia="仿宋" w:cs="仿宋"/>
          <w:sz w:val="32"/>
          <w:szCs w:val="32"/>
        </w:rPr>
        <w:t>辆、</w:t>
      </w:r>
      <w:r>
        <w:rPr>
          <w:rFonts w:hint="eastAsia" w:ascii="仿宋" w:hAnsi="仿宋" w:eastAsia="仿宋" w:cs="仿宋"/>
          <w:sz w:val="32"/>
          <w:szCs w:val="32"/>
          <w:lang w:val="en-US" w:eastAsia="zh-CN"/>
        </w:rPr>
        <w:t>价值40万元，已上交到机关事务局，资产正在申请核销。</w:t>
      </w:r>
    </w:p>
    <w:p>
      <w:pPr>
        <w:spacing w:line="56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39</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18745.61</w:t>
      </w:r>
      <w:r>
        <w:rPr>
          <w:rFonts w:hint="eastAsia" w:ascii="仿宋" w:hAnsi="仿宋" w:eastAsia="仿宋" w:cs="仿宋"/>
          <w:sz w:val="32"/>
          <w:szCs w:val="32"/>
        </w:rPr>
        <w:t>万元：</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项目名称：</w:t>
      </w:r>
      <w:r>
        <w:rPr>
          <w:rFonts w:hint="eastAsia" w:ascii="仿宋" w:hAnsi="仿宋" w:eastAsia="仿宋" w:cs="仿宋"/>
          <w:sz w:val="32"/>
          <w:szCs w:val="32"/>
          <w:lang w:val="en-US" w:eastAsia="zh-CN"/>
        </w:rPr>
        <w:t>民政工作经费120万元；工作经费缺口资金133.23万元；老年人福利支出1800万元；五保配套资金481；两老干部补助197万元；殡葬870万元；残疾人生活和护理补贴600万元；城市最低生活保障支出605万元；农村最低生活保障支出3461万元；村民小组长补助金资金1098万元，居家养老运行站点360万元；敬老院工作人员工资276万元；城乡失能半失能特困高龄老年人补贴758.84万元；县级集中照护机构护理补贴168万元；民办养老机构床位运营补贴272.78万元；居家养老站点建设经费130万元；敬老院新建、改扩建4135万元；集中供养人员服装、棉被201.6万元。</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：规范困难群众救助政策，保障困难群众基本生活。</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：省市等文件。</w:t>
      </w:r>
    </w:p>
    <w:p>
      <w:pPr>
        <w:spacing w:line="560" w:lineRule="exact"/>
        <w:ind w:firstLine="640" w:firstLineChars="200"/>
        <w:rPr>
          <w:rFonts w:hint="eastAsia"/>
          <w:lang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：兴国县民政局</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2022年</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：困难群众救助及敬老院建设等资金共</w:t>
      </w:r>
      <w:r>
        <w:rPr>
          <w:rFonts w:hint="eastAsia" w:ascii="仿宋" w:hAnsi="仿宋" w:eastAsia="仿宋" w:cs="仿宋"/>
          <w:sz w:val="32"/>
          <w:szCs w:val="32"/>
          <w:lang w:val="en-US" w:eastAsia="zh-CN"/>
        </w:rPr>
        <w:t>18745.61万元。</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：保障困难群众基本生活，改善老年人生活及居住条件。</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说明部门或单位“三公”经费一般公共预算总额和结构，及各项增（减）变化原因。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年兴国县</w:t>
      </w:r>
      <w:r>
        <w:rPr>
          <w:rFonts w:hint="eastAsia" w:ascii="仿宋" w:hAnsi="仿宋" w:eastAsia="仿宋" w:cs="仿宋"/>
          <w:sz w:val="32"/>
          <w:szCs w:val="32"/>
          <w:lang w:eastAsia="zh-CN"/>
        </w:rPr>
        <w:t>民政</w:t>
      </w:r>
      <w:r>
        <w:rPr>
          <w:rFonts w:hint="eastAsia" w:ascii="仿宋" w:hAnsi="仿宋" w:eastAsia="仿宋" w:cs="仿宋"/>
          <w:sz w:val="32"/>
          <w:szCs w:val="32"/>
        </w:rPr>
        <w:t>部门“三公”经费一般公共预算安排</w:t>
      </w:r>
      <w:r>
        <w:rPr>
          <w:rFonts w:hint="eastAsia" w:ascii="仿宋" w:hAnsi="仿宋" w:eastAsia="仿宋" w:cs="仿宋"/>
          <w:sz w:val="32"/>
          <w:szCs w:val="32"/>
          <w:lang w:val="en-US" w:eastAsia="zh-CN"/>
        </w:rPr>
        <w:t>23</w:t>
      </w:r>
      <w:r>
        <w:rPr>
          <w:rFonts w:hint="eastAsia" w:ascii="仿宋" w:hAnsi="仿宋" w:eastAsia="仿宋" w:cs="仿宋"/>
          <w:sz w:val="32"/>
          <w:szCs w:val="32"/>
        </w:rPr>
        <w:t>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spacing w:line="560" w:lineRule="exact"/>
        <w:ind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eastAsia="zh-CN"/>
        </w:rPr>
        <w:t>　　</w:t>
      </w:r>
      <w:r>
        <w:rPr>
          <w:rFonts w:hint="eastAsia" w:ascii="仿宋" w:hAnsi="仿宋" w:eastAsia="仿宋" w:cs="仿宋"/>
          <w:sz w:val="32"/>
          <w:szCs w:val="32"/>
        </w:rPr>
        <w:t>公务接待费</w:t>
      </w:r>
      <w:r>
        <w:rPr>
          <w:rFonts w:hint="eastAsia" w:ascii="仿宋" w:hAnsi="仿宋" w:eastAsia="仿宋" w:cs="仿宋"/>
          <w:sz w:val="32"/>
          <w:szCs w:val="32"/>
          <w:lang w:val="en-US" w:eastAsia="zh-CN"/>
        </w:rPr>
        <w:t>23</w:t>
      </w:r>
      <w:r>
        <w:rPr>
          <w:rFonts w:hint="eastAsia" w:ascii="仿宋" w:hAnsi="仿宋" w:eastAsia="仿宋" w:cs="仿宋"/>
          <w:sz w:val="32"/>
          <w:szCs w:val="32"/>
        </w:rPr>
        <w:t>万元，</w:t>
      </w:r>
      <w:r>
        <w:rPr>
          <w:rFonts w:hint="eastAsia" w:ascii="仿宋" w:hAnsi="仿宋" w:eastAsia="仿宋" w:cs="仿宋"/>
          <w:sz w:val="32"/>
          <w:szCs w:val="32"/>
          <w:lang w:val="en-US" w:eastAsia="zh-CN"/>
        </w:rPr>
        <w:t>与上年度持平，无增减。</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spacing w:line="560" w:lineRule="exact"/>
        <w:ind w:firstLine="640" w:firstLineChars="200"/>
        <w:rPr>
          <w:rFonts w:ascii="仿宋" w:hAnsi="仿宋" w:eastAsia="仿宋" w:cs="仿宋"/>
          <w:sz w:val="32"/>
          <w:szCs w:val="32"/>
        </w:rPr>
      </w:pP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第三部分 兴国县</w:t>
      </w:r>
      <w:r>
        <w:rPr>
          <w:rFonts w:hint="eastAsia" w:ascii="黑体" w:hAnsi="黑体" w:eastAsia="黑体" w:cs="黑体"/>
          <w:b w:val="0"/>
          <w:bCs w:val="0"/>
          <w:sz w:val="32"/>
          <w:szCs w:val="32"/>
          <w:lang w:eastAsia="zh-CN"/>
        </w:rPr>
        <w:t>民政局</w:t>
      </w:r>
      <w:r>
        <w:rPr>
          <w:rFonts w:hint="eastAsia" w:ascii="黑体" w:hAnsi="黑体" w:eastAsia="黑体" w:cs="黑体"/>
          <w:b w:val="0"/>
          <w:bCs w:val="0"/>
          <w:sz w:val="32"/>
          <w:szCs w:val="32"/>
          <w:lang w:val="en-US" w:eastAsia="zh-CN"/>
        </w:rPr>
        <w:t>2022</w:t>
      </w:r>
      <w:r>
        <w:rPr>
          <w:rFonts w:hint="eastAsia" w:ascii="黑体" w:hAnsi="黑体" w:eastAsia="黑体" w:cs="黑体"/>
          <w:b w:val="0"/>
          <w:bCs w:val="0"/>
          <w:sz w:val="32"/>
          <w:szCs w:val="32"/>
        </w:rPr>
        <w:t>年部门预算表</w:t>
      </w:r>
    </w:p>
    <w:p>
      <w:pPr>
        <w:spacing w:line="560" w:lineRule="exact"/>
        <w:ind w:firstLine="604" w:firstLineChars="189"/>
        <w:jc w:val="center"/>
        <w:rPr>
          <w:rFonts w:hint="eastAsia" w:ascii="仿宋" w:hAnsi="仿宋" w:eastAsia="仿宋" w:cs="仿宋"/>
          <w:sz w:val="32"/>
          <w:szCs w:val="32"/>
        </w:rPr>
      </w:pPr>
      <w:r>
        <w:rPr>
          <w:rFonts w:hint="eastAsia" w:ascii="仿宋" w:hAnsi="仿宋" w:eastAsia="仿宋" w:cs="仿宋"/>
          <w:sz w:val="32"/>
          <w:szCs w:val="32"/>
        </w:rPr>
        <w:t>（附表）</w:t>
      </w:r>
    </w:p>
    <w:p>
      <w:pPr>
        <w:pStyle w:val="2"/>
      </w:pPr>
      <w:r>
        <w:drawing>
          <wp:inline distT="0" distB="0" distL="114300" distR="114300">
            <wp:extent cx="5537835" cy="5945505"/>
            <wp:effectExtent l="0" t="0" r="571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537835" cy="5945505"/>
                    </a:xfrm>
                    <a:prstGeom prst="rect">
                      <a:avLst/>
                    </a:prstGeom>
                    <a:noFill/>
                    <a:ln>
                      <a:noFill/>
                    </a:ln>
                  </pic:spPr>
                </pic:pic>
              </a:graphicData>
            </a:graphic>
          </wp:inline>
        </w:drawing>
      </w:r>
    </w:p>
    <w:p>
      <w:pPr>
        <w:pStyle w:val="2"/>
      </w:pPr>
      <w:r>
        <w:drawing>
          <wp:inline distT="0" distB="0" distL="114300" distR="114300">
            <wp:extent cx="5534025" cy="5922645"/>
            <wp:effectExtent l="0" t="0" r="9525" b="190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tretch>
                      <a:fillRect/>
                    </a:stretch>
                  </pic:blipFill>
                  <pic:spPr>
                    <a:xfrm>
                      <a:off x="0" y="0"/>
                      <a:ext cx="5534025" cy="5922645"/>
                    </a:xfrm>
                    <a:prstGeom prst="rect">
                      <a:avLst/>
                    </a:prstGeom>
                    <a:noFill/>
                    <a:ln>
                      <a:noFill/>
                    </a:ln>
                  </pic:spPr>
                </pic:pic>
              </a:graphicData>
            </a:graphic>
          </wp:inline>
        </w:drawing>
      </w:r>
    </w:p>
    <w:p>
      <w:pPr>
        <w:pStyle w:val="2"/>
      </w:pPr>
      <w:r>
        <w:drawing>
          <wp:inline distT="0" distB="0" distL="114300" distR="114300">
            <wp:extent cx="5536565" cy="9356725"/>
            <wp:effectExtent l="0" t="0" r="6985" b="1587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7"/>
                    <a:stretch>
                      <a:fillRect/>
                    </a:stretch>
                  </pic:blipFill>
                  <pic:spPr>
                    <a:xfrm>
                      <a:off x="0" y="0"/>
                      <a:ext cx="5536565" cy="9356725"/>
                    </a:xfrm>
                    <a:prstGeom prst="rect">
                      <a:avLst/>
                    </a:prstGeom>
                    <a:noFill/>
                    <a:ln>
                      <a:noFill/>
                    </a:ln>
                  </pic:spPr>
                </pic:pic>
              </a:graphicData>
            </a:graphic>
          </wp:inline>
        </w:drawing>
      </w:r>
    </w:p>
    <w:p>
      <w:pPr>
        <w:pStyle w:val="2"/>
      </w:pPr>
    </w:p>
    <w:p>
      <w:pPr>
        <w:pStyle w:val="2"/>
      </w:pPr>
      <w:r>
        <w:drawing>
          <wp:inline distT="0" distB="0" distL="114300" distR="114300">
            <wp:extent cx="5535930" cy="5544820"/>
            <wp:effectExtent l="0" t="0" r="7620" b="1778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8"/>
                    <a:stretch>
                      <a:fillRect/>
                    </a:stretch>
                  </pic:blipFill>
                  <pic:spPr>
                    <a:xfrm>
                      <a:off x="0" y="0"/>
                      <a:ext cx="5535930" cy="5544820"/>
                    </a:xfrm>
                    <a:prstGeom prst="rect">
                      <a:avLst/>
                    </a:prstGeom>
                    <a:noFill/>
                    <a:ln>
                      <a:noFill/>
                    </a:ln>
                  </pic:spPr>
                </pic:pic>
              </a:graphicData>
            </a:graphic>
          </wp:inline>
        </w:drawing>
      </w:r>
    </w:p>
    <w:p>
      <w:pPr>
        <w:pStyle w:val="2"/>
      </w:pPr>
    </w:p>
    <w:p>
      <w:pPr>
        <w:pStyle w:val="2"/>
      </w:pPr>
      <w:r>
        <w:drawing>
          <wp:inline distT="0" distB="0" distL="114300" distR="114300">
            <wp:extent cx="5541010" cy="8406765"/>
            <wp:effectExtent l="0" t="0" r="2540" b="1333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9"/>
                    <a:stretch>
                      <a:fillRect/>
                    </a:stretch>
                  </pic:blipFill>
                  <pic:spPr>
                    <a:xfrm>
                      <a:off x="0" y="0"/>
                      <a:ext cx="5541010" cy="8406765"/>
                    </a:xfrm>
                    <a:prstGeom prst="rect">
                      <a:avLst/>
                    </a:prstGeom>
                    <a:noFill/>
                    <a:ln>
                      <a:noFill/>
                    </a:ln>
                  </pic:spPr>
                </pic:pic>
              </a:graphicData>
            </a:graphic>
          </wp:inline>
        </w:drawing>
      </w:r>
    </w:p>
    <w:p>
      <w:pPr>
        <w:pStyle w:val="2"/>
      </w:pPr>
      <w:r>
        <w:drawing>
          <wp:inline distT="0" distB="0" distL="114300" distR="114300">
            <wp:extent cx="5535930" cy="6231255"/>
            <wp:effectExtent l="0" t="0" r="7620" b="1714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0"/>
                    <a:stretch>
                      <a:fillRect/>
                    </a:stretch>
                  </pic:blipFill>
                  <pic:spPr>
                    <a:xfrm>
                      <a:off x="0" y="0"/>
                      <a:ext cx="5535930" cy="6231255"/>
                    </a:xfrm>
                    <a:prstGeom prst="rect">
                      <a:avLst/>
                    </a:prstGeom>
                    <a:noFill/>
                    <a:ln>
                      <a:noFill/>
                    </a:ln>
                  </pic:spPr>
                </pic:pic>
              </a:graphicData>
            </a:graphic>
          </wp:inline>
        </w:drawing>
      </w:r>
    </w:p>
    <w:p>
      <w:pPr>
        <w:pStyle w:val="2"/>
      </w:pPr>
    </w:p>
    <w:p>
      <w:pPr>
        <w:pStyle w:val="2"/>
      </w:pPr>
      <w:r>
        <w:drawing>
          <wp:inline distT="0" distB="0" distL="114300" distR="114300">
            <wp:extent cx="5536565" cy="1247140"/>
            <wp:effectExtent l="0" t="0" r="6985" b="1016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1"/>
                    <a:stretch>
                      <a:fillRect/>
                    </a:stretch>
                  </pic:blipFill>
                  <pic:spPr>
                    <a:xfrm>
                      <a:off x="0" y="0"/>
                      <a:ext cx="5536565" cy="1247140"/>
                    </a:xfrm>
                    <a:prstGeom prst="rect">
                      <a:avLst/>
                    </a:prstGeom>
                    <a:noFill/>
                    <a:ln>
                      <a:noFill/>
                    </a:ln>
                  </pic:spPr>
                </pic:pic>
              </a:graphicData>
            </a:graphic>
          </wp:inline>
        </w:drawing>
      </w:r>
    </w:p>
    <w:p>
      <w:pPr>
        <w:pStyle w:val="2"/>
      </w:pPr>
      <w:r>
        <w:drawing>
          <wp:inline distT="0" distB="0" distL="114300" distR="114300">
            <wp:extent cx="5544820" cy="1146810"/>
            <wp:effectExtent l="0" t="0" r="17780" b="15240"/>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2"/>
                    <a:stretch>
                      <a:fillRect/>
                    </a:stretch>
                  </pic:blipFill>
                  <pic:spPr>
                    <a:xfrm>
                      <a:off x="0" y="0"/>
                      <a:ext cx="5544820" cy="1146810"/>
                    </a:xfrm>
                    <a:prstGeom prst="rect">
                      <a:avLst/>
                    </a:prstGeom>
                    <a:noFill/>
                    <a:ln>
                      <a:noFill/>
                    </a:ln>
                  </pic:spPr>
                </pic:pic>
              </a:graphicData>
            </a:graphic>
          </wp:inline>
        </w:drawing>
      </w:r>
    </w:p>
    <w:p>
      <w:pPr>
        <w:pStyle w:val="2"/>
      </w:pPr>
      <w:r>
        <w:drawing>
          <wp:inline distT="0" distB="0" distL="114300" distR="114300">
            <wp:extent cx="5544820" cy="1229360"/>
            <wp:effectExtent l="0" t="0" r="17780" b="8890"/>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13"/>
                    <a:stretch>
                      <a:fillRect/>
                    </a:stretch>
                  </pic:blipFill>
                  <pic:spPr>
                    <a:xfrm>
                      <a:off x="0" y="0"/>
                      <a:ext cx="5544820" cy="1229360"/>
                    </a:xfrm>
                    <a:prstGeom prst="rect">
                      <a:avLst/>
                    </a:prstGeom>
                    <a:noFill/>
                    <a:ln>
                      <a:noFill/>
                    </a:ln>
                  </pic:spPr>
                </pic:pic>
              </a:graphicData>
            </a:graphic>
          </wp:inline>
        </w:drawing>
      </w:r>
    </w:p>
    <w:p>
      <w:pPr>
        <w:pStyle w:val="2"/>
      </w:pPr>
      <w:r>
        <w:drawing>
          <wp:inline distT="0" distB="0" distL="114300" distR="114300">
            <wp:extent cx="5543550" cy="7507605"/>
            <wp:effectExtent l="0" t="0" r="0" b="17145"/>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14"/>
                    <a:stretch>
                      <a:fillRect/>
                    </a:stretch>
                  </pic:blipFill>
                  <pic:spPr>
                    <a:xfrm>
                      <a:off x="0" y="0"/>
                      <a:ext cx="5543550" cy="7507605"/>
                    </a:xfrm>
                    <a:prstGeom prst="rect">
                      <a:avLst/>
                    </a:prstGeom>
                    <a:noFill/>
                    <a:ln>
                      <a:noFill/>
                    </a:ln>
                  </pic:spPr>
                </pic:pic>
              </a:graphicData>
            </a:graphic>
          </wp:inline>
        </w:drawing>
      </w:r>
    </w:p>
    <w:p>
      <w:pPr>
        <w:pStyle w:val="2"/>
      </w:pPr>
      <w:r>
        <w:fldChar w:fldCharType="begin"/>
      </w:r>
      <w:r>
        <w:instrText xml:space="preserve"> INCLUDEPICTURE "C:\\DOCUME~1\\ADMINI~1\\LOCALS~1\\Temp\\ksohtml6976\\wps1.jpg" \* MERGEFORMATINET </w:instrText>
      </w:r>
      <w:r>
        <w:fldChar w:fldCharType="separate"/>
      </w:r>
      <w:r>
        <w:drawing>
          <wp:inline distT="0" distB="0" distL="114300" distR="114300">
            <wp:extent cx="5276850" cy="6962775"/>
            <wp:effectExtent l="0" t="0" r="0" b="9525"/>
            <wp:docPr id="14" name="图片 12"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descr="wps1"/>
                    <pic:cNvPicPr>
                      <a:picLocks noChangeAspect="1"/>
                    </pic:cNvPicPr>
                  </pic:nvPicPr>
                  <pic:blipFill>
                    <a:blip r:embed="rId15"/>
                    <a:stretch>
                      <a:fillRect/>
                    </a:stretch>
                  </pic:blipFill>
                  <pic:spPr>
                    <a:xfrm>
                      <a:off x="0" y="0"/>
                      <a:ext cx="5276850" cy="6962775"/>
                    </a:xfrm>
                    <a:prstGeom prst="rect">
                      <a:avLst/>
                    </a:prstGeom>
                    <a:noFill/>
                    <a:ln>
                      <a:noFill/>
                    </a:ln>
                  </pic:spPr>
                </pic:pic>
              </a:graphicData>
            </a:graphic>
          </wp:inline>
        </w:drawing>
      </w:r>
      <w:r>
        <w:fldChar w:fldCharType="end"/>
      </w:r>
    </w:p>
    <w:p>
      <w:pPr>
        <w:pStyle w:val="2"/>
      </w:pPr>
    </w:p>
    <w:p>
      <w:pPr>
        <w:pStyle w:val="2"/>
      </w:pPr>
    </w:p>
    <w:p>
      <w:pPr>
        <w:pStyle w:val="2"/>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（七）使用非财政拨款结余：填列历年滚存的非限定用途的非统计财政拨款结余弥补XX年收支差额的数额。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（八）上年结转和结余：填列XX年全部结转和结余的资金数，包括当年结转结余资金和历年滚存结转结余资金。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对部门或单位预算中涉及的支出功能分类科目（明细到项级），结合部门实际，参照《XX年政府收支分类科目》的规范说明行解释。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楷体">
    <w:altName w:val="楷体_GB2312"/>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5E02C8"/>
    <w:rsid w:val="061A15AB"/>
    <w:rsid w:val="0CEB0E14"/>
    <w:rsid w:val="0F9A3053"/>
    <w:rsid w:val="116F5504"/>
    <w:rsid w:val="2593394A"/>
    <w:rsid w:val="2EC014BA"/>
    <w:rsid w:val="445E02C8"/>
    <w:rsid w:val="452B6207"/>
    <w:rsid w:val="45E25FF5"/>
    <w:rsid w:val="53546AB3"/>
    <w:rsid w:val="78D53786"/>
    <w:rsid w:val="79BE38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1.jpe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小小</cp:lastModifiedBy>
  <dcterms:modified xsi:type="dcterms:W3CDTF">2023-06-16T03:33:53Z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6B37D7688A60414EB500B7D9D5D90554</vt:lpwstr>
  </property>
</Properties>
</file>